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A7BAD" w14:textId="77777777" w:rsidR="00FC01DA" w:rsidRDefault="00FC01DA" w:rsidP="00FC01DA">
      <w:pPr>
        <w:jc w:val="center"/>
        <w:rPr>
          <w:rFonts w:ascii="Arial" w:hAnsi="Arial" w:cs="Arial"/>
          <w:color w:val="414042"/>
        </w:rPr>
      </w:pPr>
      <w:r w:rsidRPr="00FC01DA">
        <w:rPr>
          <w:rStyle w:val="Strong"/>
          <w:rFonts w:ascii="Arial" w:hAnsi="Arial" w:cs="Arial"/>
          <w:color w:val="414042"/>
        </w:rPr>
        <w:t xml:space="preserve">Tips from </w:t>
      </w:r>
      <w:proofErr w:type="spellStart"/>
      <w:r w:rsidRPr="00FC01DA">
        <w:rPr>
          <w:rStyle w:val="Strong"/>
          <w:rFonts w:ascii="Arial" w:hAnsi="Arial" w:cs="Arial"/>
          <w:color w:val="414042"/>
        </w:rPr>
        <w:t>MLHU</w:t>
      </w:r>
      <w:proofErr w:type="spellEnd"/>
      <w:r w:rsidRPr="00FC01DA">
        <w:rPr>
          <w:rStyle w:val="Strong"/>
          <w:rFonts w:ascii="Arial" w:hAnsi="Arial" w:cs="Arial"/>
          <w:color w:val="414042"/>
        </w:rPr>
        <w:t xml:space="preserve">: Common errors that occur when assessing immunization </w:t>
      </w:r>
      <w:proofErr w:type="gramStart"/>
      <w:r w:rsidRPr="00FC01DA">
        <w:rPr>
          <w:rStyle w:val="Strong"/>
          <w:rFonts w:ascii="Arial" w:hAnsi="Arial" w:cs="Arial"/>
          <w:color w:val="414042"/>
        </w:rPr>
        <w:t>records</w:t>
      </w:r>
      <w:bookmarkStart w:id="0" w:name="m_7941677128864056890_common_errors"/>
      <w:bookmarkEnd w:id="0"/>
      <w:proofErr w:type="gramEnd"/>
    </w:p>
    <w:p w14:paraId="3B1E86FD" w14:textId="77777777" w:rsidR="00FC01DA" w:rsidRDefault="00FC01DA" w:rsidP="00FC01DA">
      <w:pPr>
        <w:rPr>
          <w:rFonts w:ascii="Arial" w:hAnsi="Arial" w:cs="Arial"/>
          <w:color w:val="414042"/>
        </w:rPr>
      </w:pPr>
    </w:p>
    <w:p w14:paraId="75B322F5" w14:textId="59375757" w:rsidR="00FC01DA" w:rsidRPr="00FC01DA" w:rsidRDefault="00FC01DA" w:rsidP="00FC01DA">
      <w:r w:rsidRPr="00FC01DA">
        <w:rPr>
          <w:rFonts w:ascii="Arial" w:hAnsi="Arial" w:cs="Arial"/>
          <w:color w:val="414042"/>
        </w:rPr>
        <w:t>Negative outcomes can result from the incorrect assessment of vaccination records and vaccine administration errors. These include:</w:t>
      </w:r>
    </w:p>
    <w:p w14:paraId="74510BBC" w14:textId="77777777" w:rsidR="00FC01DA" w:rsidRPr="00FC01DA" w:rsidRDefault="00FC01DA" w:rsidP="00FC01DA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color w:val="414042"/>
        </w:rPr>
      </w:pPr>
      <w:r w:rsidRPr="00FC01DA">
        <w:rPr>
          <w:rFonts w:ascii="Arial" w:hAnsi="Arial" w:cs="Arial"/>
          <w:color w:val="414042"/>
        </w:rPr>
        <w:t xml:space="preserve">inadequate immunological </w:t>
      </w:r>
      <w:proofErr w:type="gramStart"/>
      <w:r w:rsidRPr="00FC01DA">
        <w:rPr>
          <w:rFonts w:ascii="Arial" w:hAnsi="Arial" w:cs="Arial"/>
          <w:color w:val="414042"/>
        </w:rPr>
        <w:t>protection;</w:t>
      </w:r>
      <w:proofErr w:type="gramEnd"/>
    </w:p>
    <w:p w14:paraId="643C1984" w14:textId="77777777" w:rsidR="00FC01DA" w:rsidRPr="00FC01DA" w:rsidRDefault="00FC01DA" w:rsidP="00FC01DA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color w:val="414042"/>
        </w:rPr>
      </w:pPr>
      <w:r w:rsidRPr="00FC01DA">
        <w:rPr>
          <w:rFonts w:ascii="Arial" w:hAnsi="Arial" w:cs="Arial"/>
          <w:color w:val="414042"/>
        </w:rPr>
        <w:t xml:space="preserve">failure to meet legislative requirements for attending childcare and school, as well as occupational </w:t>
      </w:r>
      <w:proofErr w:type="gramStart"/>
      <w:r w:rsidRPr="00FC01DA">
        <w:rPr>
          <w:rFonts w:ascii="Arial" w:hAnsi="Arial" w:cs="Arial"/>
          <w:color w:val="414042"/>
        </w:rPr>
        <w:t>requirements;</w:t>
      </w:r>
      <w:proofErr w:type="gramEnd"/>
    </w:p>
    <w:p w14:paraId="70ABBE48" w14:textId="77777777" w:rsidR="00FC01DA" w:rsidRPr="00FC01DA" w:rsidRDefault="00FC01DA" w:rsidP="00FC01DA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color w:val="414042"/>
        </w:rPr>
      </w:pPr>
      <w:proofErr w:type="gramStart"/>
      <w:r w:rsidRPr="00FC01DA">
        <w:rPr>
          <w:rFonts w:ascii="Arial" w:hAnsi="Arial" w:cs="Arial"/>
          <w:color w:val="414042"/>
        </w:rPr>
        <w:t>cost;</w:t>
      </w:r>
      <w:proofErr w:type="gramEnd"/>
    </w:p>
    <w:p w14:paraId="07AFCE7D" w14:textId="1B3D14A3" w:rsidR="00FC01DA" w:rsidRPr="00FC01DA" w:rsidRDefault="00FC01DA" w:rsidP="00FC01DA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color w:val="414042"/>
        </w:rPr>
      </w:pPr>
      <w:r w:rsidRPr="00FC01DA">
        <w:rPr>
          <w:rFonts w:ascii="Arial" w:hAnsi="Arial" w:cs="Arial"/>
          <w:color w:val="414042"/>
        </w:rPr>
        <w:t>inconvenience;</w:t>
      </w:r>
      <w:r w:rsidRPr="00FC01DA">
        <w:rPr>
          <w:rFonts w:ascii="Arial" w:hAnsi="Arial" w:cs="Arial"/>
          <w:color w:val="414042"/>
        </w:rPr>
        <w:t xml:space="preserve"> and </w:t>
      </w:r>
    </w:p>
    <w:p w14:paraId="7E914E79" w14:textId="114D64B2" w:rsidR="00FC01DA" w:rsidRPr="00FC01DA" w:rsidRDefault="00FC01DA" w:rsidP="00FC01DA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color w:val="414042"/>
        </w:rPr>
      </w:pPr>
      <w:r w:rsidRPr="00FC01DA">
        <w:rPr>
          <w:rFonts w:ascii="Arial" w:hAnsi="Arial" w:cs="Arial"/>
          <w:color w:val="414042"/>
        </w:rPr>
        <w:t>reduced confidence in the health care system.</w:t>
      </w:r>
    </w:p>
    <w:p w14:paraId="2AEB5A14" w14:textId="74C0DD02" w:rsidR="00FC01DA" w:rsidRPr="00FC01DA" w:rsidRDefault="00FC01DA" w:rsidP="00FC01DA">
      <w:pPr>
        <w:rPr>
          <w:rFonts w:ascii="Georgia" w:hAnsi="Georgia"/>
          <w:color w:val="474747"/>
        </w:rPr>
      </w:pPr>
      <w:r w:rsidRPr="00FC01DA">
        <w:rPr>
          <w:rFonts w:ascii="Arial" w:hAnsi="Arial" w:cs="Arial"/>
          <w:color w:val="474747"/>
        </w:rPr>
        <w:t xml:space="preserve">These links show the differences in the names/antigens in these vaccines </w:t>
      </w:r>
      <w:r w:rsidRPr="00FC01DA">
        <w:rPr>
          <w:rFonts w:ascii="Arial" w:hAnsi="Arial" w:cs="Arial"/>
          <w:color w:val="474747"/>
        </w:rPr>
        <w:t>–</w:t>
      </w:r>
      <w:r w:rsidRPr="00FC01DA">
        <w:rPr>
          <w:rFonts w:ascii="Arial" w:hAnsi="Arial" w:cs="Arial"/>
          <w:color w:val="474747"/>
        </w:rPr>
        <w:t xml:space="preserve"> in</w:t>
      </w:r>
      <w:r w:rsidRPr="00FC01DA">
        <w:rPr>
          <w:rFonts w:ascii="Arial" w:hAnsi="Arial" w:cs="Arial"/>
          <w:color w:val="474747"/>
        </w:rPr>
        <w:t xml:space="preserve"> </w:t>
      </w:r>
      <w:r w:rsidRPr="00FC01DA">
        <w:rPr>
          <w:rFonts w:ascii="Arial" w:hAnsi="Arial" w:cs="Arial"/>
          <w:color w:val="474747"/>
        </w:rPr>
        <w:t xml:space="preserve">box 1 </w:t>
      </w:r>
      <w:r w:rsidRPr="00FC01DA">
        <w:rPr>
          <w:rFonts w:ascii="Arial" w:hAnsi="Arial" w:cs="Arial"/>
          <w:color w:val="474747"/>
        </w:rPr>
        <w:t xml:space="preserve">below – </w:t>
      </w:r>
      <w:r w:rsidRPr="00FC01DA">
        <w:rPr>
          <w:rFonts w:ascii="Arial" w:hAnsi="Arial" w:cs="Arial"/>
          <w:color w:val="474747"/>
        </w:rPr>
        <w:t>that</w:t>
      </w:r>
      <w:r w:rsidRPr="00FC01DA">
        <w:rPr>
          <w:rFonts w:ascii="Arial" w:hAnsi="Arial" w:cs="Arial"/>
          <w:color w:val="474747"/>
        </w:rPr>
        <w:t xml:space="preserve"> </w:t>
      </w:r>
      <w:r w:rsidRPr="00FC01DA">
        <w:rPr>
          <w:rFonts w:ascii="Arial" w:hAnsi="Arial" w:cs="Arial"/>
          <w:color w:val="474747"/>
        </w:rPr>
        <w:t xml:space="preserve">are </w:t>
      </w:r>
      <w:proofErr w:type="gramStart"/>
      <w:r w:rsidRPr="00FC01DA">
        <w:rPr>
          <w:rFonts w:ascii="Arial" w:hAnsi="Arial" w:cs="Arial"/>
          <w:color w:val="474747"/>
        </w:rPr>
        <w:t>most commonly mislabelled</w:t>
      </w:r>
      <w:proofErr w:type="gramEnd"/>
      <w:r w:rsidRPr="00FC01DA">
        <w:rPr>
          <w:rFonts w:ascii="Arial" w:hAnsi="Arial" w:cs="Arial"/>
          <w:color w:val="474747"/>
        </w:rPr>
        <w:t>:</w:t>
      </w:r>
    </w:p>
    <w:p w14:paraId="21EB7620" w14:textId="77777777" w:rsidR="00FC01DA" w:rsidRPr="00FC01DA" w:rsidRDefault="00FC01DA" w:rsidP="00FC01DA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color w:val="474747"/>
        </w:rPr>
      </w:pPr>
      <w:hyperlink r:id="rId5" w:tgtFrame="_blank" w:history="1">
        <w:r w:rsidRPr="00FC01DA">
          <w:rPr>
            <w:rStyle w:val="Hyperlink"/>
            <w:rFonts w:ascii="Arial" w:hAnsi="Arial" w:cs="Arial"/>
            <w:color w:val="008265"/>
          </w:rPr>
          <w:t>A Guide to Measles, Mumps, Rubella and Varicella Vaccines</w:t>
        </w:r>
      </w:hyperlink>
      <w:r w:rsidRPr="00FC01DA">
        <w:rPr>
          <w:rFonts w:ascii="Arial" w:hAnsi="Arial" w:cs="Arial"/>
          <w:color w:val="474747"/>
        </w:rPr>
        <w:t> (PDF)</w:t>
      </w:r>
    </w:p>
    <w:p w14:paraId="611F80B1" w14:textId="77777777" w:rsidR="00FC01DA" w:rsidRPr="00FC01DA" w:rsidRDefault="00FC01DA" w:rsidP="00FC01DA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color w:val="474747"/>
        </w:rPr>
      </w:pPr>
      <w:hyperlink r:id="rId6" w:tgtFrame="_blank" w:history="1">
        <w:r w:rsidRPr="00FC01DA">
          <w:rPr>
            <w:rStyle w:val="Hyperlink"/>
            <w:rFonts w:ascii="Arial" w:hAnsi="Arial" w:cs="Arial"/>
            <w:color w:val="008265"/>
          </w:rPr>
          <w:t>A Guide to Tetanus-Containing Combination Vaccines</w:t>
        </w:r>
      </w:hyperlink>
      <w:r w:rsidRPr="00FC01DA">
        <w:rPr>
          <w:rFonts w:ascii="Arial" w:hAnsi="Arial" w:cs="Arial"/>
          <w:color w:val="474747"/>
        </w:rPr>
        <w:t> (PDF)</w:t>
      </w:r>
    </w:p>
    <w:p w14:paraId="1098E2B1" w14:textId="77777777" w:rsidR="00FC01DA" w:rsidRPr="00FC01DA" w:rsidRDefault="00FC01DA" w:rsidP="00FC01DA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color w:val="474747"/>
        </w:rPr>
      </w:pPr>
      <w:hyperlink r:id="rId7" w:tgtFrame="_blank" w:history="1">
        <w:r w:rsidRPr="00FC01DA">
          <w:rPr>
            <w:rStyle w:val="Hyperlink"/>
            <w:rFonts w:ascii="Arial" w:hAnsi="Arial" w:cs="Arial"/>
            <w:color w:val="008265"/>
          </w:rPr>
          <w:t>A Guide to Meningococcal Vaccines</w:t>
        </w:r>
      </w:hyperlink>
      <w:r w:rsidRPr="00FC01DA">
        <w:rPr>
          <w:rFonts w:ascii="Arial" w:hAnsi="Arial" w:cs="Arial"/>
          <w:color w:val="474747"/>
        </w:rPr>
        <w:t> (PDF)</w:t>
      </w:r>
    </w:p>
    <w:p w14:paraId="5BA2F8F8" w14:textId="77777777" w:rsidR="00FC01DA" w:rsidRPr="00FC01DA" w:rsidRDefault="00FC01DA">
      <w:pPr>
        <w:rPr>
          <w:sz w:val="24"/>
          <w:szCs w:val="24"/>
        </w:rPr>
      </w:pPr>
    </w:p>
    <w:p w14:paraId="34D4B1C1" w14:textId="322FEBAA" w:rsidR="00FC01DA" w:rsidRDefault="00FC01DA" w:rsidP="00FC01DA">
      <w:pPr>
        <w:jc w:val="center"/>
      </w:pPr>
      <w:r>
        <w:rPr>
          <w:rFonts w:ascii="Georgia" w:hAnsi="Georgia"/>
          <w:noProof/>
          <w:color w:val="474747"/>
          <w:sz w:val="36"/>
          <w:szCs w:val="36"/>
        </w:rPr>
        <w:drawing>
          <wp:inline distT="0" distB="0" distL="0" distR="0" wp14:anchorId="75D9EAD9" wp14:editId="425FBCCE">
            <wp:extent cx="5290615" cy="5716261"/>
            <wp:effectExtent l="0" t="0" r="0" b="0"/>
            <wp:docPr id="19456293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6971" cy="5766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C01DA" w:rsidSect="00FC01D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C02CC"/>
    <w:multiLevelType w:val="multilevel"/>
    <w:tmpl w:val="E294E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AC0473"/>
    <w:multiLevelType w:val="hybridMultilevel"/>
    <w:tmpl w:val="D7FC70F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5367819"/>
    <w:multiLevelType w:val="multilevel"/>
    <w:tmpl w:val="31F4E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969882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193349249">
    <w:abstractNumId w:val="1"/>
  </w:num>
  <w:num w:numId="3" w16cid:durableId="32154368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1DA"/>
    <w:rsid w:val="000B4523"/>
    <w:rsid w:val="000E3384"/>
    <w:rsid w:val="002818E2"/>
    <w:rsid w:val="00CD00CC"/>
    <w:rsid w:val="00DB671F"/>
    <w:rsid w:val="00F9078B"/>
    <w:rsid w:val="00FC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1C684"/>
  <w15:chartTrackingRefBased/>
  <w15:docId w15:val="{2EA6A6ED-26C9-4135-BD74-2F7D1F9EF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1DA"/>
    <w:pPr>
      <w:spacing w:after="0" w:line="240" w:lineRule="auto"/>
    </w:pPr>
    <w:rPr>
      <w:rFonts w:ascii="Calibri" w:hAnsi="Calibri" w:cs="Calibri"/>
      <w:kern w:val="0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C01DA"/>
    <w:rPr>
      <w:b/>
      <w:bCs/>
    </w:rPr>
  </w:style>
  <w:style w:type="paragraph" w:styleId="ListParagraph">
    <w:name w:val="List Paragraph"/>
    <w:basedOn w:val="Normal"/>
    <w:uiPriority w:val="34"/>
    <w:qFormat/>
    <w:rsid w:val="00FC01D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C01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healthunit.com/uploads/a-guide-to-meningococcal-vaccines-june-202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ealthunit.com/uploads/a-guide-to-tetanus-containing-combination-vaccines-june-2023.pdf" TargetMode="External"/><Relationship Id="rId5" Type="http://schemas.openxmlformats.org/officeDocument/2006/relationships/hyperlink" Target="https://www.healthunit.com/uploads/a-guide-to-measles-mumps-rubella-varicella-vaccines-june-2023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921</Characters>
  <Application>Microsoft Office Word</Application>
  <DocSecurity>0</DocSecurity>
  <Lines>28</Lines>
  <Paragraphs>14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Drina Silva</dc:creator>
  <cp:keywords/>
  <dc:description/>
  <cp:lastModifiedBy>Drina Silva</cp:lastModifiedBy>
  <cp:revision>1</cp:revision>
  <dcterms:created xsi:type="dcterms:W3CDTF">2023-06-22T15:15:00Z</dcterms:created>
  <dcterms:modified xsi:type="dcterms:W3CDTF">2023-06-22T15:19:00Z</dcterms:modified>
</cp:coreProperties>
</file>