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DA" w:rsidRPr="00741EDA" w:rsidRDefault="00741EDA" w:rsidP="001E085C">
      <w:pPr>
        <w:shd w:val="clear" w:color="auto" w:fill="F7CAAC" w:themeFill="accent2" w:themeFillTint="66"/>
        <w:spacing w:after="0" w:line="240" w:lineRule="auto"/>
        <w:rPr>
          <w:rFonts w:ascii="Century Gothic" w:eastAsia="Times New Roman" w:hAnsi="Century Gothic" w:cs="Century Gothic"/>
          <w:b/>
          <w:color w:val="002060"/>
          <w:sz w:val="52"/>
          <w:szCs w:val="52"/>
        </w:rPr>
      </w:pPr>
      <w:r w:rsidRPr="00741EDA">
        <w:rPr>
          <w:rFonts w:ascii="Century Gothic" w:eastAsia="Times New Roman" w:hAnsi="Century Gothic" w:cs="Century Gothic"/>
          <w:b/>
          <w:color w:val="002060"/>
          <w:sz w:val="52"/>
          <w:szCs w:val="52"/>
        </w:rPr>
        <w:t>YouthZone</w:t>
      </w:r>
    </w:p>
    <w:p w:rsidR="00741EDA" w:rsidRPr="00741EDA" w:rsidRDefault="00741EDA" w:rsidP="001E085C">
      <w:pPr>
        <w:shd w:val="clear" w:color="auto" w:fill="F7CAAC" w:themeFill="accent2" w:themeFillTint="66"/>
        <w:spacing w:after="0" w:line="240" w:lineRule="auto"/>
        <w:rPr>
          <w:rFonts w:ascii="Century Gothic" w:eastAsia="Times New Roman" w:hAnsi="Century Gothic" w:cs="Century Gothic"/>
          <w:b/>
          <w:iCs/>
          <w:color w:val="002060"/>
          <w:sz w:val="32"/>
          <w:szCs w:val="36"/>
        </w:rPr>
      </w:pPr>
      <w:r w:rsidRPr="00741EDA">
        <w:rPr>
          <w:rFonts w:ascii="Century Gothic" w:eastAsia="Times New Roman" w:hAnsi="Century Gothic" w:cs="Century Gothic"/>
          <w:b/>
          <w:iCs/>
          <w:color w:val="002060"/>
          <w:sz w:val="32"/>
          <w:szCs w:val="36"/>
        </w:rPr>
        <w:t>Program Evaluation Report</w:t>
      </w:r>
    </w:p>
    <w:p w:rsidR="00741EDA" w:rsidRPr="00741EDA" w:rsidRDefault="00705B36" w:rsidP="001E085C">
      <w:pPr>
        <w:shd w:val="clear" w:color="auto" w:fill="F7CAAC" w:themeFill="accent2" w:themeFillTint="66"/>
        <w:spacing w:after="0" w:line="240" w:lineRule="auto"/>
        <w:rPr>
          <w:rFonts w:ascii="Century Gothic" w:eastAsia="Times New Roman" w:hAnsi="Century Gothic" w:cs="Century Gothic"/>
          <w:b/>
          <w:i/>
          <w:iCs/>
          <w:color w:val="002060"/>
          <w:sz w:val="2"/>
          <w:szCs w:val="36"/>
        </w:rPr>
      </w:pPr>
      <w:r w:rsidRPr="005E4578">
        <w:rPr>
          <w:rFonts w:ascii="Century Gothic" w:eastAsia="Times New Roman" w:hAnsi="Century Gothic" w:cs="Century Gothic"/>
          <w:b/>
          <w:i/>
          <w:iCs/>
          <w:color w:val="002060"/>
          <w:sz w:val="28"/>
          <w:szCs w:val="36"/>
        </w:rPr>
        <w:t xml:space="preserve">   </w:t>
      </w:r>
      <w:r w:rsidR="00741EDA" w:rsidRPr="005E4578">
        <w:rPr>
          <w:rFonts w:ascii="Century Gothic" w:eastAsia="Times New Roman" w:hAnsi="Century Gothic" w:cs="Century Gothic"/>
          <w:b/>
          <w:i/>
          <w:iCs/>
          <w:color w:val="002060"/>
          <w:sz w:val="28"/>
          <w:szCs w:val="36"/>
        </w:rPr>
        <w:t>Marijuana and other Substance use</w:t>
      </w:r>
      <w:r w:rsidR="00741EDA" w:rsidRPr="00741EDA">
        <w:rPr>
          <w:rFonts w:ascii="Century Gothic" w:eastAsia="Times New Roman" w:hAnsi="Century Gothic" w:cs="Century Gothic"/>
          <w:b/>
          <w:i/>
          <w:iCs/>
          <w:color w:val="002060"/>
          <w:sz w:val="28"/>
          <w:szCs w:val="36"/>
        </w:rPr>
        <w:t xml:space="preserve"> </w:t>
      </w:r>
      <w:r w:rsidRPr="005E4578">
        <w:rPr>
          <w:rFonts w:ascii="Century Gothic" w:eastAsia="Times New Roman" w:hAnsi="Century Gothic" w:cs="Century Gothic"/>
          <w:b/>
          <w:i/>
          <w:iCs/>
          <w:color w:val="002060"/>
          <w:sz w:val="28"/>
          <w:szCs w:val="36"/>
        </w:rPr>
        <w:t xml:space="preserve">by </w:t>
      </w:r>
      <w:r w:rsidR="00741EDA" w:rsidRPr="00741EDA">
        <w:rPr>
          <w:rFonts w:ascii="Century Gothic" w:eastAsia="Times New Roman" w:hAnsi="Century Gothic" w:cs="Century Gothic"/>
          <w:b/>
          <w:i/>
          <w:iCs/>
          <w:color w:val="002060"/>
          <w:sz w:val="28"/>
          <w:szCs w:val="36"/>
        </w:rPr>
        <w:t>Diversion Program Youth</w:t>
      </w:r>
    </w:p>
    <w:p w:rsidR="00741EDA" w:rsidRPr="00741EDA" w:rsidRDefault="00741EDA" w:rsidP="001E085C">
      <w:pPr>
        <w:shd w:val="clear" w:color="auto" w:fill="F7CAAC" w:themeFill="accent2" w:themeFillTint="66"/>
        <w:spacing w:after="0" w:line="240" w:lineRule="auto"/>
        <w:rPr>
          <w:rFonts w:ascii="Century Gothic" w:eastAsia="Times New Roman" w:hAnsi="Century Gothic" w:cs="Century Gothic"/>
          <w:i/>
          <w:iCs/>
          <w:sz w:val="6"/>
          <w:szCs w:val="36"/>
        </w:rPr>
      </w:pPr>
    </w:p>
    <w:p w:rsidR="00741EDA" w:rsidRPr="00741EDA" w:rsidRDefault="00741EDA" w:rsidP="00741EDA">
      <w:pPr>
        <w:spacing w:before="40" w:after="40" w:line="240" w:lineRule="auto"/>
        <w:rPr>
          <w:rFonts w:ascii="Calibri" w:eastAsia="Times New Roman" w:hAnsi="Calibri" w:cs="Times New Roman"/>
          <w:sz w:val="21"/>
          <w:szCs w:val="21"/>
        </w:rPr>
      </w:pPr>
    </w:p>
    <w:p w:rsidR="00741EDA" w:rsidRPr="00741EDA" w:rsidRDefault="00741EDA" w:rsidP="00741EDA">
      <w:pPr>
        <w:spacing w:before="40" w:after="40" w:line="240" w:lineRule="auto"/>
        <w:rPr>
          <w:rFonts w:ascii="Calibri" w:eastAsia="Times New Roman" w:hAnsi="Calibri" w:cs="Times New Roman"/>
          <w:sz w:val="21"/>
          <w:szCs w:val="21"/>
        </w:rPr>
      </w:pPr>
    </w:p>
    <w:p w:rsidR="00741EDA" w:rsidRPr="001E085C" w:rsidRDefault="0078696B" w:rsidP="00DB403B">
      <w:pPr>
        <w:shd w:val="clear" w:color="auto" w:fill="FBE4D5" w:themeFill="accent2" w:themeFillTint="33"/>
        <w:spacing w:before="40" w:after="40" w:line="240" w:lineRule="auto"/>
        <w:rPr>
          <w:rFonts w:ascii="Trebuchet MS" w:eastAsia="Times New Roman" w:hAnsi="Trebuchet MS" w:cs="Trebuchet MS"/>
          <w:color w:val="002060"/>
          <w:sz w:val="28"/>
          <w:szCs w:val="28"/>
        </w:rPr>
      </w:pPr>
      <w:r w:rsidRPr="001E085C">
        <w:rPr>
          <w:rFonts w:ascii="Trebuchet MS" w:eastAsia="Times New Roman" w:hAnsi="Trebuchet MS" w:cs="Trebuchet MS"/>
          <w:color w:val="002060"/>
          <w:sz w:val="28"/>
          <w:szCs w:val="28"/>
        </w:rPr>
        <w:t>The Prevalence of Youth</w:t>
      </w:r>
      <w:r w:rsidR="00452E29" w:rsidRPr="001E085C">
        <w:rPr>
          <w:rFonts w:ascii="Trebuchet MS" w:eastAsia="Times New Roman" w:hAnsi="Trebuchet MS" w:cs="Trebuchet MS"/>
          <w:color w:val="002060"/>
          <w:sz w:val="28"/>
          <w:szCs w:val="28"/>
        </w:rPr>
        <w:t xml:space="preserve"> Substance Use</w:t>
      </w:r>
    </w:p>
    <w:p w:rsidR="008D7485" w:rsidRPr="00741EDA" w:rsidRDefault="008D7485" w:rsidP="008D7485">
      <w:pPr>
        <w:shd w:val="clear" w:color="auto" w:fill="FFFFFF" w:themeFill="background1"/>
        <w:spacing w:before="40" w:after="40" w:line="240" w:lineRule="auto"/>
        <w:rPr>
          <w:rFonts w:ascii="Trebuchet MS" w:eastAsia="Times New Roman" w:hAnsi="Trebuchet MS" w:cs="Trebuchet MS"/>
          <w:sz w:val="16"/>
          <w:szCs w:val="16"/>
        </w:rPr>
      </w:pPr>
    </w:p>
    <w:p w:rsidR="00741EDA" w:rsidRPr="008D7485" w:rsidRDefault="00741EDA" w:rsidP="008D7485">
      <w:pPr>
        <w:shd w:val="clear" w:color="auto" w:fill="FFFFFF" w:themeFill="background1"/>
        <w:spacing w:line="240" w:lineRule="auto"/>
        <w:rPr>
          <w:rFonts w:eastAsia="Times New Roman" w:cs="Cambria"/>
          <w:sz w:val="16"/>
          <w:szCs w:val="16"/>
        </w:rPr>
        <w:sectPr w:rsidR="00741EDA" w:rsidRPr="008D7485" w:rsidSect="00AF4FD1">
          <w:footerReference w:type="default" r:id="rId7"/>
          <w:footerReference w:type="first" r:id="rId8"/>
          <w:pgSz w:w="12240" w:h="15840"/>
          <w:pgMar w:top="720" w:right="720" w:bottom="720" w:left="720" w:header="720" w:footer="720" w:gutter="0"/>
          <w:cols w:space="720"/>
          <w:titlePg/>
          <w:docGrid w:linePitch="360"/>
        </w:sectPr>
      </w:pPr>
    </w:p>
    <w:p w:rsidR="00AC7F21" w:rsidRDefault="00C2112F" w:rsidP="00CB000C">
      <w:pPr>
        <w:spacing w:after="0" w:line="240" w:lineRule="auto"/>
        <w:jc w:val="both"/>
        <w:rPr>
          <w:rFonts w:eastAsia="Times New Roman" w:cs="Cambria"/>
          <w:sz w:val="21"/>
          <w:szCs w:val="21"/>
        </w:rPr>
      </w:pPr>
      <w:r>
        <w:rPr>
          <w:rFonts w:eastAsia="Times New Roman" w:cs="Cambria"/>
          <w:sz w:val="21"/>
          <w:szCs w:val="21"/>
        </w:rPr>
        <w:t xml:space="preserve">Across </w:t>
      </w:r>
      <w:r w:rsidR="004E3BED">
        <w:rPr>
          <w:rFonts w:eastAsia="Times New Roman" w:cs="Cambria"/>
          <w:sz w:val="21"/>
          <w:szCs w:val="21"/>
        </w:rPr>
        <w:t xml:space="preserve">YouthZone’s service area </w:t>
      </w:r>
      <w:r>
        <w:rPr>
          <w:rFonts w:eastAsia="Times New Roman" w:cs="Cambria"/>
          <w:sz w:val="21"/>
          <w:szCs w:val="21"/>
        </w:rPr>
        <w:t>at least</w:t>
      </w:r>
      <w:r w:rsidR="00867AEC">
        <w:rPr>
          <w:rFonts w:eastAsia="Times New Roman" w:cs="Cambria"/>
          <w:sz w:val="21"/>
          <w:szCs w:val="21"/>
        </w:rPr>
        <w:t xml:space="preserve"> half of youth referred to diversion programs following arrest report they use marijuana occasionally or regularly. </w:t>
      </w:r>
      <w:r w:rsidR="00EB556E">
        <w:rPr>
          <w:rFonts w:eastAsia="Times New Roman" w:cs="Cambria"/>
          <w:sz w:val="21"/>
          <w:szCs w:val="21"/>
        </w:rPr>
        <w:t xml:space="preserve">This is approximately twice the prevalence </w:t>
      </w:r>
      <w:r>
        <w:rPr>
          <w:rFonts w:eastAsia="Times New Roman" w:cs="Cambria"/>
          <w:sz w:val="21"/>
          <w:szCs w:val="21"/>
        </w:rPr>
        <w:t xml:space="preserve">of </w:t>
      </w:r>
      <w:r w:rsidR="00EB556E">
        <w:rPr>
          <w:rFonts w:eastAsia="Times New Roman" w:cs="Cambria"/>
          <w:sz w:val="21"/>
          <w:szCs w:val="21"/>
        </w:rPr>
        <w:t>use among Colorado youth of similar age. Th</w:t>
      </w:r>
      <w:r w:rsidR="00CB000C">
        <w:rPr>
          <w:rFonts w:eastAsia="Times New Roman" w:cs="Cambria"/>
          <w:sz w:val="21"/>
          <w:szCs w:val="21"/>
        </w:rPr>
        <w:t>e</w:t>
      </w:r>
      <w:r w:rsidR="00EB556E">
        <w:rPr>
          <w:rFonts w:eastAsia="Times New Roman" w:cs="Cambria"/>
          <w:sz w:val="21"/>
          <w:szCs w:val="21"/>
        </w:rPr>
        <w:t xml:space="preserve"> statistical link between marijuana and delinquency i</w:t>
      </w:r>
      <w:r w:rsidR="00CB000C">
        <w:rPr>
          <w:rFonts w:eastAsia="Times New Roman" w:cs="Cambria"/>
          <w:sz w:val="21"/>
          <w:szCs w:val="21"/>
        </w:rPr>
        <w:t>s</w:t>
      </w:r>
      <w:r w:rsidR="00EB556E">
        <w:rPr>
          <w:rFonts w:eastAsia="Times New Roman" w:cs="Cambria"/>
          <w:sz w:val="21"/>
          <w:szCs w:val="21"/>
        </w:rPr>
        <w:t xml:space="preserve"> of concern because use has health and developmental risks for children and teens, </w:t>
      </w:r>
      <w:r w:rsidR="00AD76F2">
        <w:rPr>
          <w:rFonts w:eastAsia="Times New Roman" w:cs="Cambria"/>
          <w:sz w:val="21"/>
          <w:szCs w:val="21"/>
        </w:rPr>
        <w:t xml:space="preserve">could interfere with school and community involvement, </w:t>
      </w:r>
      <w:r w:rsidR="00EB556E">
        <w:rPr>
          <w:rFonts w:eastAsia="Times New Roman" w:cs="Cambria"/>
          <w:sz w:val="21"/>
          <w:szCs w:val="21"/>
        </w:rPr>
        <w:t>has a possible causal link with the appearance of misconduct and illegal behavior</w:t>
      </w:r>
      <w:r w:rsidR="00AD76F2">
        <w:rPr>
          <w:rFonts w:eastAsia="Times New Roman" w:cs="Cambria"/>
          <w:sz w:val="21"/>
          <w:szCs w:val="21"/>
        </w:rPr>
        <w:t>, and act</w:t>
      </w:r>
      <w:r w:rsidR="00CB000C">
        <w:rPr>
          <w:rFonts w:eastAsia="Times New Roman" w:cs="Cambria"/>
          <w:sz w:val="21"/>
          <w:szCs w:val="21"/>
        </w:rPr>
        <w:t>s</w:t>
      </w:r>
      <w:r w:rsidR="00AD76F2">
        <w:rPr>
          <w:rFonts w:eastAsia="Times New Roman" w:cs="Cambria"/>
          <w:sz w:val="21"/>
          <w:szCs w:val="21"/>
        </w:rPr>
        <w:t xml:space="preserve"> as a</w:t>
      </w:r>
      <w:r w:rsidR="00CB000C">
        <w:rPr>
          <w:rFonts w:eastAsia="Times New Roman" w:cs="Cambria"/>
          <w:sz w:val="21"/>
          <w:szCs w:val="21"/>
        </w:rPr>
        <w:t xml:space="preserve"> barrier, </w:t>
      </w:r>
      <w:r w:rsidR="00AD76F2">
        <w:rPr>
          <w:rFonts w:eastAsia="Times New Roman" w:cs="Cambria"/>
          <w:sz w:val="21"/>
          <w:szCs w:val="21"/>
        </w:rPr>
        <w:t>hold</w:t>
      </w:r>
      <w:r w:rsidR="00CB000C">
        <w:rPr>
          <w:rFonts w:eastAsia="Times New Roman" w:cs="Cambria"/>
          <w:sz w:val="21"/>
          <w:szCs w:val="21"/>
        </w:rPr>
        <w:t>ing</w:t>
      </w:r>
      <w:r w:rsidR="00AD76F2">
        <w:rPr>
          <w:rFonts w:eastAsia="Times New Roman" w:cs="Cambria"/>
          <w:sz w:val="21"/>
          <w:szCs w:val="21"/>
        </w:rPr>
        <w:t xml:space="preserve"> youth back as diversion programs work to restore their emotional, be</w:t>
      </w:r>
      <w:r w:rsidR="00CB000C">
        <w:rPr>
          <w:rFonts w:eastAsia="Times New Roman" w:cs="Cambria"/>
          <w:sz w:val="21"/>
          <w:szCs w:val="21"/>
        </w:rPr>
        <w:t>havioral</w:t>
      </w:r>
      <w:r w:rsidR="005710EE">
        <w:rPr>
          <w:rFonts w:eastAsia="Times New Roman" w:cs="Cambria"/>
          <w:sz w:val="21"/>
          <w:szCs w:val="21"/>
        </w:rPr>
        <w:t>,</w:t>
      </w:r>
      <w:r w:rsidR="00CB000C">
        <w:rPr>
          <w:rFonts w:eastAsia="Times New Roman" w:cs="Cambria"/>
          <w:sz w:val="21"/>
          <w:szCs w:val="21"/>
        </w:rPr>
        <w:t xml:space="preserve"> and social well-being.</w:t>
      </w:r>
      <w:r w:rsidR="005710EE">
        <w:rPr>
          <w:rFonts w:eastAsia="Times New Roman" w:cs="Cambria"/>
          <w:sz w:val="21"/>
          <w:szCs w:val="21"/>
        </w:rPr>
        <w:t xml:space="preserve"> </w:t>
      </w:r>
      <w:r w:rsidR="005710EE" w:rsidRPr="005710EE">
        <w:rPr>
          <w:rFonts w:eastAsia="Times New Roman" w:cs="Cambria"/>
          <w:sz w:val="21"/>
          <w:szCs w:val="21"/>
        </w:rPr>
        <w:t xml:space="preserve">The purpose of this evaluation was to </w:t>
      </w:r>
      <w:r w:rsidR="005710EE">
        <w:rPr>
          <w:rFonts w:eastAsia="Times New Roman" w:cs="Cambria"/>
          <w:sz w:val="21"/>
          <w:szCs w:val="21"/>
        </w:rPr>
        <w:t xml:space="preserve">examine </w:t>
      </w:r>
      <w:r w:rsidR="005710EE" w:rsidRPr="005710EE">
        <w:rPr>
          <w:rFonts w:eastAsia="Times New Roman" w:cs="Cambria"/>
          <w:sz w:val="21"/>
          <w:szCs w:val="21"/>
        </w:rPr>
        <w:t xml:space="preserve">YouthZone diversion clients’ history of marijuana </w:t>
      </w:r>
      <w:r w:rsidR="005710EE" w:rsidRPr="00CE3306">
        <w:rPr>
          <w:rFonts w:eastAsia="Times New Roman" w:cs="Cambria"/>
          <w:sz w:val="21"/>
          <w:szCs w:val="21"/>
        </w:rPr>
        <w:t>us</w:t>
      </w:r>
      <w:r w:rsidR="005F642C" w:rsidRPr="00CE3306">
        <w:rPr>
          <w:rFonts w:eastAsia="Times New Roman" w:cs="Cambria"/>
          <w:sz w:val="21"/>
          <w:szCs w:val="21"/>
        </w:rPr>
        <w:t>e</w:t>
      </w:r>
      <w:r w:rsidR="005710EE" w:rsidRPr="005710EE">
        <w:rPr>
          <w:rFonts w:eastAsia="Times New Roman" w:cs="Cambria"/>
          <w:sz w:val="21"/>
          <w:szCs w:val="21"/>
        </w:rPr>
        <w:t xml:space="preserve"> and their possible needs for </w:t>
      </w:r>
      <w:r w:rsidR="005710EE">
        <w:rPr>
          <w:rFonts w:eastAsia="Times New Roman" w:cs="Cambria"/>
          <w:sz w:val="21"/>
          <w:szCs w:val="21"/>
        </w:rPr>
        <w:t>substance use intervention</w:t>
      </w:r>
      <w:r w:rsidR="005710EE" w:rsidRPr="005710EE">
        <w:rPr>
          <w:rFonts w:eastAsia="Times New Roman" w:cs="Cambria"/>
          <w:sz w:val="21"/>
          <w:szCs w:val="21"/>
        </w:rPr>
        <w:t>.</w:t>
      </w:r>
    </w:p>
    <w:p w:rsidR="00CB000C" w:rsidRPr="00CB000C" w:rsidRDefault="00CB000C" w:rsidP="00CB000C">
      <w:pPr>
        <w:spacing w:after="0" w:line="240" w:lineRule="auto"/>
        <w:jc w:val="both"/>
        <w:rPr>
          <w:rFonts w:eastAsia="Times New Roman" w:cs="Cambria"/>
          <w:sz w:val="16"/>
          <w:szCs w:val="16"/>
        </w:rPr>
      </w:pPr>
    </w:p>
    <w:p w:rsidR="00AD76F2" w:rsidRDefault="005710EE" w:rsidP="00CB000C">
      <w:pPr>
        <w:spacing w:after="0" w:line="240" w:lineRule="auto"/>
        <w:jc w:val="both"/>
        <w:rPr>
          <w:rFonts w:eastAsia="Times New Roman" w:cs="Cambria"/>
          <w:sz w:val="21"/>
          <w:szCs w:val="21"/>
        </w:rPr>
      </w:pPr>
      <w:r>
        <w:rPr>
          <w:rFonts w:eastAsia="Times New Roman" w:cs="Cambria"/>
          <w:sz w:val="21"/>
          <w:szCs w:val="21"/>
        </w:rPr>
        <w:t>O</w:t>
      </w:r>
      <w:r w:rsidR="00AD76F2">
        <w:rPr>
          <w:rFonts w:eastAsia="Times New Roman" w:cs="Cambria"/>
          <w:sz w:val="21"/>
          <w:szCs w:val="21"/>
        </w:rPr>
        <w:t>nly a small minority of Colorado delinquency diversion program</w:t>
      </w:r>
      <w:r w:rsidR="004E708E">
        <w:rPr>
          <w:rFonts w:eastAsia="Times New Roman" w:cs="Cambria"/>
          <w:sz w:val="21"/>
          <w:szCs w:val="21"/>
        </w:rPr>
        <w:t>s</w:t>
      </w:r>
      <w:r w:rsidR="00AD76F2">
        <w:rPr>
          <w:rFonts w:eastAsia="Times New Roman" w:cs="Cambria"/>
          <w:sz w:val="21"/>
          <w:szCs w:val="21"/>
        </w:rPr>
        <w:t xml:space="preserve"> have developed interventions to reduce substance use among their clients. By contrast, YouthZone has assessed the substance </w:t>
      </w:r>
      <w:r w:rsidR="007F0C4B">
        <w:rPr>
          <w:rFonts w:eastAsia="Times New Roman" w:cs="Cambria"/>
          <w:sz w:val="21"/>
          <w:szCs w:val="21"/>
        </w:rPr>
        <w:t xml:space="preserve">problems </w:t>
      </w:r>
      <w:r w:rsidR="00AD76F2">
        <w:rPr>
          <w:rFonts w:eastAsia="Times New Roman" w:cs="Cambria"/>
          <w:sz w:val="21"/>
          <w:szCs w:val="21"/>
        </w:rPr>
        <w:t xml:space="preserve">of their clients continuously for </w:t>
      </w:r>
      <w:r w:rsidR="007F0C4B">
        <w:rPr>
          <w:rFonts w:eastAsia="Times New Roman" w:cs="Cambria"/>
          <w:sz w:val="21"/>
          <w:szCs w:val="21"/>
        </w:rPr>
        <w:t xml:space="preserve">the last 18 years </w:t>
      </w:r>
      <w:r w:rsidR="00AD76F2">
        <w:rPr>
          <w:rFonts w:eastAsia="Times New Roman" w:cs="Cambria"/>
          <w:sz w:val="21"/>
          <w:szCs w:val="21"/>
        </w:rPr>
        <w:t xml:space="preserve">and </w:t>
      </w:r>
      <w:r w:rsidR="00B530BF">
        <w:rPr>
          <w:rFonts w:eastAsia="Times New Roman" w:cs="Cambria"/>
          <w:sz w:val="21"/>
          <w:szCs w:val="21"/>
        </w:rPr>
        <w:t>has tested various approaches t</w:t>
      </w:r>
      <w:r w:rsidR="007F0C4B">
        <w:rPr>
          <w:rFonts w:eastAsia="Times New Roman" w:cs="Cambria"/>
          <w:sz w:val="21"/>
          <w:szCs w:val="21"/>
        </w:rPr>
        <w:t xml:space="preserve">o reducing use. This evaluation report looks back on some of the most important lessons learned in YouthZone’s service history, scans recent research on the </w:t>
      </w:r>
      <w:r w:rsidR="00C2112F">
        <w:rPr>
          <w:rFonts w:eastAsia="Times New Roman" w:cs="Cambria"/>
          <w:sz w:val="21"/>
          <w:szCs w:val="21"/>
        </w:rPr>
        <w:t>use prevalence</w:t>
      </w:r>
      <w:r w:rsidR="007F0C4B">
        <w:rPr>
          <w:rFonts w:eastAsia="Times New Roman" w:cs="Cambria"/>
          <w:sz w:val="21"/>
          <w:szCs w:val="21"/>
        </w:rPr>
        <w:t>, and analyze</w:t>
      </w:r>
      <w:r w:rsidR="00C2112F">
        <w:rPr>
          <w:rFonts w:eastAsia="Times New Roman" w:cs="Cambria"/>
          <w:sz w:val="21"/>
          <w:szCs w:val="21"/>
        </w:rPr>
        <w:t>s</w:t>
      </w:r>
      <w:r w:rsidR="007F0C4B">
        <w:rPr>
          <w:rFonts w:eastAsia="Times New Roman" w:cs="Cambria"/>
          <w:sz w:val="21"/>
          <w:szCs w:val="21"/>
        </w:rPr>
        <w:t xml:space="preserve"> substance use data from </w:t>
      </w:r>
      <w:r w:rsidR="00E7385D">
        <w:rPr>
          <w:rFonts w:eastAsia="Times New Roman" w:cs="Cambria"/>
          <w:sz w:val="21"/>
          <w:szCs w:val="21"/>
        </w:rPr>
        <w:t xml:space="preserve">clients seen during </w:t>
      </w:r>
      <w:r w:rsidR="007F0C4B">
        <w:rPr>
          <w:rFonts w:eastAsia="Times New Roman" w:cs="Cambria"/>
          <w:sz w:val="21"/>
          <w:szCs w:val="21"/>
        </w:rPr>
        <w:t>the last three years</w:t>
      </w:r>
      <w:r w:rsidR="00E7385D">
        <w:rPr>
          <w:rFonts w:eastAsia="Times New Roman" w:cs="Cambria"/>
          <w:sz w:val="21"/>
          <w:szCs w:val="21"/>
        </w:rPr>
        <w:t>.</w:t>
      </w:r>
    </w:p>
    <w:p w:rsidR="00CB000C" w:rsidRDefault="00CB000C" w:rsidP="00CB000C">
      <w:pPr>
        <w:spacing w:after="0" w:line="240" w:lineRule="auto"/>
        <w:jc w:val="both"/>
        <w:rPr>
          <w:rFonts w:eastAsia="Times New Roman" w:cs="Cambria"/>
          <w:sz w:val="21"/>
          <w:szCs w:val="21"/>
        </w:rPr>
      </w:pPr>
    </w:p>
    <w:p w:rsidR="00C2112F" w:rsidRDefault="00396C86" w:rsidP="00CB000C">
      <w:pPr>
        <w:spacing w:after="0" w:line="240" w:lineRule="auto"/>
        <w:jc w:val="both"/>
        <w:rPr>
          <w:rFonts w:eastAsia="Times New Roman" w:cs="Cambria"/>
          <w:sz w:val="21"/>
          <w:szCs w:val="21"/>
        </w:rPr>
      </w:pPr>
      <w:r>
        <w:rPr>
          <w:rFonts w:asciiTheme="minorHAnsi" w:eastAsia="Times New Roman" w:hAnsiTheme="minorHAnsi" w:cs="Cambria"/>
          <w:b/>
          <w:sz w:val="24"/>
          <w:szCs w:val="24"/>
        </w:rPr>
        <w:t>The Epidemiology of Marijuana Use</w:t>
      </w:r>
      <w:r>
        <w:rPr>
          <w:rFonts w:eastAsia="Times New Roman" w:cs="Cambria"/>
          <w:sz w:val="21"/>
          <w:szCs w:val="21"/>
        </w:rPr>
        <w:t xml:space="preserve">   </w:t>
      </w:r>
      <w:r w:rsidR="00CB000C">
        <w:rPr>
          <w:rFonts w:eastAsia="Times New Roman" w:cs="Cambria"/>
          <w:sz w:val="21"/>
          <w:szCs w:val="21"/>
        </w:rPr>
        <w:t>As years have passed, y</w:t>
      </w:r>
      <w:r w:rsidR="00674078">
        <w:rPr>
          <w:rFonts w:eastAsia="Times New Roman" w:cs="Cambria"/>
          <w:sz w:val="21"/>
          <w:szCs w:val="21"/>
        </w:rPr>
        <w:t xml:space="preserve">outh use of </w:t>
      </w:r>
      <w:r w:rsidR="00CB000C">
        <w:rPr>
          <w:rFonts w:eastAsia="Times New Roman" w:cs="Cambria"/>
          <w:sz w:val="21"/>
          <w:szCs w:val="21"/>
        </w:rPr>
        <w:t xml:space="preserve">marijuana and other </w:t>
      </w:r>
      <w:r w:rsidR="00674078">
        <w:rPr>
          <w:rFonts w:eastAsia="Times New Roman" w:cs="Cambria"/>
          <w:sz w:val="21"/>
          <w:szCs w:val="21"/>
        </w:rPr>
        <w:t xml:space="preserve">substances </w:t>
      </w:r>
      <w:r w:rsidR="00CB000C">
        <w:rPr>
          <w:rFonts w:eastAsia="Times New Roman" w:cs="Cambria"/>
          <w:sz w:val="21"/>
          <w:szCs w:val="21"/>
        </w:rPr>
        <w:t xml:space="preserve">has </w:t>
      </w:r>
      <w:r w:rsidR="00674078">
        <w:rPr>
          <w:rFonts w:eastAsia="Times New Roman" w:cs="Cambria"/>
          <w:sz w:val="21"/>
          <w:szCs w:val="21"/>
        </w:rPr>
        <w:t>change</w:t>
      </w:r>
      <w:r w:rsidR="00CB000C">
        <w:rPr>
          <w:rFonts w:eastAsia="Times New Roman" w:cs="Cambria"/>
          <w:sz w:val="21"/>
          <w:szCs w:val="21"/>
        </w:rPr>
        <w:t>d</w:t>
      </w:r>
      <w:r w:rsidR="00674078">
        <w:rPr>
          <w:rFonts w:eastAsia="Times New Roman" w:cs="Cambria"/>
          <w:sz w:val="21"/>
          <w:szCs w:val="21"/>
        </w:rPr>
        <w:t xml:space="preserve"> gradually at state and national levels. Significant trends do not become clear for five or more years. For this reason, recent research on the incidence of youth </w:t>
      </w:r>
      <w:r w:rsidR="00CB000C">
        <w:rPr>
          <w:rFonts w:eastAsia="Times New Roman" w:cs="Cambria"/>
          <w:sz w:val="21"/>
          <w:szCs w:val="21"/>
        </w:rPr>
        <w:t xml:space="preserve">experimenting for the first time </w:t>
      </w:r>
      <w:r w:rsidR="00674078">
        <w:rPr>
          <w:rFonts w:eastAsia="Times New Roman" w:cs="Cambria"/>
          <w:sz w:val="21"/>
          <w:szCs w:val="21"/>
        </w:rPr>
        <w:t xml:space="preserve">and </w:t>
      </w:r>
      <w:r w:rsidR="00CB000C">
        <w:rPr>
          <w:rFonts w:eastAsia="Times New Roman" w:cs="Cambria"/>
          <w:sz w:val="21"/>
          <w:szCs w:val="21"/>
        </w:rPr>
        <w:t>the</w:t>
      </w:r>
      <w:r w:rsidR="00674078">
        <w:rPr>
          <w:rFonts w:eastAsia="Times New Roman" w:cs="Cambria"/>
          <w:sz w:val="21"/>
          <w:szCs w:val="21"/>
        </w:rPr>
        <w:t xml:space="preserve"> prevalence</w:t>
      </w:r>
      <w:r w:rsidR="00CB000C">
        <w:rPr>
          <w:rFonts w:eastAsia="Times New Roman" w:cs="Cambria"/>
          <w:sz w:val="21"/>
          <w:szCs w:val="21"/>
        </w:rPr>
        <w:t xml:space="preserve"> or commonness of use</w:t>
      </w:r>
      <w:r w:rsidR="00674078">
        <w:rPr>
          <w:rFonts w:eastAsia="Times New Roman" w:cs="Cambria"/>
          <w:sz w:val="21"/>
          <w:szCs w:val="21"/>
        </w:rPr>
        <w:t xml:space="preserve"> have been difficult to read. Some states are relaxing </w:t>
      </w:r>
      <w:r w:rsidR="00CB000C">
        <w:rPr>
          <w:rFonts w:eastAsia="Times New Roman" w:cs="Cambria"/>
          <w:sz w:val="21"/>
          <w:szCs w:val="21"/>
        </w:rPr>
        <w:t xml:space="preserve">marijuana </w:t>
      </w:r>
      <w:r w:rsidR="00674078">
        <w:rPr>
          <w:rFonts w:eastAsia="Times New Roman" w:cs="Cambria"/>
          <w:sz w:val="21"/>
          <w:szCs w:val="21"/>
        </w:rPr>
        <w:t>law</w:t>
      </w:r>
      <w:r w:rsidR="00CB000C">
        <w:rPr>
          <w:rFonts w:eastAsia="Times New Roman" w:cs="Cambria"/>
          <w:sz w:val="21"/>
          <w:szCs w:val="21"/>
        </w:rPr>
        <w:t>s</w:t>
      </w:r>
      <w:r w:rsidR="00674078">
        <w:rPr>
          <w:rFonts w:eastAsia="Times New Roman" w:cs="Cambria"/>
          <w:sz w:val="21"/>
          <w:szCs w:val="21"/>
        </w:rPr>
        <w:t xml:space="preserve"> while others have resisted legalization. </w:t>
      </w:r>
      <w:r w:rsidR="00E6184F">
        <w:rPr>
          <w:rFonts w:eastAsia="Times New Roman" w:cs="Cambria"/>
          <w:sz w:val="21"/>
          <w:szCs w:val="21"/>
        </w:rPr>
        <w:t xml:space="preserve">Further, youth in states that have legalized were </w:t>
      </w:r>
      <w:r w:rsidR="00E65F5B">
        <w:rPr>
          <w:rFonts w:eastAsia="Times New Roman" w:cs="Cambria"/>
          <w:sz w:val="21"/>
          <w:szCs w:val="21"/>
        </w:rPr>
        <w:t xml:space="preserve">always </w:t>
      </w:r>
      <w:r w:rsidR="00E6184F">
        <w:rPr>
          <w:rFonts w:eastAsia="Times New Roman" w:cs="Cambria"/>
          <w:sz w:val="21"/>
          <w:szCs w:val="21"/>
        </w:rPr>
        <w:t xml:space="preserve">more </w:t>
      </w:r>
      <w:r w:rsidR="00E65F5B">
        <w:rPr>
          <w:rFonts w:eastAsia="Times New Roman" w:cs="Cambria"/>
          <w:sz w:val="21"/>
          <w:szCs w:val="21"/>
        </w:rPr>
        <w:t xml:space="preserve">tolerant and </w:t>
      </w:r>
      <w:r w:rsidR="00E6184F">
        <w:rPr>
          <w:rFonts w:eastAsia="Times New Roman" w:cs="Cambria"/>
          <w:sz w:val="21"/>
          <w:szCs w:val="21"/>
        </w:rPr>
        <w:t xml:space="preserve">active consumers before laws changed, adding to the complications of answering the question, “Does legalization promote youth use of marijuana?” Some research on marijuana and youth </w:t>
      </w:r>
      <w:r w:rsidR="00E65F5B">
        <w:rPr>
          <w:rFonts w:eastAsia="Times New Roman" w:cs="Cambria"/>
          <w:sz w:val="21"/>
          <w:szCs w:val="21"/>
        </w:rPr>
        <w:t xml:space="preserve">does </w:t>
      </w:r>
      <w:r w:rsidR="00E6184F">
        <w:rPr>
          <w:rFonts w:eastAsia="Times New Roman" w:cs="Cambria"/>
          <w:sz w:val="21"/>
          <w:szCs w:val="21"/>
        </w:rPr>
        <w:t xml:space="preserve">give new perspective on </w:t>
      </w:r>
      <w:r w:rsidR="00E65F5B">
        <w:rPr>
          <w:rFonts w:eastAsia="Times New Roman" w:cs="Cambria"/>
          <w:sz w:val="21"/>
          <w:szCs w:val="21"/>
        </w:rPr>
        <w:t xml:space="preserve">questions of </w:t>
      </w:r>
      <w:r w:rsidR="00E6184F">
        <w:rPr>
          <w:rFonts w:eastAsia="Times New Roman" w:cs="Cambria"/>
          <w:sz w:val="21"/>
          <w:szCs w:val="21"/>
        </w:rPr>
        <w:t>epidemiolog</w:t>
      </w:r>
      <w:r w:rsidR="00E65F5B">
        <w:rPr>
          <w:rFonts w:eastAsia="Times New Roman" w:cs="Cambria"/>
          <w:sz w:val="21"/>
          <w:szCs w:val="21"/>
        </w:rPr>
        <w:t>y</w:t>
      </w:r>
      <w:r w:rsidR="00270661">
        <w:rPr>
          <w:rFonts w:eastAsia="Times New Roman" w:cs="Cambria"/>
          <w:sz w:val="21"/>
          <w:szCs w:val="21"/>
        </w:rPr>
        <w:t>:</w:t>
      </w:r>
    </w:p>
    <w:p w:rsidR="00270661" w:rsidRPr="00270661" w:rsidRDefault="00270661" w:rsidP="00CB000C">
      <w:pPr>
        <w:spacing w:after="0" w:line="240" w:lineRule="auto"/>
        <w:jc w:val="both"/>
        <w:rPr>
          <w:rFonts w:eastAsia="Times New Roman" w:cs="Cambria"/>
          <w:sz w:val="16"/>
          <w:szCs w:val="16"/>
        </w:rPr>
      </w:pPr>
    </w:p>
    <w:p w:rsidR="00E7385D" w:rsidRDefault="00FB0BD5" w:rsidP="00CB000C">
      <w:pPr>
        <w:pStyle w:val="ListParagraph"/>
        <w:numPr>
          <w:ilvl w:val="0"/>
          <w:numId w:val="3"/>
        </w:numPr>
        <w:spacing w:after="0" w:line="240" w:lineRule="auto"/>
        <w:jc w:val="both"/>
        <w:rPr>
          <w:rFonts w:eastAsia="Times New Roman" w:cs="Cambria"/>
          <w:sz w:val="21"/>
          <w:szCs w:val="21"/>
        </w:rPr>
      </w:pPr>
      <w:proofErr w:type="spellStart"/>
      <w:r>
        <w:rPr>
          <w:rFonts w:eastAsia="Times New Roman" w:cs="Cambria"/>
          <w:sz w:val="21"/>
          <w:szCs w:val="21"/>
        </w:rPr>
        <w:t>Dembro</w:t>
      </w:r>
      <w:proofErr w:type="spellEnd"/>
      <w:r>
        <w:rPr>
          <w:rFonts w:eastAsia="Times New Roman" w:cs="Cambria"/>
          <w:sz w:val="21"/>
          <w:szCs w:val="21"/>
        </w:rPr>
        <w:t xml:space="preserve"> et al. (2015) attempted to determine youth honesty in answering surveys – the most common means of measuring use. Concurrent surveying and urine testing revealed that </w:t>
      </w:r>
      <w:r w:rsidR="004D3E83">
        <w:rPr>
          <w:rFonts w:eastAsia="Times New Roman" w:cs="Cambria"/>
          <w:sz w:val="21"/>
          <w:szCs w:val="21"/>
        </w:rPr>
        <w:t xml:space="preserve">young </w:t>
      </w:r>
      <w:r w:rsidR="004D3E83">
        <w:rPr>
          <w:rFonts w:eastAsia="Times New Roman" w:cs="Cambria"/>
          <w:sz w:val="21"/>
          <w:szCs w:val="21"/>
        </w:rPr>
        <w:t>teens minimized their use on surveys while older youth were more forthright.</w:t>
      </w:r>
      <w:r w:rsidR="00C25F8E">
        <w:rPr>
          <w:rFonts w:eastAsia="Times New Roman" w:cs="Cambria"/>
          <w:sz w:val="21"/>
          <w:szCs w:val="21"/>
        </w:rPr>
        <w:t xml:space="preserve"> Youth surveyed in law enforcement, judicial, or probation settings may report much less use than </w:t>
      </w:r>
      <w:r w:rsidR="007C3C06">
        <w:rPr>
          <w:rFonts w:eastAsia="Times New Roman" w:cs="Cambria"/>
          <w:sz w:val="21"/>
          <w:szCs w:val="21"/>
        </w:rPr>
        <w:t>do</w:t>
      </w:r>
      <w:r w:rsidR="00C25F8E">
        <w:rPr>
          <w:rFonts w:eastAsia="Times New Roman" w:cs="Cambria"/>
          <w:sz w:val="21"/>
          <w:szCs w:val="21"/>
        </w:rPr>
        <w:t xml:space="preserve"> similarly aged youth in their communities. Survey setting may affect </w:t>
      </w:r>
      <w:r w:rsidR="00F81869">
        <w:rPr>
          <w:rFonts w:eastAsia="Times New Roman" w:cs="Cambria"/>
          <w:sz w:val="21"/>
          <w:szCs w:val="21"/>
        </w:rPr>
        <w:t>youth responding to substance use questioning.</w:t>
      </w:r>
    </w:p>
    <w:p w:rsidR="004D3E83" w:rsidRDefault="00D22CEF" w:rsidP="00CB000C">
      <w:pPr>
        <w:pStyle w:val="ListParagraph"/>
        <w:numPr>
          <w:ilvl w:val="0"/>
          <w:numId w:val="3"/>
        </w:numPr>
        <w:spacing w:after="0" w:line="240" w:lineRule="auto"/>
        <w:jc w:val="both"/>
        <w:rPr>
          <w:rFonts w:eastAsia="Times New Roman" w:cs="Cambria"/>
          <w:sz w:val="21"/>
          <w:szCs w:val="21"/>
        </w:rPr>
      </w:pPr>
      <w:proofErr w:type="spellStart"/>
      <w:r>
        <w:rPr>
          <w:rFonts w:eastAsia="Times New Roman" w:cs="Cambria"/>
          <w:sz w:val="21"/>
          <w:szCs w:val="21"/>
        </w:rPr>
        <w:t>Hasin</w:t>
      </w:r>
      <w:proofErr w:type="spellEnd"/>
      <w:r>
        <w:rPr>
          <w:rFonts w:eastAsia="Times New Roman" w:cs="Cambria"/>
          <w:sz w:val="21"/>
          <w:szCs w:val="21"/>
        </w:rPr>
        <w:t xml:space="preserve">, et al. (2015) </w:t>
      </w:r>
      <w:r w:rsidR="006D4B8E">
        <w:rPr>
          <w:rFonts w:eastAsia="Times New Roman" w:cs="Cambria"/>
          <w:sz w:val="21"/>
          <w:szCs w:val="21"/>
        </w:rPr>
        <w:t>accessing</w:t>
      </w:r>
      <w:r>
        <w:rPr>
          <w:rFonts w:eastAsia="Times New Roman" w:cs="Cambria"/>
          <w:sz w:val="21"/>
          <w:szCs w:val="21"/>
        </w:rPr>
        <w:t xml:space="preserve"> US data sources showed that there </w:t>
      </w:r>
      <w:r w:rsidR="006D4B8E">
        <w:rPr>
          <w:rFonts w:eastAsia="Times New Roman" w:cs="Cambria"/>
          <w:sz w:val="21"/>
          <w:szCs w:val="21"/>
        </w:rPr>
        <w:t>has been</w:t>
      </w:r>
      <w:r>
        <w:rPr>
          <w:rFonts w:eastAsia="Times New Roman" w:cs="Cambria"/>
          <w:sz w:val="21"/>
          <w:szCs w:val="21"/>
        </w:rPr>
        <w:t xml:space="preserve"> an upward trend</w:t>
      </w:r>
      <w:r w:rsidR="006D4B8E">
        <w:rPr>
          <w:rFonts w:eastAsia="Times New Roman" w:cs="Cambria"/>
          <w:sz w:val="21"/>
          <w:szCs w:val="21"/>
        </w:rPr>
        <w:t xml:space="preserve"> in marijuana use over the last decade and a half. </w:t>
      </w:r>
      <w:r w:rsidR="006D4B8E" w:rsidRPr="006D4B8E">
        <w:rPr>
          <w:rFonts w:eastAsia="Times New Roman" w:cs="Cambria"/>
          <w:sz w:val="21"/>
          <w:szCs w:val="21"/>
        </w:rPr>
        <w:t>The prevalence of marijuana use more than doubled between 2001-2002 and 2012-2013</w:t>
      </w:r>
      <w:r w:rsidR="00FA6A01">
        <w:rPr>
          <w:rFonts w:eastAsia="Times New Roman" w:cs="Cambria"/>
          <w:sz w:val="21"/>
          <w:szCs w:val="21"/>
        </w:rPr>
        <w:t>. T</w:t>
      </w:r>
      <w:r w:rsidR="006D4B8E" w:rsidRPr="006D4B8E">
        <w:rPr>
          <w:rFonts w:eastAsia="Times New Roman" w:cs="Cambria"/>
          <w:sz w:val="21"/>
          <w:szCs w:val="21"/>
        </w:rPr>
        <w:t xml:space="preserve">here </w:t>
      </w:r>
      <w:r w:rsidR="00FA6A01">
        <w:rPr>
          <w:rFonts w:eastAsia="Times New Roman" w:cs="Cambria"/>
          <w:sz w:val="21"/>
          <w:szCs w:val="21"/>
        </w:rPr>
        <w:t>has been</w:t>
      </w:r>
      <w:r w:rsidR="006D4B8E" w:rsidRPr="006D4B8E">
        <w:rPr>
          <w:rFonts w:eastAsia="Times New Roman" w:cs="Cambria"/>
          <w:sz w:val="21"/>
          <w:szCs w:val="21"/>
        </w:rPr>
        <w:t xml:space="preserve"> </w:t>
      </w:r>
      <w:r w:rsidR="004E708E">
        <w:rPr>
          <w:rFonts w:eastAsia="Times New Roman" w:cs="Cambria"/>
          <w:sz w:val="21"/>
          <w:szCs w:val="21"/>
        </w:rPr>
        <w:t xml:space="preserve">a </w:t>
      </w:r>
      <w:r w:rsidR="006D4B8E" w:rsidRPr="006D4B8E">
        <w:rPr>
          <w:rFonts w:eastAsia="Times New Roman" w:cs="Cambria"/>
          <w:sz w:val="21"/>
          <w:szCs w:val="21"/>
        </w:rPr>
        <w:t>large increase in marijuana use disorders during th</w:t>
      </w:r>
      <w:r w:rsidR="00FA6A01">
        <w:rPr>
          <w:rFonts w:eastAsia="Times New Roman" w:cs="Cambria"/>
          <w:sz w:val="21"/>
          <w:szCs w:val="21"/>
        </w:rPr>
        <w:t>is</w:t>
      </w:r>
      <w:r w:rsidR="006D4B8E" w:rsidRPr="006D4B8E">
        <w:rPr>
          <w:rFonts w:eastAsia="Times New Roman" w:cs="Cambria"/>
          <w:sz w:val="21"/>
          <w:szCs w:val="21"/>
        </w:rPr>
        <w:t xml:space="preserve"> time. While not all marijuana users experience problems, nearly 3 of 10 marijuana users manifested a marijuana use disorder in 2012-2013.</w:t>
      </w:r>
    </w:p>
    <w:p w:rsidR="006D4B8E" w:rsidRDefault="006B4019" w:rsidP="00CB000C">
      <w:pPr>
        <w:pStyle w:val="ListParagraph"/>
        <w:numPr>
          <w:ilvl w:val="0"/>
          <w:numId w:val="3"/>
        </w:numPr>
        <w:spacing w:after="0" w:line="240" w:lineRule="auto"/>
        <w:jc w:val="both"/>
        <w:rPr>
          <w:rFonts w:eastAsia="Times New Roman" w:cs="Cambria"/>
          <w:sz w:val="21"/>
          <w:szCs w:val="21"/>
        </w:rPr>
      </w:pPr>
      <w:r>
        <w:rPr>
          <w:rFonts w:eastAsia="Times New Roman" w:cs="Cambria"/>
          <w:sz w:val="21"/>
          <w:szCs w:val="21"/>
        </w:rPr>
        <w:t xml:space="preserve">Salas-Wright, et al. (2015) found that nationally, </w:t>
      </w:r>
      <w:r w:rsidR="00A721E2">
        <w:rPr>
          <w:rFonts w:eastAsia="Times New Roman" w:cs="Cambria"/>
          <w:sz w:val="21"/>
          <w:szCs w:val="21"/>
        </w:rPr>
        <w:t xml:space="preserve">older </w:t>
      </w:r>
      <w:r>
        <w:rPr>
          <w:rFonts w:eastAsia="Times New Roman" w:cs="Cambria"/>
          <w:sz w:val="21"/>
          <w:szCs w:val="21"/>
        </w:rPr>
        <w:t xml:space="preserve">youth </w:t>
      </w:r>
      <w:bookmarkStart w:id="0" w:name="_GoBack"/>
      <w:bookmarkEnd w:id="0"/>
      <w:r>
        <w:rPr>
          <w:rFonts w:eastAsia="Times New Roman" w:cs="Cambria"/>
          <w:sz w:val="21"/>
          <w:szCs w:val="21"/>
        </w:rPr>
        <w:t>over a 10-year period have lessened their disapproval of marijuana use</w:t>
      </w:r>
      <w:r w:rsidR="00FA6A01">
        <w:rPr>
          <w:rFonts w:eastAsia="Times New Roman" w:cs="Cambria"/>
          <w:sz w:val="21"/>
          <w:szCs w:val="21"/>
        </w:rPr>
        <w:t>, thereby becoming more tolerant of use</w:t>
      </w:r>
      <w:r w:rsidR="00A721E2">
        <w:rPr>
          <w:rFonts w:eastAsia="Times New Roman" w:cs="Cambria"/>
          <w:sz w:val="21"/>
          <w:szCs w:val="21"/>
        </w:rPr>
        <w:t>.</w:t>
      </w:r>
    </w:p>
    <w:p w:rsidR="00A721E2" w:rsidRDefault="00270661" w:rsidP="00CB000C">
      <w:pPr>
        <w:pStyle w:val="ListParagraph"/>
        <w:numPr>
          <w:ilvl w:val="0"/>
          <w:numId w:val="3"/>
        </w:numPr>
        <w:spacing w:after="0" w:line="240" w:lineRule="auto"/>
        <w:jc w:val="both"/>
        <w:rPr>
          <w:rFonts w:eastAsia="Times New Roman" w:cs="Cambria"/>
          <w:sz w:val="21"/>
          <w:szCs w:val="21"/>
        </w:rPr>
      </w:pPr>
      <w:r>
        <w:rPr>
          <w:rFonts w:eastAsia="Times New Roman" w:cs="Cambria"/>
          <w:sz w:val="21"/>
          <w:szCs w:val="21"/>
        </w:rPr>
        <w:t>Webster, et al. (2014) reported that most (90%) youth cigarette smokers are also at least occasional</w:t>
      </w:r>
      <w:r w:rsidR="00FA6A01">
        <w:rPr>
          <w:rFonts w:eastAsia="Times New Roman" w:cs="Cambria"/>
          <w:sz w:val="21"/>
          <w:szCs w:val="21"/>
        </w:rPr>
        <w:t>ly</w:t>
      </w:r>
      <w:r>
        <w:rPr>
          <w:rFonts w:eastAsia="Times New Roman" w:cs="Cambria"/>
          <w:sz w:val="21"/>
          <w:szCs w:val="21"/>
        </w:rPr>
        <w:t xml:space="preserve"> marijuana users.</w:t>
      </w:r>
    </w:p>
    <w:p w:rsidR="00270661" w:rsidRPr="00E6184F" w:rsidRDefault="00270661" w:rsidP="00CB000C">
      <w:pPr>
        <w:pStyle w:val="ListParagraph"/>
        <w:numPr>
          <w:ilvl w:val="0"/>
          <w:numId w:val="3"/>
        </w:numPr>
        <w:spacing w:after="0" w:line="240" w:lineRule="auto"/>
        <w:jc w:val="both"/>
        <w:rPr>
          <w:rFonts w:eastAsia="Times New Roman" w:cs="Cambria"/>
          <w:sz w:val="21"/>
          <w:szCs w:val="21"/>
        </w:rPr>
      </w:pPr>
      <w:r>
        <w:rPr>
          <w:rFonts w:eastAsia="Times New Roman" w:cs="Cambria"/>
          <w:sz w:val="21"/>
          <w:szCs w:val="21"/>
        </w:rPr>
        <w:t>Weitzman, et al. (2015) found alcohol and marijuana use are associated with one another.</w:t>
      </w:r>
    </w:p>
    <w:p w:rsidR="00E6184F" w:rsidRPr="0078696B" w:rsidRDefault="00E6184F" w:rsidP="00CB000C">
      <w:pPr>
        <w:spacing w:after="0" w:line="240" w:lineRule="auto"/>
        <w:jc w:val="both"/>
        <w:rPr>
          <w:rFonts w:eastAsia="Times New Roman" w:cs="Cambria"/>
          <w:sz w:val="16"/>
          <w:szCs w:val="16"/>
        </w:rPr>
      </w:pPr>
    </w:p>
    <w:p w:rsidR="00E7385D" w:rsidRDefault="00BD0F90" w:rsidP="00CB000C">
      <w:pPr>
        <w:spacing w:after="0" w:line="240" w:lineRule="auto"/>
        <w:jc w:val="both"/>
        <w:rPr>
          <w:rFonts w:eastAsia="Times New Roman" w:cs="Cambria"/>
          <w:sz w:val="21"/>
          <w:szCs w:val="21"/>
        </w:rPr>
      </w:pPr>
      <w:r>
        <w:rPr>
          <w:rFonts w:eastAsia="Times New Roman" w:cs="Cambria"/>
          <w:sz w:val="21"/>
          <w:szCs w:val="21"/>
        </w:rPr>
        <w:t xml:space="preserve">The Substance Abuse and Mental Health Services Agency’s </w:t>
      </w:r>
      <w:r w:rsidRPr="00FA6A01">
        <w:rPr>
          <w:rFonts w:eastAsia="Times New Roman" w:cs="Cambria"/>
          <w:i/>
          <w:sz w:val="21"/>
          <w:szCs w:val="21"/>
        </w:rPr>
        <w:t>National Survey on Drug use and Health</w:t>
      </w:r>
      <w:r>
        <w:rPr>
          <w:rFonts w:eastAsia="Times New Roman" w:cs="Cambria"/>
          <w:sz w:val="21"/>
          <w:szCs w:val="21"/>
        </w:rPr>
        <w:t xml:space="preserve"> is the country’s most technically sound, independent, and comprehensive survey of youth substance use. </w:t>
      </w:r>
      <w:r w:rsidR="00FA6A01">
        <w:rPr>
          <w:rFonts w:eastAsia="Times New Roman" w:cs="Cambria"/>
          <w:sz w:val="21"/>
          <w:szCs w:val="21"/>
        </w:rPr>
        <w:t>Its</w:t>
      </w:r>
      <w:r>
        <w:rPr>
          <w:rFonts w:eastAsia="Times New Roman" w:cs="Cambria"/>
          <w:sz w:val="21"/>
          <w:szCs w:val="21"/>
        </w:rPr>
        <w:t xml:space="preserve"> data suggest that medical marijuana laws had no </w:t>
      </w:r>
      <w:r w:rsidR="00FA6A01">
        <w:rPr>
          <w:rFonts w:eastAsia="Times New Roman" w:cs="Cambria"/>
          <w:sz w:val="21"/>
          <w:szCs w:val="21"/>
        </w:rPr>
        <w:t>immediate</w:t>
      </w:r>
      <w:r>
        <w:rPr>
          <w:rFonts w:eastAsia="Times New Roman" w:cs="Cambria"/>
          <w:sz w:val="21"/>
          <w:szCs w:val="21"/>
        </w:rPr>
        <w:t xml:space="preserve"> </w:t>
      </w:r>
      <w:r w:rsidR="00B15B70">
        <w:rPr>
          <w:rFonts w:eastAsia="Times New Roman" w:cs="Cambria"/>
          <w:sz w:val="21"/>
          <w:szCs w:val="21"/>
        </w:rPr>
        <w:t>e</w:t>
      </w:r>
      <w:r>
        <w:rPr>
          <w:rFonts w:eastAsia="Times New Roman" w:cs="Cambria"/>
          <w:sz w:val="21"/>
          <w:szCs w:val="21"/>
        </w:rPr>
        <w:t xml:space="preserve">ffect on </w:t>
      </w:r>
      <w:r w:rsidR="00BE6FF8">
        <w:rPr>
          <w:rFonts w:eastAsia="Times New Roman" w:cs="Cambria"/>
          <w:sz w:val="21"/>
          <w:szCs w:val="21"/>
        </w:rPr>
        <w:t xml:space="preserve">teen </w:t>
      </w:r>
      <w:r>
        <w:rPr>
          <w:rFonts w:eastAsia="Times New Roman" w:cs="Cambria"/>
          <w:sz w:val="21"/>
          <w:szCs w:val="21"/>
        </w:rPr>
        <w:t xml:space="preserve">use, however, accumulating </w:t>
      </w:r>
      <w:r w:rsidR="00FA6A01">
        <w:rPr>
          <w:rFonts w:eastAsia="Times New Roman" w:cs="Cambria"/>
          <w:sz w:val="21"/>
          <w:szCs w:val="21"/>
        </w:rPr>
        <w:t>evidence</w:t>
      </w:r>
      <w:r>
        <w:rPr>
          <w:rFonts w:eastAsia="Times New Roman" w:cs="Cambria"/>
          <w:sz w:val="21"/>
          <w:szCs w:val="21"/>
        </w:rPr>
        <w:t xml:space="preserve"> indicate</w:t>
      </w:r>
      <w:r w:rsidR="00FA6A01">
        <w:rPr>
          <w:rFonts w:eastAsia="Times New Roman" w:cs="Cambria"/>
          <w:sz w:val="21"/>
          <w:szCs w:val="21"/>
        </w:rPr>
        <w:t>s</w:t>
      </w:r>
      <w:r>
        <w:rPr>
          <w:rFonts w:eastAsia="Times New Roman" w:cs="Cambria"/>
          <w:sz w:val="21"/>
          <w:szCs w:val="21"/>
        </w:rPr>
        <w:t xml:space="preserve"> retail sales laws have be</w:t>
      </w:r>
      <w:r w:rsidR="00BE6FF8">
        <w:rPr>
          <w:rFonts w:eastAsia="Times New Roman" w:cs="Cambria"/>
          <w:sz w:val="21"/>
          <w:szCs w:val="21"/>
        </w:rPr>
        <w:t>en</w:t>
      </w:r>
      <w:r>
        <w:rPr>
          <w:rFonts w:eastAsia="Times New Roman" w:cs="Cambria"/>
          <w:sz w:val="21"/>
          <w:szCs w:val="21"/>
        </w:rPr>
        <w:t xml:space="preserve"> followed by rising </w:t>
      </w:r>
      <w:r w:rsidR="00B15B70">
        <w:rPr>
          <w:rFonts w:eastAsia="Times New Roman" w:cs="Cambria"/>
          <w:sz w:val="21"/>
          <w:szCs w:val="21"/>
        </w:rPr>
        <w:t>consumption by youth and young adults.</w:t>
      </w:r>
      <w:r>
        <w:rPr>
          <w:rFonts w:eastAsia="Times New Roman" w:cs="Cambria"/>
          <w:sz w:val="21"/>
          <w:szCs w:val="21"/>
        </w:rPr>
        <w:t xml:space="preserve"> </w:t>
      </w:r>
      <w:r w:rsidR="00B15B70">
        <w:rPr>
          <w:rFonts w:eastAsia="Times New Roman" w:cs="Cambria"/>
          <w:sz w:val="21"/>
          <w:szCs w:val="21"/>
        </w:rPr>
        <w:t>Consistent with these findings of a very gradual rise over more than a decade and a half are reports from the Colorado Department of Education of rising marijuana violations in high schools correlated with medical and retail law changes.</w:t>
      </w:r>
      <w:r w:rsidR="00DF2A19">
        <w:rPr>
          <w:rFonts w:eastAsia="Times New Roman" w:cs="Cambria"/>
          <w:sz w:val="21"/>
          <w:szCs w:val="21"/>
        </w:rPr>
        <w:t xml:space="preserve"> In 2015-2016, 73% of all juvenile arrests involved marijuana or other substance violations. </w:t>
      </w:r>
    </w:p>
    <w:p w:rsidR="00BD0F90" w:rsidRPr="00FD6CEF" w:rsidRDefault="00BD0F90" w:rsidP="00CB000C">
      <w:pPr>
        <w:spacing w:after="0" w:line="240" w:lineRule="auto"/>
        <w:jc w:val="both"/>
        <w:rPr>
          <w:rFonts w:eastAsia="Times New Roman" w:cs="Cambria"/>
          <w:sz w:val="16"/>
          <w:szCs w:val="16"/>
        </w:rPr>
      </w:pPr>
    </w:p>
    <w:p w:rsidR="00DF2A19" w:rsidRDefault="00F715F6" w:rsidP="00CB000C">
      <w:pPr>
        <w:spacing w:after="0" w:line="240" w:lineRule="auto"/>
        <w:jc w:val="both"/>
        <w:rPr>
          <w:rFonts w:eastAsia="Times New Roman" w:cs="Cambria"/>
          <w:sz w:val="21"/>
          <w:szCs w:val="21"/>
        </w:rPr>
      </w:pPr>
      <w:r>
        <w:rPr>
          <w:rFonts w:eastAsia="Times New Roman" w:cs="Cambria"/>
          <w:sz w:val="21"/>
          <w:szCs w:val="21"/>
        </w:rPr>
        <w:t>The Colorado Department of Public Health has responsibility for measuring marijuana use prevalence among school-age youth. The 2015 Healthy Kids Colorado Sur</w:t>
      </w:r>
      <w:r>
        <w:rPr>
          <w:rFonts w:eastAsia="Times New Roman" w:cs="Cambria"/>
          <w:sz w:val="21"/>
          <w:szCs w:val="21"/>
        </w:rPr>
        <w:lastRenderedPageBreak/>
        <w:t xml:space="preserve">vey results indicated that </w:t>
      </w:r>
      <w:r w:rsidR="005F642C" w:rsidRPr="001D1BC1">
        <w:rPr>
          <w:rFonts w:eastAsia="Times New Roman" w:cs="Cambria"/>
          <w:sz w:val="21"/>
          <w:szCs w:val="21"/>
        </w:rPr>
        <w:t>use</w:t>
      </w:r>
      <w:r w:rsidR="005F642C">
        <w:rPr>
          <w:rFonts w:eastAsia="Times New Roman" w:cs="Cambria"/>
          <w:sz w:val="21"/>
          <w:szCs w:val="21"/>
        </w:rPr>
        <w:t xml:space="preserve"> </w:t>
      </w:r>
      <w:r>
        <w:rPr>
          <w:rFonts w:eastAsia="Times New Roman" w:cs="Cambria"/>
          <w:sz w:val="21"/>
          <w:szCs w:val="21"/>
        </w:rPr>
        <w:t>in Region 12 (</w:t>
      </w:r>
      <w:r w:rsidRPr="00F715F6">
        <w:rPr>
          <w:rFonts w:eastAsia="Times New Roman" w:cs="Cambria"/>
          <w:sz w:val="21"/>
          <w:szCs w:val="21"/>
        </w:rPr>
        <w:t>Eagle, Garfield, Grand, Pitkin and Summit Counties</w:t>
      </w:r>
      <w:r>
        <w:rPr>
          <w:rFonts w:eastAsia="Times New Roman" w:cs="Cambria"/>
          <w:sz w:val="21"/>
          <w:szCs w:val="21"/>
        </w:rPr>
        <w:t>)</w:t>
      </w:r>
      <w:r w:rsidR="00FD6CEF">
        <w:rPr>
          <w:rFonts w:eastAsia="Times New Roman" w:cs="Cambria"/>
          <w:sz w:val="21"/>
          <w:szCs w:val="21"/>
        </w:rPr>
        <w:t>, especially regular use,</w:t>
      </w:r>
      <w:r>
        <w:rPr>
          <w:rFonts w:eastAsia="Times New Roman" w:cs="Cambria"/>
          <w:sz w:val="21"/>
          <w:szCs w:val="21"/>
        </w:rPr>
        <w:t xml:space="preserve"> </w:t>
      </w:r>
      <w:r w:rsidR="00BE6FF8">
        <w:rPr>
          <w:rFonts w:eastAsia="Times New Roman" w:cs="Cambria"/>
          <w:sz w:val="21"/>
          <w:szCs w:val="21"/>
        </w:rPr>
        <w:t>wa</w:t>
      </w:r>
      <w:r>
        <w:rPr>
          <w:rFonts w:eastAsia="Times New Roman" w:cs="Cambria"/>
          <w:sz w:val="21"/>
          <w:szCs w:val="21"/>
        </w:rPr>
        <w:t>s substantially higher than both Colorado and the US.</w:t>
      </w:r>
    </w:p>
    <w:p w:rsidR="0078696B" w:rsidRPr="0078696B" w:rsidRDefault="0078696B" w:rsidP="00CB000C">
      <w:pPr>
        <w:spacing w:after="0" w:line="240" w:lineRule="auto"/>
        <w:jc w:val="both"/>
        <w:rPr>
          <w:rFonts w:eastAsia="Times New Roman" w:cs="Cambria"/>
          <w:sz w:val="16"/>
          <w:szCs w:val="16"/>
        </w:rPr>
      </w:pPr>
    </w:p>
    <w:p w:rsidR="0078696B" w:rsidRDefault="0078696B" w:rsidP="00CB000C">
      <w:pPr>
        <w:spacing w:after="0" w:line="240" w:lineRule="auto"/>
        <w:jc w:val="both"/>
      </w:pPr>
      <w:r>
        <w:t>The Rocky Mountain High Intensity Drug Trafficking Area team</w:t>
      </w:r>
      <w:r w:rsidR="000D6E6B">
        <w:t xml:space="preserve"> is</w:t>
      </w:r>
      <w:r w:rsidR="00BE6FF8">
        <w:t xml:space="preserve"> </w:t>
      </w:r>
      <w:r>
        <w:t xml:space="preserve">Colorado’s official federal-state </w:t>
      </w:r>
      <w:r w:rsidR="00BE6FF8">
        <w:t>analyst</w:t>
      </w:r>
      <w:r>
        <w:t xml:space="preserve"> of substance use</w:t>
      </w:r>
      <w:r w:rsidR="000D6E6B">
        <w:t xml:space="preserve"> and related problems.</w:t>
      </w:r>
      <w:r>
        <w:t xml:space="preserve"> In </w:t>
      </w:r>
      <w:r w:rsidR="001D1BC1">
        <w:t>September 2016,</w:t>
      </w:r>
      <w:r>
        <w:t xml:space="preserve"> it reported on youth marijuana use in Colorado, arbitrating statistical findings from various local, state department, and federal agencies sources, reaching the following conclusions:</w:t>
      </w:r>
    </w:p>
    <w:p w:rsidR="0078696B" w:rsidRPr="00DF4920" w:rsidRDefault="0078696B" w:rsidP="00CB000C">
      <w:pPr>
        <w:pStyle w:val="ListParagraph"/>
        <w:numPr>
          <w:ilvl w:val="0"/>
          <w:numId w:val="2"/>
        </w:numPr>
        <w:spacing w:after="0" w:line="240" w:lineRule="auto"/>
        <w:jc w:val="both"/>
        <w:rPr>
          <w:sz w:val="21"/>
          <w:szCs w:val="21"/>
        </w:rPr>
      </w:pPr>
      <w:r w:rsidRPr="00DF4920">
        <w:rPr>
          <w:sz w:val="21"/>
          <w:szCs w:val="21"/>
        </w:rPr>
        <w:t xml:space="preserve">Youth past month marijuana use </w:t>
      </w:r>
      <w:r w:rsidRPr="00DF4920">
        <w:rPr>
          <w:bCs/>
          <w:sz w:val="21"/>
          <w:szCs w:val="21"/>
        </w:rPr>
        <w:t xml:space="preserve">increased 20 percent </w:t>
      </w:r>
      <w:r w:rsidRPr="00DF4920">
        <w:rPr>
          <w:sz w:val="21"/>
          <w:szCs w:val="21"/>
        </w:rPr>
        <w:t xml:space="preserve">in the two-year average (2013/2014) since Colorado legalized recreational marijuana compared to the two-year average prior to legalization (2011/2012). Nationally youth past </w:t>
      </w:r>
      <w:r w:rsidRPr="00DF4920">
        <w:rPr>
          <w:sz w:val="21"/>
          <w:szCs w:val="21"/>
        </w:rPr>
        <w:t xml:space="preserve">month marijuana use </w:t>
      </w:r>
      <w:r w:rsidRPr="00DF4920">
        <w:rPr>
          <w:bCs/>
          <w:sz w:val="21"/>
          <w:szCs w:val="21"/>
        </w:rPr>
        <w:t xml:space="preserve">declined 4 percent </w:t>
      </w:r>
      <w:r w:rsidRPr="00DF4920">
        <w:rPr>
          <w:sz w:val="21"/>
          <w:szCs w:val="21"/>
        </w:rPr>
        <w:t>du</w:t>
      </w:r>
      <w:r>
        <w:rPr>
          <w:sz w:val="21"/>
          <w:szCs w:val="21"/>
        </w:rPr>
        <w:t>ring the same timeframe.</w:t>
      </w:r>
    </w:p>
    <w:p w:rsidR="0078696B" w:rsidRPr="00DF4920" w:rsidRDefault="0078696B" w:rsidP="00CB000C">
      <w:pPr>
        <w:pStyle w:val="ListParagraph"/>
        <w:numPr>
          <w:ilvl w:val="0"/>
          <w:numId w:val="2"/>
        </w:numPr>
        <w:spacing w:after="0" w:line="240" w:lineRule="auto"/>
        <w:jc w:val="both"/>
        <w:rPr>
          <w:sz w:val="21"/>
          <w:szCs w:val="21"/>
        </w:rPr>
      </w:pPr>
      <w:r w:rsidRPr="00076DF0">
        <w:rPr>
          <w:sz w:val="21"/>
          <w:szCs w:val="21"/>
        </w:rPr>
        <w:t>The latest 2013/2014 results show Colorado youth ranked #1 in the nation for past month marijuana use, up from #4 in 2011/2012 and #14 in 2005/2006.</w:t>
      </w:r>
    </w:p>
    <w:p w:rsidR="0078696B" w:rsidRPr="00DF4920" w:rsidRDefault="0078696B" w:rsidP="00CB000C">
      <w:pPr>
        <w:pStyle w:val="ListParagraph"/>
        <w:numPr>
          <w:ilvl w:val="0"/>
          <w:numId w:val="2"/>
        </w:numPr>
        <w:spacing w:after="0" w:line="240" w:lineRule="auto"/>
        <w:jc w:val="both"/>
        <w:rPr>
          <w:sz w:val="21"/>
          <w:szCs w:val="21"/>
        </w:rPr>
      </w:pPr>
      <w:r w:rsidRPr="00076DF0">
        <w:rPr>
          <w:sz w:val="21"/>
          <w:szCs w:val="21"/>
        </w:rPr>
        <w:t>In school year 2015/2016, 62 percent of all drug expulsions and suspensions were for marijuana violations</w:t>
      </w:r>
      <w:r>
        <w:rPr>
          <w:sz w:val="21"/>
          <w:szCs w:val="21"/>
        </w:rPr>
        <w:t xml:space="preserve">, </w:t>
      </w:r>
      <w:r w:rsidR="001D1BC1">
        <w:rPr>
          <w:sz w:val="21"/>
          <w:szCs w:val="21"/>
        </w:rPr>
        <w:t>per</w:t>
      </w:r>
      <w:r>
        <w:rPr>
          <w:sz w:val="21"/>
          <w:szCs w:val="21"/>
        </w:rPr>
        <w:t xml:space="preserve"> school counselors and resource officers</w:t>
      </w:r>
      <w:r w:rsidRPr="00076DF0">
        <w:rPr>
          <w:sz w:val="21"/>
          <w:szCs w:val="21"/>
        </w:rPr>
        <w:t>.</w:t>
      </w:r>
    </w:p>
    <w:p w:rsidR="00FD6CEF" w:rsidRPr="00FD6CEF" w:rsidRDefault="00FD6CEF" w:rsidP="00CB000C">
      <w:pPr>
        <w:spacing w:after="0" w:line="240" w:lineRule="auto"/>
        <w:jc w:val="both"/>
        <w:rPr>
          <w:rFonts w:eastAsia="Times New Roman" w:cs="Cambria"/>
          <w:sz w:val="16"/>
          <w:szCs w:val="16"/>
        </w:rPr>
      </w:pPr>
    </w:p>
    <w:p w:rsidR="00D83954" w:rsidRDefault="00FD6CEF" w:rsidP="00CB000C">
      <w:pPr>
        <w:spacing w:after="0" w:line="240" w:lineRule="auto"/>
        <w:jc w:val="both"/>
      </w:pPr>
      <w:r>
        <w:rPr>
          <w:rFonts w:eastAsia="Times New Roman" w:cs="Cambria"/>
          <w:sz w:val="21"/>
          <w:szCs w:val="21"/>
        </w:rPr>
        <w:t>Together, these studies and reports show that across the country, more children and teens are experimenting with marijuana with the passage of years, that legalization probably pushes this background trend along a little more quickly, and that the YouthZone</w:t>
      </w:r>
      <w:r w:rsidR="0078696B">
        <w:rPr>
          <w:rFonts w:eastAsia="Times New Roman" w:cs="Cambria"/>
          <w:sz w:val="21"/>
          <w:szCs w:val="21"/>
        </w:rPr>
        <w:t>’s</w:t>
      </w:r>
      <w:r>
        <w:rPr>
          <w:rFonts w:eastAsia="Times New Roman" w:cs="Cambria"/>
          <w:sz w:val="21"/>
          <w:szCs w:val="21"/>
        </w:rPr>
        <w:t xml:space="preserve"> service catchment area is among the most heavily impacted by youth consumption </w:t>
      </w:r>
      <w:proofErr w:type="gramStart"/>
      <w:r>
        <w:rPr>
          <w:rFonts w:eastAsia="Times New Roman" w:cs="Cambria"/>
          <w:sz w:val="21"/>
          <w:szCs w:val="21"/>
        </w:rPr>
        <w:t>at this time</w:t>
      </w:r>
      <w:proofErr w:type="gramEnd"/>
      <w:r>
        <w:rPr>
          <w:rFonts w:eastAsia="Times New Roman" w:cs="Cambria"/>
          <w:sz w:val="21"/>
          <w:szCs w:val="21"/>
        </w:rPr>
        <w:t xml:space="preserve"> in Colorado.</w:t>
      </w:r>
    </w:p>
    <w:p w:rsidR="00BD0F90" w:rsidRDefault="00BD0F90" w:rsidP="0096071E">
      <w:pPr>
        <w:spacing w:line="240" w:lineRule="auto"/>
        <w:jc w:val="both"/>
        <w:sectPr w:rsidR="00BD0F90" w:rsidSect="00741EDA">
          <w:footerReference w:type="default" r:id="rId9"/>
          <w:type w:val="continuous"/>
          <w:pgSz w:w="12240" w:h="15840"/>
          <w:pgMar w:top="720" w:right="720" w:bottom="720" w:left="720" w:header="720" w:footer="720" w:gutter="0"/>
          <w:cols w:num="2" w:space="720"/>
          <w:docGrid w:linePitch="360"/>
        </w:sectPr>
      </w:pPr>
    </w:p>
    <w:p w:rsidR="00BD0F90" w:rsidRPr="00BD0F90" w:rsidRDefault="00BD0F90" w:rsidP="00BD0F90">
      <w:pPr>
        <w:shd w:val="clear" w:color="auto" w:fill="FFFFFF" w:themeFill="background1"/>
        <w:spacing w:before="40" w:after="40" w:line="240" w:lineRule="auto"/>
        <w:rPr>
          <w:rFonts w:eastAsia="Times New Roman" w:cs="Trebuchet MS"/>
          <w:sz w:val="16"/>
          <w:szCs w:val="16"/>
        </w:rPr>
      </w:pPr>
    </w:p>
    <w:p w:rsidR="008D7485" w:rsidRDefault="00E6677D" w:rsidP="00DB403B">
      <w:pPr>
        <w:shd w:val="clear" w:color="auto" w:fill="FBE4D5" w:themeFill="accent2" w:themeFillTint="33"/>
        <w:spacing w:before="40" w:after="40" w:line="240" w:lineRule="auto"/>
        <w:rPr>
          <w:rFonts w:ascii="Trebuchet MS" w:eastAsia="Times New Roman" w:hAnsi="Trebuchet MS" w:cs="Trebuchet MS"/>
          <w:sz w:val="28"/>
          <w:szCs w:val="28"/>
        </w:rPr>
      </w:pPr>
      <w:r>
        <w:rPr>
          <w:rFonts w:ascii="Trebuchet MS" w:eastAsia="Times New Roman" w:hAnsi="Trebuchet MS" w:cs="Trebuchet MS"/>
          <w:sz w:val="28"/>
          <w:szCs w:val="28"/>
        </w:rPr>
        <w:t xml:space="preserve">Data: </w:t>
      </w:r>
      <w:r w:rsidR="0034548F">
        <w:rPr>
          <w:rFonts w:ascii="Trebuchet MS" w:eastAsia="Times New Roman" w:hAnsi="Trebuchet MS" w:cs="Trebuchet MS"/>
          <w:sz w:val="28"/>
          <w:szCs w:val="28"/>
        </w:rPr>
        <w:t xml:space="preserve">YouthZone Clients </w:t>
      </w:r>
      <w:r w:rsidR="008D7485">
        <w:rPr>
          <w:rFonts w:ascii="Trebuchet MS" w:eastAsia="Times New Roman" w:hAnsi="Trebuchet MS" w:cs="Trebuchet MS"/>
          <w:sz w:val="28"/>
          <w:szCs w:val="28"/>
        </w:rPr>
        <w:t>Use</w:t>
      </w:r>
      <w:r w:rsidR="0034548F">
        <w:rPr>
          <w:rFonts w:ascii="Trebuchet MS" w:eastAsia="Times New Roman" w:hAnsi="Trebuchet MS" w:cs="Trebuchet MS"/>
          <w:sz w:val="28"/>
          <w:szCs w:val="28"/>
        </w:rPr>
        <w:t xml:space="preserve"> of Marijuana and Other Substances</w:t>
      </w:r>
    </w:p>
    <w:p w:rsidR="008D7485" w:rsidRPr="008D7485" w:rsidRDefault="008D7485" w:rsidP="008D7485">
      <w:pPr>
        <w:spacing w:after="0" w:line="240" w:lineRule="auto"/>
        <w:jc w:val="both"/>
        <w:rPr>
          <w:sz w:val="16"/>
          <w:szCs w:val="16"/>
        </w:rPr>
      </w:pPr>
    </w:p>
    <w:p w:rsidR="008D7485" w:rsidRPr="008D7485" w:rsidRDefault="008D7485" w:rsidP="008D7485">
      <w:pPr>
        <w:spacing w:after="0" w:line="240" w:lineRule="auto"/>
        <w:jc w:val="both"/>
        <w:rPr>
          <w:sz w:val="16"/>
          <w:szCs w:val="16"/>
        </w:rPr>
        <w:sectPr w:rsidR="008D7485" w:rsidRPr="008D7485" w:rsidSect="008D7485">
          <w:type w:val="continuous"/>
          <w:pgSz w:w="12240" w:h="15840"/>
          <w:pgMar w:top="720" w:right="720" w:bottom="720" w:left="720" w:header="720" w:footer="720" w:gutter="0"/>
          <w:cols w:space="720"/>
          <w:docGrid w:linePitch="360"/>
        </w:sectPr>
      </w:pPr>
    </w:p>
    <w:p w:rsidR="0062580D" w:rsidRDefault="00FF74F8" w:rsidP="000D6E6B">
      <w:pPr>
        <w:spacing w:after="0" w:line="240" w:lineRule="auto"/>
        <w:jc w:val="both"/>
        <w:rPr>
          <w:sz w:val="21"/>
          <w:szCs w:val="21"/>
        </w:rPr>
      </w:pPr>
      <w:r>
        <w:rPr>
          <w:sz w:val="21"/>
          <w:szCs w:val="21"/>
        </w:rPr>
        <w:t xml:space="preserve">Table 1 presents YouthZone client reports of their marijuana use from </w:t>
      </w:r>
      <w:r w:rsidR="00487C7B">
        <w:rPr>
          <w:sz w:val="21"/>
          <w:szCs w:val="21"/>
        </w:rPr>
        <w:t xml:space="preserve">surveys of clients seen during </w:t>
      </w:r>
      <w:r>
        <w:rPr>
          <w:sz w:val="21"/>
          <w:szCs w:val="21"/>
        </w:rPr>
        <w:t>2010-2013 and</w:t>
      </w:r>
      <w:r w:rsidR="00487C7B">
        <w:rPr>
          <w:sz w:val="21"/>
          <w:szCs w:val="21"/>
        </w:rPr>
        <w:t xml:space="preserve"> in </w:t>
      </w:r>
      <w:r>
        <w:rPr>
          <w:sz w:val="21"/>
          <w:szCs w:val="21"/>
        </w:rPr>
        <w:t>2013-2016.</w:t>
      </w:r>
      <w:r w:rsidR="00955C78">
        <w:rPr>
          <w:sz w:val="21"/>
          <w:szCs w:val="21"/>
        </w:rPr>
        <w:t xml:space="preserve"> The last two columns show cumulative use in the two samples. During these </w:t>
      </w:r>
      <w:proofErr w:type="gramStart"/>
      <w:r w:rsidR="00955C78">
        <w:rPr>
          <w:sz w:val="21"/>
          <w:szCs w:val="21"/>
        </w:rPr>
        <w:t>years</w:t>
      </w:r>
      <w:proofErr w:type="gramEnd"/>
      <w:r w:rsidR="00955C78">
        <w:rPr>
          <w:sz w:val="21"/>
          <w:szCs w:val="21"/>
        </w:rPr>
        <w:t xml:space="preserve"> there has </w:t>
      </w:r>
      <w:r w:rsidR="00955C78">
        <w:rPr>
          <w:sz w:val="21"/>
          <w:szCs w:val="21"/>
        </w:rPr>
        <w:t xml:space="preserve">been a shift to greater consumption, with fewer clients having no marijuana use and some using </w:t>
      </w:r>
      <w:r w:rsidR="0062580D">
        <w:rPr>
          <w:sz w:val="21"/>
          <w:szCs w:val="21"/>
        </w:rPr>
        <w:t xml:space="preserve">more </w:t>
      </w:r>
      <w:r w:rsidR="00955C78">
        <w:rPr>
          <w:sz w:val="21"/>
          <w:szCs w:val="21"/>
        </w:rPr>
        <w:t>regularly</w:t>
      </w:r>
      <w:r w:rsidR="0062580D">
        <w:rPr>
          <w:sz w:val="21"/>
          <w:szCs w:val="21"/>
        </w:rPr>
        <w:t xml:space="preserve">. Now, essentially every other boy and girl at intake will be a </w:t>
      </w:r>
      <w:r w:rsidR="00D67510">
        <w:rPr>
          <w:sz w:val="21"/>
          <w:szCs w:val="21"/>
        </w:rPr>
        <w:t>substance user of one degree or another.</w:t>
      </w:r>
    </w:p>
    <w:p w:rsidR="00955C78" w:rsidRDefault="00955C78" w:rsidP="008D7485">
      <w:pPr>
        <w:spacing w:after="0" w:line="240" w:lineRule="auto"/>
        <w:rPr>
          <w:sz w:val="21"/>
          <w:szCs w:val="21"/>
        </w:rPr>
        <w:sectPr w:rsidR="00955C78" w:rsidSect="00741EDA">
          <w:type w:val="continuous"/>
          <w:pgSz w:w="12240" w:h="15840"/>
          <w:pgMar w:top="720" w:right="720" w:bottom="720" w:left="720" w:header="720" w:footer="720" w:gutter="0"/>
          <w:cols w:num="2" w:space="720"/>
          <w:docGrid w:linePitch="360"/>
        </w:sectPr>
      </w:pPr>
    </w:p>
    <w:p w:rsidR="00FF74F8" w:rsidRPr="00DF4920" w:rsidRDefault="00FF74F8" w:rsidP="00DB403B">
      <w:pPr>
        <w:spacing w:after="0" w:line="240" w:lineRule="auto"/>
        <w:rPr>
          <w:sz w:val="21"/>
          <w:szCs w:val="21"/>
        </w:rPr>
      </w:pPr>
    </w:p>
    <w:p w:rsidR="00DB403B" w:rsidRPr="00DB403B" w:rsidRDefault="00DB403B" w:rsidP="00DB403B">
      <w:pPr>
        <w:autoSpaceDE w:val="0"/>
        <w:autoSpaceDN w:val="0"/>
        <w:adjustRightInd w:val="0"/>
        <w:spacing w:before="20" w:after="20" w:line="240" w:lineRule="auto"/>
        <w:jc w:val="center"/>
        <w:rPr>
          <w:rFonts w:asciiTheme="minorHAnsi" w:hAnsiTheme="minorHAnsi"/>
          <w:b/>
          <w:bCs/>
          <w:color w:val="000000"/>
          <w:sz w:val="24"/>
          <w:szCs w:val="24"/>
        </w:rPr>
      </w:pPr>
      <w:r w:rsidRPr="00DB403B">
        <w:rPr>
          <w:rFonts w:asciiTheme="minorHAnsi" w:hAnsiTheme="minorHAnsi"/>
          <w:b/>
          <w:bCs/>
          <w:color w:val="000000"/>
          <w:sz w:val="24"/>
          <w:szCs w:val="24"/>
        </w:rPr>
        <w:t xml:space="preserve">Table </w:t>
      </w:r>
      <w:r>
        <w:rPr>
          <w:rFonts w:asciiTheme="minorHAnsi" w:hAnsiTheme="minorHAnsi"/>
          <w:b/>
          <w:bCs/>
          <w:color w:val="000000"/>
          <w:sz w:val="24"/>
          <w:szCs w:val="24"/>
        </w:rPr>
        <w:t>1</w:t>
      </w:r>
      <w:r w:rsidRPr="00DB403B">
        <w:rPr>
          <w:rFonts w:asciiTheme="minorHAnsi" w:hAnsiTheme="minorHAnsi"/>
          <w:b/>
          <w:bCs/>
          <w:color w:val="000000"/>
          <w:sz w:val="24"/>
          <w:szCs w:val="24"/>
        </w:rPr>
        <w:t>. Client Responses: “How do you like to use marijuana?”</w:t>
      </w:r>
    </w:p>
    <w:p w:rsidR="00DB403B" w:rsidRPr="00C00FBF" w:rsidRDefault="00C00FBF" w:rsidP="00DB403B">
      <w:pPr>
        <w:autoSpaceDE w:val="0"/>
        <w:autoSpaceDN w:val="0"/>
        <w:adjustRightInd w:val="0"/>
        <w:spacing w:before="20" w:after="20" w:line="240" w:lineRule="auto"/>
        <w:jc w:val="center"/>
        <w:rPr>
          <w:rFonts w:asciiTheme="minorHAnsi" w:hAnsiTheme="minorHAnsi" w:cs="Times New Roman"/>
          <w:sz w:val="20"/>
          <w:szCs w:val="20"/>
        </w:rPr>
      </w:pPr>
      <w:r w:rsidRPr="00C00FBF">
        <w:rPr>
          <w:rFonts w:asciiTheme="minorHAnsi" w:hAnsiTheme="minorHAnsi" w:cs="Times New Roman"/>
          <w:sz w:val="20"/>
          <w:szCs w:val="20"/>
        </w:rPr>
        <w:t xml:space="preserve">(All Clients Completing Intake </w:t>
      </w:r>
      <w:r w:rsidR="006A2100">
        <w:rPr>
          <w:rFonts w:asciiTheme="minorHAnsi" w:hAnsiTheme="minorHAnsi" w:cs="Times New Roman"/>
          <w:i/>
          <w:sz w:val="20"/>
          <w:szCs w:val="20"/>
        </w:rPr>
        <w:t>Screening</w:t>
      </w:r>
      <w:r w:rsidR="00FA13AC" w:rsidRPr="006A2100">
        <w:rPr>
          <w:rFonts w:asciiTheme="minorHAnsi" w:hAnsiTheme="minorHAnsi" w:cs="Times New Roman"/>
          <w:sz w:val="20"/>
          <w:szCs w:val="20"/>
        </w:rPr>
        <w:t>)</w:t>
      </w:r>
    </w:p>
    <w:p w:rsidR="00C00FBF" w:rsidRPr="00DB403B" w:rsidRDefault="00C00FBF" w:rsidP="00DB403B">
      <w:pPr>
        <w:autoSpaceDE w:val="0"/>
        <w:autoSpaceDN w:val="0"/>
        <w:adjustRightInd w:val="0"/>
        <w:spacing w:before="20" w:after="20" w:line="240" w:lineRule="auto"/>
        <w:jc w:val="center"/>
        <w:rPr>
          <w:rFonts w:asciiTheme="minorHAnsi" w:hAnsiTheme="minorHAnsi" w:cs="Times New Roman"/>
          <w:sz w:val="16"/>
          <w:szCs w:val="16"/>
        </w:rPr>
      </w:pPr>
    </w:p>
    <w:tbl>
      <w:tblPr>
        <w:tblW w:w="10079" w:type="dxa"/>
        <w:jc w:val="center"/>
        <w:tblLayout w:type="fixed"/>
        <w:tblLook w:val="0000" w:firstRow="0" w:lastRow="0" w:firstColumn="0" w:lastColumn="0" w:noHBand="0" w:noVBand="0"/>
      </w:tblPr>
      <w:tblGrid>
        <w:gridCol w:w="2333"/>
        <w:gridCol w:w="1291"/>
        <w:gridCol w:w="1291"/>
        <w:gridCol w:w="1291"/>
        <w:gridCol w:w="1291"/>
        <w:gridCol w:w="1291"/>
        <w:gridCol w:w="1291"/>
      </w:tblGrid>
      <w:tr w:rsidR="00F360EA" w:rsidRPr="00DB403B" w:rsidTr="00F87AEA">
        <w:trPr>
          <w:trHeight w:val="221"/>
          <w:jc w:val="center"/>
        </w:trPr>
        <w:tc>
          <w:tcPr>
            <w:tcW w:w="2333" w:type="dxa"/>
            <w:vMerge w:val="restart"/>
            <w:shd w:val="clear" w:color="auto" w:fill="FBE4D5" w:themeFill="accent2" w:themeFillTint="33"/>
          </w:tcPr>
          <w:p w:rsidR="00F360EA" w:rsidRPr="00DB403B" w:rsidRDefault="00F360EA" w:rsidP="00F96011">
            <w:pPr>
              <w:autoSpaceDE w:val="0"/>
              <w:autoSpaceDN w:val="0"/>
              <w:adjustRightInd w:val="0"/>
              <w:spacing w:before="20" w:after="20"/>
              <w:jc w:val="center"/>
              <w:rPr>
                <w:rFonts w:asciiTheme="minorHAnsi" w:hAnsiTheme="minorHAnsi"/>
                <w:b/>
                <w:bCs/>
                <w:sz w:val="20"/>
                <w:szCs w:val="20"/>
              </w:rPr>
            </w:pPr>
            <w:r w:rsidRPr="00DB403B">
              <w:rPr>
                <w:rFonts w:asciiTheme="minorHAnsi" w:hAnsiTheme="minorHAnsi"/>
                <w:b/>
                <w:bCs/>
                <w:sz w:val="20"/>
                <w:szCs w:val="20"/>
              </w:rPr>
              <w:t>Response Category</w:t>
            </w:r>
          </w:p>
        </w:tc>
        <w:tc>
          <w:tcPr>
            <w:tcW w:w="2582" w:type="dxa"/>
            <w:gridSpan w:val="2"/>
            <w:shd w:val="clear" w:color="auto" w:fill="FBE4D5" w:themeFill="accent2" w:themeFillTint="33"/>
          </w:tcPr>
          <w:p w:rsidR="00F360EA" w:rsidRPr="00DB403B" w:rsidRDefault="00F360EA" w:rsidP="00F96011">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
                <w:bCs/>
                <w:color w:val="000000"/>
                <w:sz w:val="20"/>
                <w:szCs w:val="20"/>
              </w:rPr>
              <w:t>Frequency</w:t>
            </w:r>
          </w:p>
        </w:tc>
        <w:tc>
          <w:tcPr>
            <w:tcW w:w="2582" w:type="dxa"/>
            <w:gridSpan w:val="2"/>
            <w:shd w:val="clear" w:color="auto" w:fill="FBE4D5" w:themeFill="accent2" w:themeFillTint="33"/>
          </w:tcPr>
          <w:p w:rsidR="00F360EA" w:rsidRPr="00DB403B" w:rsidRDefault="00F360EA" w:rsidP="00F96011">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
                <w:bCs/>
                <w:color w:val="000000"/>
                <w:sz w:val="20"/>
                <w:szCs w:val="20"/>
              </w:rPr>
              <w:t>Percent</w:t>
            </w:r>
          </w:p>
        </w:tc>
        <w:tc>
          <w:tcPr>
            <w:tcW w:w="2582" w:type="dxa"/>
            <w:gridSpan w:val="2"/>
            <w:shd w:val="clear" w:color="auto" w:fill="FBE4D5" w:themeFill="accent2" w:themeFillTint="33"/>
          </w:tcPr>
          <w:p w:rsidR="00F360EA" w:rsidRPr="006A2100" w:rsidRDefault="00F360EA" w:rsidP="00F96011">
            <w:pPr>
              <w:autoSpaceDE w:val="0"/>
              <w:autoSpaceDN w:val="0"/>
              <w:adjustRightInd w:val="0"/>
              <w:spacing w:before="20" w:after="20"/>
              <w:jc w:val="center"/>
              <w:rPr>
                <w:rFonts w:asciiTheme="minorHAnsi" w:hAnsiTheme="minorHAnsi"/>
                <w:b/>
                <w:bCs/>
                <w:color w:val="000000"/>
                <w:sz w:val="20"/>
                <w:szCs w:val="20"/>
              </w:rPr>
            </w:pPr>
            <w:r w:rsidRPr="006A2100">
              <w:rPr>
                <w:rFonts w:asciiTheme="minorHAnsi" w:hAnsiTheme="minorHAnsi"/>
                <w:b/>
                <w:bCs/>
                <w:color w:val="000000"/>
                <w:sz w:val="20"/>
                <w:szCs w:val="20"/>
              </w:rPr>
              <w:t>Cumulative Percent</w:t>
            </w:r>
          </w:p>
        </w:tc>
      </w:tr>
      <w:tr w:rsidR="00F360EA" w:rsidRPr="00DB403B" w:rsidTr="00B10211">
        <w:trPr>
          <w:trHeight w:val="220"/>
          <w:jc w:val="center"/>
        </w:trPr>
        <w:tc>
          <w:tcPr>
            <w:tcW w:w="2333" w:type="dxa"/>
            <w:vMerge/>
            <w:shd w:val="clear" w:color="auto" w:fill="FBE4D5" w:themeFill="accent2" w:themeFillTint="33"/>
          </w:tcPr>
          <w:p w:rsidR="00F360EA" w:rsidRPr="00DB403B" w:rsidRDefault="00F360EA" w:rsidP="00F360EA">
            <w:pPr>
              <w:autoSpaceDE w:val="0"/>
              <w:autoSpaceDN w:val="0"/>
              <w:adjustRightInd w:val="0"/>
              <w:spacing w:before="20" w:after="20"/>
              <w:jc w:val="center"/>
              <w:rPr>
                <w:rFonts w:asciiTheme="minorHAnsi" w:hAnsiTheme="minorHAnsi"/>
                <w:b/>
                <w:bCs/>
                <w:sz w:val="20"/>
                <w:szCs w:val="20"/>
              </w:rPr>
            </w:pPr>
          </w:p>
        </w:tc>
        <w:tc>
          <w:tcPr>
            <w:tcW w:w="1291" w:type="dxa"/>
            <w:shd w:val="clear" w:color="auto" w:fill="FBE4D5" w:themeFill="accent2" w:themeFillTint="33"/>
          </w:tcPr>
          <w:p w:rsidR="00F360EA" w:rsidRPr="00DB403B" w:rsidRDefault="00F360EA" w:rsidP="00F360EA">
            <w:pPr>
              <w:autoSpaceDE w:val="0"/>
              <w:autoSpaceDN w:val="0"/>
              <w:adjustRightInd w:val="0"/>
              <w:spacing w:before="20" w:after="20"/>
              <w:jc w:val="center"/>
              <w:rPr>
                <w:rFonts w:asciiTheme="minorHAnsi" w:hAnsiTheme="minorHAnsi"/>
                <w:bCs/>
                <w:color w:val="000000"/>
                <w:sz w:val="20"/>
                <w:szCs w:val="20"/>
              </w:rPr>
            </w:pPr>
            <w:r w:rsidRPr="00DB403B">
              <w:rPr>
                <w:rFonts w:asciiTheme="minorHAnsi" w:hAnsiTheme="minorHAnsi"/>
                <w:bCs/>
                <w:color w:val="000000"/>
                <w:sz w:val="20"/>
                <w:szCs w:val="20"/>
              </w:rPr>
              <w:t>2010-2013</w:t>
            </w:r>
          </w:p>
        </w:tc>
        <w:tc>
          <w:tcPr>
            <w:tcW w:w="1291" w:type="dxa"/>
            <w:shd w:val="clear" w:color="auto" w:fill="FBE4D5" w:themeFill="accent2" w:themeFillTint="33"/>
          </w:tcPr>
          <w:p w:rsidR="00F360EA" w:rsidRPr="00DB403B" w:rsidRDefault="00F360EA" w:rsidP="00F360EA">
            <w:pPr>
              <w:autoSpaceDE w:val="0"/>
              <w:autoSpaceDN w:val="0"/>
              <w:adjustRightInd w:val="0"/>
              <w:spacing w:before="20" w:after="20"/>
              <w:jc w:val="center"/>
              <w:rPr>
                <w:rFonts w:asciiTheme="minorHAnsi" w:hAnsiTheme="minorHAnsi"/>
                <w:bCs/>
                <w:color w:val="000000"/>
                <w:sz w:val="20"/>
                <w:szCs w:val="20"/>
              </w:rPr>
            </w:pPr>
            <w:r w:rsidRPr="00DB403B">
              <w:rPr>
                <w:rFonts w:asciiTheme="minorHAnsi" w:hAnsiTheme="minorHAnsi"/>
                <w:bCs/>
                <w:color w:val="000000"/>
                <w:sz w:val="20"/>
                <w:szCs w:val="20"/>
              </w:rPr>
              <w:t>2013-2016</w:t>
            </w:r>
          </w:p>
        </w:tc>
        <w:tc>
          <w:tcPr>
            <w:tcW w:w="1291" w:type="dxa"/>
            <w:shd w:val="clear" w:color="auto" w:fill="FBE4D5" w:themeFill="accent2" w:themeFillTint="33"/>
          </w:tcPr>
          <w:p w:rsidR="00F360EA" w:rsidRPr="00DB403B" w:rsidRDefault="00F360EA" w:rsidP="00F360EA">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Cs/>
                <w:color w:val="000000"/>
                <w:sz w:val="20"/>
                <w:szCs w:val="20"/>
              </w:rPr>
              <w:t>2010-2013</w:t>
            </w:r>
          </w:p>
        </w:tc>
        <w:tc>
          <w:tcPr>
            <w:tcW w:w="1291" w:type="dxa"/>
            <w:shd w:val="clear" w:color="auto" w:fill="FBE4D5" w:themeFill="accent2" w:themeFillTint="33"/>
          </w:tcPr>
          <w:p w:rsidR="00F360EA" w:rsidRPr="00DB403B" w:rsidRDefault="00F360EA" w:rsidP="00F360EA">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Cs/>
                <w:color w:val="000000"/>
                <w:sz w:val="20"/>
                <w:szCs w:val="20"/>
              </w:rPr>
              <w:t>2013-2016</w:t>
            </w:r>
          </w:p>
        </w:tc>
        <w:tc>
          <w:tcPr>
            <w:tcW w:w="1291" w:type="dxa"/>
            <w:shd w:val="clear" w:color="auto" w:fill="FBE4D5" w:themeFill="accent2" w:themeFillTint="33"/>
          </w:tcPr>
          <w:p w:rsidR="00F360EA" w:rsidRPr="006A2100" w:rsidRDefault="00F360EA" w:rsidP="00F360EA">
            <w:pPr>
              <w:autoSpaceDE w:val="0"/>
              <w:autoSpaceDN w:val="0"/>
              <w:adjustRightInd w:val="0"/>
              <w:spacing w:before="20" w:after="20"/>
              <w:jc w:val="center"/>
              <w:rPr>
                <w:rFonts w:asciiTheme="minorHAnsi" w:hAnsiTheme="minorHAnsi"/>
                <w:b/>
                <w:bCs/>
                <w:color w:val="000000"/>
                <w:sz w:val="20"/>
                <w:szCs w:val="20"/>
              </w:rPr>
            </w:pPr>
            <w:r w:rsidRPr="006A2100">
              <w:rPr>
                <w:rFonts w:asciiTheme="minorHAnsi" w:hAnsiTheme="minorHAnsi"/>
                <w:bCs/>
                <w:color w:val="000000"/>
                <w:sz w:val="20"/>
                <w:szCs w:val="20"/>
              </w:rPr>
              <w:t>2010-2013</w:t>
            </w:r>
          </w:p>
        </w:tc>
        <w:tc>
          <w:tcPr>
            <w:tcW w:w="1291" w:type="dxa"/>
            <w:shd w:val="clear" w:color="auto" w:fill="FBE4D5" w:themeFill="accent2" w:themeFillTint="33"/>
          </w:tcPr>
          <w:p w:rsidR="00F360EA" w:rsidRPr="006A2100" w:rsidRDefault="00F360EA" w:rsidP="00F360EA">
            <w:pPr>
              <w:autoSpaceDE w:val="0"/>
              <w:autoSpaceDN w:val="0"/>
              <w:adjustRightInd w:val="0"/>
              <w:spacing w:before="20" w:after="20"/>
              <w:jc w:val="center"/>
              <w:rPr>
                <w:rFonts w:asciiTheme="minorHAnsi" w:hAnsiTheme="minorHAnsi"/>
                <w:b/>
                <w:bCs/>
                <w:color w:val="000000"/>
                <w:sz w:val="20"/>
                <w:szCs w:val="20"/>
              </w:rPr>
            </w:pPr>
            <w:r w:rsidRPr="006A2100">
              <w:rPr>
                <w:rFonts w:asciiTheme="minorHAnsi" w:hAnsiTheme="minorHAnsi"/>
                <w:bCs/>
                <w:color w:val="000000"/>
                <w:sz w:val="20"/>
                <w:szCs w:val="20"/>
              </w:rPr>
              <w:t>2013-2016</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I do not use it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556</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423</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6</w:t>
            </w:r>
            <w:r>
              <w:rPr>
                <w:rFonts w:asciiTheme="minorHAnsi" w:hAnsiTheme="minorHAnsi"/>
                <w:color w:val="000000"/>
                <w:sz w:val="20"/>
                <w:szCs w:val="20"/>
              </w:rPr>
              <w:t>3.2</w:t>
            </w:r>
            <w:r w:rsidR="00FA13AC" w:rsidRPr="006A2100">
              <w:rPr>
                <w:rFonts w:asciiTheme="minorHAnsi" w:hAnsiTheme="minorHAnsi"/>
                <w:color w:val="000000"/>
                <w:sz w:val="20"/>
                <w:szCs w:val="20"/>
              </w:rPr>
              <w: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55.1</w:t>
            </w:r>
            <w:r w:rsidR="00C3702F" w:rsidRPr="006A2100">
              <w:rPr>
                <w:rFonts w:asciiTheme="minorHAnsi" w:hAnsiTheme="minorHAnsi"/>
                <w:color w:val="000000"/>
                <w:sz w:val="20"/>
                <w:szCs w:val="20"/>
              </w:rPr>
              <w:t>%</w:t>
            </w:r>
          </w:p>
        </w:tc>
        <w:tc>
          <w:tcPr>
            <w:tcW w:w="1291" w:type="dxa"/>
            <w:shd w:val="clear" w:color="auto" w:fill="FFFFFF" w:themeFill="background1"/>
          </w:tcPr>
          <w:p w:rsidR="00F360EA" w:rsidRPr="006A2100"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63.2</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955C78"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55.1</w:t>
            </w:r>
            <w:r w:rsidR="006A2100">
              <w:rPr>
                <w:rFonts w:asciiTheme="minorHAnsi" w:hAnsiTheme="minorHAnsi"/>
                <w:color w:val="000000"/>
                <w:sz w:val="20"/>
                <w:szCs w:val="20"/>
              </w:rPr>
              <w:t>%</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Just a puff or two</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88</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103</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10.0</w:t>
            </w:r>
            <w:r w:rsidR="006A2100">
              <w:rPr>
                <w:rFonts w:asciiTheme="minorHAnsi" w:hAnsiTheme="minorHAnsi"/>
                <w:color w:val="000000"/>
                <w:sz w:val="20"/>
                <w:szCs w:val="20"/>
              </w:rPr>
              <w: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13.5</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73.2</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955C78"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68.6</w:t>
            </w:r>
            <w:r w:rsidR="006A2100">
              <w:rPr>
                <w:rFonts w:asciiTheme="minorHAnsi" w:hAnsiTheme="minorHAnsi"/>
                <w:color w:val="000000"/>
                <w:sz w:val="20"/>
                <w:szCs w:val="20"/>
              </w:rPr>
              <w:t>%</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Enough to feel it a little</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103</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106</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11.</w:t>
            </w:r>
            <w:r>
              <w:rPr>
                <w:rFonts w:asciiTheme="minorHAnsi" w:hAnsiTheme="minorHAnsi"/>
                <w:color w:val="000000"/>
                <w:sz w:val="20"/>
                <w:szCs w:val="20"/>
              </w:rPr>
              <w:t>7</w:t>
            </w:r>
            <w:r w:rsidR="006A2100">
              <w:rPr>
                <w:rFonts w:asciiTheme="minorHAnsi" w:hAnsiTheme="minorHAnsi"/>
                <w:color w:val="000000"/>
                <w:sz w:val="20"/>
                <w:szCs w:val="20"/>
              </w:rPr>
              <w: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13.8</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84.9</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955C78"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82.4</w:t>
            </w:r>
            <w:r w:rsidR="006A2100">
              <w:rPr>
                <w:rFonts w:asciiTheme="minorHAnsi" w:hAnsiTheme="minorHAnsi"/>
                <w:color w:val="000000"/>
                <w:sz w:val="20"/>
                <w:szCs w:val="20"/>
              </w:rPr>
              <w:t>%</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Enough to feel it a lot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52</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63</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5.9</w:t>
            </w:r>
            <w:r w:rsidR="006A2100">
              <w:rPr>
                <w:rFonts w:asciiTheme="minorHAnsi" w:hAnsiTheme="minorHAnsi"/>
                <w:color w:val="000000"/>
                <w:sz w:val="20"/>
                <w:szCs w:val="20"/>
              </w:rPr>
              <w: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8.2</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90.8</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955C78"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90.6</w:t>
            </w:r>
            <w:r w:rsidR="006A2100">
              <w:rPr>
                <w:rFonts w:asciiTheme="minorHAnsi" w:hAnsiTheme="minorHAnsi"/>
                <w:color w:val="000000"/>
                <w:sz w:val="20"/>
                <w:szCs w:val="20"/>
              </w:rPr>
              <w:t>%</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Until I get really stoned</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81</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72</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9.</w:t>
            </w:r>
            <w:r>
              <w:rPr>
                <w:rFonts w:asciiTheme="minorHAnsi" w:hAnsiTheme="minorHAnsi"/>
                <w:color w:val="000000"/>
                <w:sz w:val="20"/>
                <w:szCs w:val="20"/>
              </w:rPr>
              <w:t>2</w:t>
            </w:r>
            <w:r w:rsidR="006A2100">
              <w:rPr>
                <w:rFonts w:asciiTheme="minorHAnsi" w:hAnsiTheme="minorHAnsi"/>
                <w:color w:val="000000"/>
                <w:sz w:val="20"/>
                <w:szCs w:val="20"/>
              </w:rPr>
              <w:t>%</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9.4</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100.0</w:t>
            </w:r>
            <w:r w:rsidR="006A2100">
              <w:rPr>
                <w:rFonts w:asciiTheme="minorHAnsi" w:hAnsiTheme="minorHAnsi"/>
                <w:color w:val="000000"/>
                <w:sz w:val="20"/>
                <w:szCs w:val="20"/>
              </w:rPr>
              <w:t>%</w:t>
            </w:r>
          </w:p>
        </w:tc>
        <w:tc>
          <w:tcPr>
            <w:tcW w:w="1291" w:type="dxa"/>
            <w:shd w:val="clear" w:color="auto" w:fill="FFFFFF" w:themeFill="background1"/>
          </w:tcPr>
          <w:p w:rsidR="00F360EA" w:rsidRPr="006A2100" w:rsidRDefault="00955C78" w:rsidP="00F96011">
            <w:pPr>
              <w:autoSpaceDE w:val="0"/>
              <w:autoSpaceDN w:val="0"/>
              <w:adjustRightInd w:val="0"/>
              <w:spacing w:before="40" w:after="40"/>
              <w:ind w:left="60" w:right="60"/>
              <w:jc w:val="right"/>
              <w:rPr>
                <w:rFonts w:asciiTheme="minorHAnsi" w:hAnsiTheme="minorHAnsi"/>
                <w:color w:val="000000"/>
                <w:sz w:val="20"/>
                <w:szCs w:val="20"/>
              </w:rPr>
            </w:pPr>
            <w:r w:rsidRPr="006A2100">
              <w:rPr>
                <w:rFonts w:asciiTheme="minorHAnsi" w:hAnsiTheme="minorHAnsi"/>
                <w:color w:val="000000"/>
                <w:sz w:val="20"/>
                <w:szCs w:val="20"/>
              </w:rPr>
              <w:t>100.0</w:t>
            </w:r>
            <w:r w:rsidR="006A2100">
              <w:rPr>
                <w:rFonts w:asciiTheme="minorHAnsi" w:hAnsiTheme="minorHAnsi"/>
                <w:color w:val="000000"/>
                <w:sz w:val="20"/>
                <w:szCs w:val="20"/>
              </w:rPr>
              <w:t>%</w:t>
            </w:r>
          </w:p>
        </w:tc>
      </w:tr>
      <w:tr w:rsidR="00F360EA" w:rsidRPr="00DB403B" w:rsidTr="00F360EA">
        <w:trPr>
          <w:jc w:val="center"/>
        </w:trPr>
        <w:tc>
          <w:tcPr>
            <w:tcW w:w="2333" w:type="dxa"/>
          </w:tcPr>
          <w:p w:rsidR="00F360EA" w:rsidRPr="00DB403B" w:rsidRDefault="00F360EA" w:rsidP="00F96011">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Total</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fldChar w:fldCharType="begin"/>
            </w:r>
            <w:r>
              <w:rPr>
                <w:rFonts w:asciiTheme="minorHAnsi" w:hAnsiTheme="minorHAnsi"/>
                <w:color w:val="000000"/>
                <w:sz w:val="20"/>
                <w:szCs w:val="20"/>
              </w:rPr>
              <w:instrText xml:space="preserve"> =SUM(ABOVE) </w:instrText>
            </w:r>
            <w:r>
              <w:rPr>
                <w:rFonts w:asciiTheme="minorHAnsi" w:hAnsiTheme="minorHAnsi"/>
                <w:color w:val="000000"/>
                <w:sz w:val="20"/>
                <w:szCs w:val="20"/>
              </w:rPr>
              <w:fldChar w:fldCharType="separate"/>
            </w:r>
            <w:r>
              <w:rPr>
                <w:rFonts w:asciiTheme="minorHAnsi" w:hAnsiTheme="minorHAnsi"/>
                <w:noProof/>
                <w:color w:val="000000"/>
                <w:sz w:val="20"/>
                <w:szCs w:val="20"/>
              </w:rPr>
              <w:t>880</w:t>
            </w:r>
            <w:r>
              <w:rPr>
                <w:rFonts w:asciiTheme="minorHAnsi" w:hAnsiTheme="minorHAnsi"/>
                <w:color w:val="000000"/>
                <w:sz w:val="20"/>
                <w:szCs w:val="20"/>
              </w:rPr>
              <w:fldChar w:fldCharType="end"/>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767</w:t>
            </w:r>
          </w:p>
        </w:tc>
        <w:tc>
          <w:tcPr>
            <w:tcW w:w="1291" w:type="dxa"/>
          </w:tcPr>
          <w:p w:rsidR="00F360EA" w:rsidRPr="00DB403B" w:rsidRDefault="00F360EA" w:rsidP="00F96011">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fldChar w:fldCharType="begin"/>
            </w:r>
            <w:r>
              <w:rPr>
                <w:rFonts w:asciiTheme="minorHAnsi" w:hAnsiTheme="minorHAnsi"/>
                <w:color w:val="000000"/>
                <w:sz w:val="20"/>
                <w:szCs w:val="20"/>
              </w:rPr>
              <w:instrText xml:space="preserve"> =SUM(ABOVE) </w:instrText>
            </w:r>
            <w:r>
              <w:rPr>
                <w:rFonts w:asciiTheme="minorHAnsi" w:hAnsiTheme="minorHAnsi"/>
                <w:color w:val="000000"/>
                <w:sz w:val="20"/>
                <w:szCs w:val="20"/>
              </w:rPr>
              <w:fldChar w:fldCharType="separate"/>
            </w:r>
            <w:r>
              <w:rPr>
                <w:rFonts w:asciiTheme="minorHAnsi" w:hAnsiTheme="minorHAnsi"/>
                <w:noProof/>
                <w:color w:val="000000"/>
                <w:sz w:val="20"/>
                <w:szCs w:val="20"/>
              </w:rPr>
              <w:t>100</w:t>
            </w:r>
            <w:r>
              <w:rPr>
                <w:rFonts w:asciiTheme="minorHAnsi" w:hAnsiTheme="minorHAnsi"/>
                <w:color w:val="000000"/>
                <w:sz w:val="20"/>
                <w:szCs w:val="20"/>
              </w:rPr>
              <w:fldChar w:fldCharType="end"/>
            </w:r>
            <w:r>
              <w:rPr>
                <w:rFonts w:asciiTheme="minorHAnsi" w:hAnsiTheme="minorHAnsi"/>
                <w:color w:val="000000"/>
                <w:sz w:val="20"/>
                <w:szCs w:val="20"/>
              </w:rPr>
              <w:t>.0</w:t>
            </w:r>
            <w:r w:rsidR="006A2100">
              <w:rPr>
                <w:rFonts w:asciiTheme="minorHAnsi" w:hAnsiTheme="minorHAnsi"/>
                <w:color w:val="000000"/>
                <w:sz w:val="20"/>
                <w:szCs w:val="20"/>
              </w:rPr>
              <w:t>%</w:t>
            </w:r>
          </w:p>
        </w:tc>
        <w:tc>
          <w:tcPr>
            <w:tcW w:w="1291" w:type="dxa"/>
          </w:tcPr>
          <w:p w:rsidR="00F360EA" w:rsidRPr="00DB403B" w:rsidRDefault="00F360EA" w:rsidP="00684C3B">
            <w:pPr>
              <w:autoSpaceDE w:val="0"/>
              <w:autoSpaceDN w:val="0"/>
              <w:adjustRightInd w:val="0"/>
              <w:spacing w:before="40" w:after="40"/>
              <w:jc w:val="right"/>
              <w:rPr>
                <w:rFonts w:asciiTheme="minorHAnsi" w:hAnsiTheme="minorHAnsi" w:cs="Times New Roman"/>
                <w:sz w:val="20"/>
                <w:szCs w:val="20"/>
              </w:rPr>
            </w:pPr>
            <w:r>
              <w:rPr>
                <w:rFonts w:asciiTheme="minorHAnsi" w:hAnsiTheme="minorHAnsi" w:cs="Times New Roman"/>
                <w:sz w:val="20"/>
                <w:szCs w:val="20"/>
              </w:rPr>
              <w:t>100.0</w:t>
            </w:r>
            <w:r w:rsidR="006A2100">
              <w:rPr>
                <w:rFonts w:asciiTheme="minorHAnsi" w:hAnsiTheme="minorHAnsi"/>
                <w:color w:val="000000"/>
                <w:sz w:val="20"/>
                <w:szCs w:val="20"/>
              </w:rPr>
              <w:t>%</w:t>
            </w:r>
          </w:p>
        </w:tc>
        <w:tc>
          <w:tcPr>
            <w:tcW w:w="1291" w:type="dxa"/>
            <w:shd w:val="clear" w:color="auto" w:fill="FFFFFF" w:themeFill="background1"/>
          </w:tcPr>
          <w:p w:rsidR="00F360EA" w:rsidRPr="00FA13AC" w:rsidRDefault="00F360EA" w:rsidP="00684C3B">
            <w:pPr>
              <w:autoSpaceDE w:val="0"/>
              <w:autoSpaceDN w:val="0"/>
              <w:adjustRightInd w:val="0"/>
              <w:spacing w:before="40" w:after="40"/>
              <w:jc w:val="right"/>
              <w:rPr>
                <w:rFonts w:asciiTheme="minorHAnsi" w:hAnsiTheme="minorHAnsi" w:cs="Times New Roman"/>
                <w:sz w:val="20"/>
                <w:szCs w:val="20"/>
                <w:highlight w:val="cyan"/>
              </w:rPr>
            </w:pPr>
          </w:p>
        </w:tc>
        <w:tc>
          <w:tcPr>
            <w:tcW w:w="1291" w:type="dxa"/>
            <w:shd w:val="clear" w:color="auto" w:fill="FFFFFF" w:themeFill="background1"/>
          </w:tcPr>
          <w:p w:rsidR="00F360EA" w:rsidRPr="00FA13AC" w:rsidRDefault="00F360EA" w:rsidP="00684C3B">
            <w:pPr>
              <w:autoSpaceDE w:val="0"/>
              <w:autoSpaceDN w:val="0"/>
              <w:adjustRightInd w:val="0"/>
              <w:spacing w:before="40" w:after="40"/>
              <w:jc w:val="right"/>
              <w:rPr>
                <w:rFonts w:asciiTheme="minorHAnsi" w:hAnsiTheme="minorHAnsi" w:cs="Times New Roman"/>
                <w:sz w:val="20"/>
                <w:szCs w:val="20"/>
                <w:highlight w:val="cyan"/>
              </w:rPr>
            </w:pPr>
          </w:p>
        </w:tc>
      </w:tr>
    </w:tbl>
    <w:p w:rsidR="00741EDA" w:rsidRPr="002657B2" w:rsidRDefault="00741EDA" w:rsidP="008D7485">
      <w:pPr>
        <w:spacing w:after="0" w:line="240" w:lineRule="auto"/>
        <w:rPr>
          <w:sz w:val="24"/>
          <w:szCs w:val="24"/>
        </w:rPr>
      </w:pPr>
    </w:p>
    <w:p w:rsidR="00DB403B" w:rsidRPr="002657B2" w:rsidRDefault="00DB403B" w:rsidP="008D7485">
      <w:pPr>
        <w:spacing w:after="0" w:line="240" w:lineRule="auto"/>
        <w:rPr>
          <w:sz w:val="24"/>
          <w:szCs w:val="24"/>
        </w:rPr>
        <w:sectPr w:rsidR="00DB403B" w:rsidRPr="002657B2" w:rsidSect="00DB403B">
          <w:type w:val="continuous"/>
          <w:pgSz w:w="12240" w:h="15840"/>
          <w:pgMar w:top="720" w:right="720" w:bottom="720" w:left="720" w:header="720" w:footer="720" w:gutter="0"/>
          <w:cols w:space="720"/>
          <w:docGrid w:linePitch="360"/>
        </w:sectPr>
      </w:pPr>
    </w:p>
    <w:p w:rsidR="00741EDA" w:rsidRDefault="00AD597E" w:rsidP="005E4578">
      <w:pPr>
        <w:spacing w:after="0" w:line="240" w:lineRule="auto"/>
        <w:jc w:val="both"/>
        <w:rPr>
          <w:sz w:val="21"/>
          <w:szCs w:val="21"/>
        </w:rPr>
      </w:pPr>
      <w:r w:rsidRPr="00454050">
        <w:rPr>
          <w:rFonts w:asciiTheme="minorHAnsi" w:hAnsiTheme="minorHAnsi" w:cstheme="minorHAnsi"/>
          <w:b/>
          <w:sz w:val="24"/>
          <w:szCs w:val="24"/>
        </w:rPr>
        <w:t xml:space="preserve">Client Characteristics and </w:t>
      </w:r>
      <w:r w:rsidR="001B174D">
        <w:rPr>
          <w:rFonts w:asciiTheme="minorHAnsi" w:hAnsiTheme="minorHAnsi" w:cstheme="minorHAnsi"/>
          <w:b/>
          <w:sz w:val="24"/>
          <w:szCs w:val="24"/>
        </w:rPr>
        <w:t xml:space="preserve">Marijuana </w:t>
      </w:r>
      <w:r w:rsidRPr="00454050">
        <w:rPr>
          <w:rFonts w:asciiTheme="minorHAnsi" w:hAnsiTheme="minorHAnsi" w:cstheme="minorHAnsi"/>
          <w:b/>
          <w:sz w:val="24"/>
          <w:szCs w:val="24"/>
        </w:rPr>
        <w:t>Use</w:t>
      </w:r>
      <w:r w:rsidRPr="005E4578">
        <w:rPr>
          <w:sz w:val="21"/>
          <w:szCs w:val="21"/>
        </w:rPr>
        <w:t xml:space="preserve">   </w:t>
      </w:r>
      <w:r w:rsidR="00953460" w:rsidRPr="005E4578">
        <w:rPr>
          <w:sz w:val="21"/>
          <w:szCs w:val="21"/>
        </w:rPr>
        <w:t>Research on why some youth use and others do not has found that, where marijuana is available, the extent of youth use is related to four factors: parent standards and enforcement</w:t>
      </w:r>
      <w:r w:rsidR="001B174D">
        <w:rPr>
          <w:sz w:val="21"/>
          <w:szCs w:val="21"/>
        </w:rPr>
        <w:t xml:space="preserve"> of non-use rules</w:t>
      </w:r>
      <w:r w:rsidR="00953460" w:rsidRPr="005E4578">
        <w:rPr>
          <w:sz w:val="21"/>
          <w:szCs w:val="21"/>
        </w:rPr>
        <w:t xml:space="preserve">, </w:t>
      </w:r>
      <w:r w:rsidR="00577489">
        <w:rPr>
          <w:sz w:val="21"/>
          <w:szCs w:val="21"/>
        </w:rPr>
        <w:t xml:space="preserve">extent of </w:t>
      </w:r>
      <w:r w:rsidR="00953460" w:rsidRPr="005E4578">
        <w:rPr>
          <w:sz w:val="21"/>
          <w:szCs w:val="21"/>
        </w:rPr>
        <w:t xml:space="preserve">peer use of marijuana, school prevention efforts, and social norms about use </w:t>
      </w:r>
      <w:r w:rsidR="00953460" w:rsidRPr="005E4578">
        <w:rPr>
          <w:sz w:val="21"/>
          <w:szCs w:val="21"/>
        </w:rPr>
        <w:t xml:space="preserve">and enforcement of laws in the larger community. </w:t>
      </w:r>
      <w:r w:rsidR="005E4578" w:rsidRPr="005E4578">
        <w:rPr>
          <w:sz w:val="21"/>
          <w:szCs w:val="21"/>
        </w:rPr>
        <w:t>These forces no doubt drive use among YouthZone clients. Statistical analyses</w:t>
      </w:r>
      <w:r w:rsidR="00872C8E">
        <w:rPr>
          <w:sz w:val="21"/>
          <w:szCs w:val="21"/>
        </w:rPr>
        <w:t xml:space="preserve"> in this evaluation</w:t>
      </w:r>
      <w:r w:rsidR="005E4578" w:rsidRPr="005E4578">
        <w:rPr>
          <w:sz w:val="21"/>
          <w:szCs w:val="21"/>
        </w:rPr>
        <w:t xml:space="preserve"> identified other features that distinguished no use, experimentation, and dependence (regular use)</w:t>
      </w:r>
      <w:r w:rsidR="00C0033E">
        <w:rPr>
          <w:sz w:val="21"/>
          <w:szCs w:val="21"/>
        </w:rPr>
        <w:t xml:space="preserve"> by clients</w:t>
      </w:r>
      <w:r w:rsidR="005E4578" w:rsidRPr="005E4578">
        <w:rPr>
          <w:sz w:val="21"/>
          <w:szCs w:val="21"/>
        </w:rPr>
        <w:t>.</w:t>
      </w:r>
      <w:r w:rsidR="00FB4E9F">
        <w:rPr>
          <w:sz w:val="21"/>
          <w:szCs w:val="21"/>
        </w:rPr>
        <w:t xml:space="preserve"> Table 2 summarizes the</w:t>
      </w:r>
      <w:r w:rsidR="00872C8E">
        <w:rPr>
          <w:sz w:val="21"/>
          <w:szCs w:val="21"/>
        </w:rPr>
        <w:t>se</w:t>
      </w:r>
      <w:r w:rsidR="00FB4E9F">
        <w:rPr>
          <w:sz w:val="21"/>
          <w:szCs w:val="21"/>
        </w:rPr>
        <w:t xml:space="preserve"> findings.</w:t>
      </w:r>
    </w:p>
    <w:p w:rsidR="00577489" w:rsidRDefault="00577489" w:rsidP="005E4578">
      <w:pPr>
        <w:spacing w:after="0" w:line="240" w:lineRule="auto"/>
        <w:jc w:val="both"/>
        <w:rPr>
          <w:sz w:val="16"/>
          <w:szCs w:val="16"/>
        </w:rPr>
        <w:sectPr w:rsidR="00577489" w:rsidSect="00741EDA">
          <w:type w:val="continuous"/>
          <w:pgSz w:w="12240" w:h="15840"/>
          <w:pgMar w:top="720" w:right="720" w:bottom="720" w:left="720" w:header="720" w:footer="720" w:gutter="0"/>
          <w:cols w:num="2" w:space="720"/>
          <w:docGrid w:linePitch="360"/>
        </w:sectPr>
      </w:pPr>
    </w:p>
    <w:p w:rsidR="00FB4E9F" w:rsidRPr="00454050" w:rsidRDefault="00FB4E9F" w:rsidP="005E4578">
      <w:pPr>
        <w:spacing w:after="0" w:line="240" w:lineRule="auto"/>
        <w:jc w:val="both"/>
        <w:rPr>
          <w:sz w:val="16"/>
          <w:szCs w:val="16"/>
        </w:rPr>
      </w:pPr>
    </w:p>
    <w:p w:rsidR="00FB4E9F" w:rsidRPr="005E4578" w:rsidRDefault="00FB4E9F" w:rsidP="00FB4E9F">
      <w:pPr>
        <w:spacing w:after="0" w:line="240" w:lineRule="auto"/>
        <w:jc w:val="center"/>
        <w:rPr>
          <w:sz w:val="21"/>
          <w:szCs w:val="21"/>
        </w:rPr>
      </w:pPr>
      <w:r w:rsidRPr="00DB403B">
        <w:rPr>
          <w:rFonts w:asciiTheme="minorHAnsi" w:hAnsiTheme="minorHAnsi"/>
          <w:b/>
          <w:bCs/>
          <w:color w:val="000000"/>
          <w:sz w:val="24"/>
          <w:szCs w:val="24"/>
        </w:rPr>
        <w:t xml:space="preserve">Table </w:t>
      </w:r>
      <w:r>
        <w:rPr>
          <w:rFonts w:asciiTheme="minorHAnsi" w:hAnsiTheme="minorHAnsi"/>
          <w:b/>
          <w:bCs/>
          <w:color w:val="000000"/>
          <w:sz w:val="24"/>
          <w:szCs w:val="24"/>
        </w:rPr>
        <w:t>2</w:t>
      </w:r>
      <w:r w:rsidRPr="00DB403B">
        <w:rPr>
          <w:rFonts w:asciiTheme="minorHAnsi" w:hAnsiTheme="minorHAnsi"/>
          <w:b/>
          <w:bCs/>
          <w:color w:val="000000"/>
          <w:sz w:val="24"/>
          <w:szCs w:val="24"/>
        </w:rPr>
        <w:t>. Client</w:t>
      </w:r>
      <w:r>
        <w:rPr>
          <w:rFonts w:asciiTheme="minorHAnsi" w:hAnsiTheme="minorHAnsi"/>
          <w:b/>
          <w:bCs/>
          <w:color w:val="000000"/>
          <w:sz w:val="24"/>
          <w:szCs w:val="24"/>
        </w:rPr>
        <w:t xml:space="preserve"> Characteristics</w:t>
      </w:r>
      <w:r w:rsidRPr="00FB4E9F">
        <w:rPr>
          <w:rFonts w:asciiTheme="minorHAnsi" w:hAnsiTheme="minorHAnsi"/>
          <w:b/>
          <w:bCs/>
          <w:color w:val="000000"/>
          <w:sz w:val="24"/>
          <w:szCs w:val="24"/>
        </w:rPr>
        <w:t xml:space="preserve"> </w:t>
      </w:r>
      <w:r>
        <w:rPr>
          <w:rFonts w:asciiTheme="minorHAnsi" w:hAnsiTheme="minorHAnsi"/>
          <w:b/>
          <w:bCs/>
          <w:color w:val="000000"/>
          <w:sz w:val="24"/>
          <w:szCs w:val="24"/>
        </w:rPr>
        <w:t>and</w:t>
      </w:r>
      <w:r w:rsidR="001D5F0D">
        <w:rPr>
          <w:rFonts w:asciiTheme="minorHAnsi" w:hAnsiTheme="minorHAnsi"/>
          <w:b/>
          <w:bCs/>
          <w:color w:val="000000"/>
          <w:sz w:val="24"/>
          <w:szCs w:val="24"/>
        </w:rPr>
        <w:t xml:space="preserve"> </w:t>
      </w:r>
      <w:r>
        <w:rPr>
          <w:rFonts w:asciiTheme="minorHAnsi" w:hAnsiTheme="minorHAnsi"/>
          <w:b/>
          <w:bCs/>
          <w:color w:val="000000"/>
          <w:sz w:val="24"/>
          <w:szCs w:val="24"/>
        </w:rPr>
        <w:t>Extent of Marijuana Use</w:t>
      </w:r>
      <w:r w:rsidR="006772C4">
        <w:rPr>
          <w:rFonts w:asciiTheme="minorHAnsi" w:hAnsiTheme="minorHAnsi"/>
          <w:b/>
          <w:bCs/>
          <w:color w:val="000000"/>
          <w:sz w:val="24"/>
          <w:szCs w:val="24"/>
        </w:rPr>
        <w:t>: 2013-2016 Survey</w:t>
      </w:r>
    </w:p>
    <w:p w:rsidR="005E4578" w:rsidRPr="00FB4E9F" w:rsidRDefault="005E4578" w:rsidP="00FB4E9F">
      <w:pPr>
        <w:spacing w:after="0" w:line="240" w:lineRule="auto"/>
        <w:jc w:val="center"/>
        <w:rPr>
          <w:sz w:val="16"/>
          <w:szCs w:val="16"/>
        </w:rPr>
      </w:pPr>
    </w:p>
    <w:tbl>
      <w:tblPr>
        <w:tblStyle w:val="TableGridLight"/>
        <w:tblW w:w="8640" w:type="dxa"/>
        <w:jc w:val="center"/>
        <w:tblLook w:val="04A0" w:firstRow="1" w:lastRow="0" w:firstColumn="1" w:lastColumn="0" w:noHBand="0" w:noVBand="1"/>
      </w:tblPr>
      <w:tblGrid>
        <w:gridCol w:w="1440"/>
        <w:gridCol w:w="7200"/>
      </w:tblGrid>
      <w:tr w:rsidR="00FB4E9F" w:rsidRPr="00454050" w:rsidTr="003B3A9A">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BE4D5" w:themeFill="accent2" w:themeFillTint="33"/>
          </w:tcPr>
          <w:p w:rsidR="00FB4E9F" w:rsidRPr="00454050" w:rsidRDefault="00FB4E9F" w:rsidP="00002CA4">
            <w:pPr>
              <w:spacing w:before="0" w:after="0"/>
              <w:rPr>
                <w:rFonts w:asciiTheme="minorHAnsi" w:hAnsiTheme="minorHAnsi" w:cstheme="minorHAnsi"/>
                <w:sz w:val="20"/>
                <w:szCs w:val="20"/>
              </w:rPr>
            </w:pPr>
            <w:r w:rsidRPr="00454050">
              <w:rPr>
                <w:rFonts w:asciiTheme="minorHAnsi" w:hAnsiTheme="minorHAnsi" w:cstheme="minorHAnsi"/>
                <w:sz w:val="20"/>
                <w:szCs w:val="20"/>
              </w:rPr>
              <w:t>Characteristic</w:t>
            </w:r>
          </w:p>
        </w:tc>
        <w:tc>
          <w:tcPr>
            <w:tcW w:w="7200" w:type="dxa"/>
            <w:shd w:val="clear" w:color="auto" w:fill="FBE4D5" w:themeFill="accent2" w:themeFillTint="33"/>
          </w:tcPr>
          <w:p w:rsidR="00FB4E9F" w:rsidRPr="00454050" w:rsidRDefault="00AA2FAC" w:rsidP="00002CA4">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Youth Characteristics </w:t>
            </w:r>
            <w:r w:rsidR="00FB4E9F" w:rsidRPr="00454050">
              <w:rPr>
                <w:rFonts w:asciiTheme="minorHAnsi" w:hAnsiTheme="minorHAnsi" w:cstheme="minorHAnsi"/>
                <w:sz w:val="20"/>
                <w:szCs w:val="20"/>
              </w:rPr>
              <w:t>Relationship to Marijuana Use</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002CA4" w:rsidRDefault="00FB4E9F" w:rsidP="00002CA4">
            <w:pPr>
              <w:spacing w:before="0" w:after="0"/>
              <w:jc w:val="both"/>
              <w:rPr>
                <w:rFonts w:asciiTheme="minorHAnsi" w:hAnsiTheme="minorHAnsi" w:cstheme="minorHAnsi"/>
                <w:sz w:val="20"/>
                <w:szCs w:val="20"/>
              </w:rPr>
            </w:pPr>
            <w:r w:rsidRPr="00002CA4">
              <w:rPr>
                <w:rFonts w:asciiTheme="minorHAnsi" w:hAnsiTheme="minorHAnsi" w:cstheme="minorHAnsi"/>
                <w:sz w:val="20"/>
                <w:szCs w:val="20"/>
              </w:rPr>
              <w:t>Age</w:t>
            </w:r>
          </w:p>
        </w:tc>
        <w:tc>
          <w:tcPr>
            <w:tcW w:w="7200" w:type="dxa"/>
          </w:tcPr>
          <w:p w:rsidR="00FB4E9F" w:rsidRPr="00AA2FAC" w:rsidRDefault="00E768E3"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Olde</w:t>
            </w:r>
            <w:r w:rsidR="00FA13AC">
              <w:rPr>
                <w:rFonts w:asciiTheme="minorHAnsi" w:hAnsiTheme="minorHAnsi" w:cstheme="minorHAnsi"/>
                <w:sz w:val="20"/>
                <w:szCs w:val="20"/>
              </w:rPr>
              <w:t>r youth use more marijuana</w:t>
            </w:r>
            <w:r w:rsidR="00FA13AC" w:rsidRPr="00A20FF4">
              <w:rPr>
                <w:rFonts w:asciiTheme="minorHAnsi" w:hAnsiTheme="minorHAnsi" w:cstheme="minorHAnsi"/>
                <w:sz w:val="20"/>
                <w:szCs w:val="20"/>
              </w:rPr>
              <w:t>.</w:t>
            </w:r>
            <w:r w:rsidR="003D5FE9">
              <w:rPr>
                <w:rFonts w:asciiTheme="minorHAnsi" w:hAnsiTheme="minorHAnsi" w:cstheme="minorHAnsi"/>
                <w:sz w:val="20"/>
                <w:szCs w:val="20"/>
              </w:rPr>
              <w:t xml:space="preserve"> Among o</w:t>
            </w:r>
            <w:r w:rsidRPr="00AA2FAC">
              <w:rPr>
                <w:rFonts w:asciiTheme="minorHAnsi" w:hAnsiTheme="minorHAnsi" w:cstheme="minorHAnsi"/>
                <w:sz w:val="20"/>
                <w:szCs w:val="20"/>
              </w:rPr>
              <w:t>lder clients use tends more often to be regular than occasional. Marijuana dependency occurs, however, in all age groups.</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002CA4" w:rsidRDefault="00E768E3" w:rsidP="00002CA4">
            <w:pPr>
              <w:spacing w:before="0" w:after="0"/>
              <w:jc w:val="both"/>
              <w:rPr>
                <w:rFonts w:asciiTheme="minorHAnsi" w:hAnsiTheme="minorHAnsi" w:cstheme="minorHAnsi"/>
                <w:sz w:val="20"/>
                <w:szCs w:val="20"/>
              </w:rPr>
            </w:pPr>
            <w:r>
              <w:rPr>
                <w:rFonts w:asciiTheme="minorHAnsi" w:hAnsiTheme="minorHAnsi" w:cstheme="minorHAnsi"/>
                <w:sz w:val="20"/>
                <w:szCs w:val="20"/>
              </w:rPr>
              <w:t>Sex</w:t>
            </w:r>
          </w:p>
        </w:tc>
        <w:tc>
          <w:tcPr>
            <w:tcW w:w="7200" w:type="dxa"/>
          </w:tcPr>
          <w:p w:rsidR="00FB4E9F" w:rsidRPr="00AA2FAC" w:rsidRDefault="00D20A8A"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 xml:space="preserve">There is a tendency among YouthZone clients for more girls to be non-users. </w:t>
            </w:r>
            <w:r w:rsidR="00F7425E">
              <w:rPr>
                <w:rFonts w:asciiTheme="minorHAnsi" w:hAnsiTheme="minorHAnsi" w:cstheme="minorHAnsi"/>
                <w:sz w:val="20"/>
                <w:szCs w:val="20"/>
              </w:rPr>
              <w:t>However, t</w:t>
            </w:r>
            <w:r w:rsidRPr="00AA2FAC">
              <w:rPr>
                <w:rFonts w:asciiTheme="minorHAnsi" w:hAnsiTheme="minorHAnsi" w:cstheme="minorHAnsi"/>
                <w:sz w:val="20"/>
                <w:szCs w:val="20"/>
              </w:rPr>
              <w:t>here are no statistical differences in marijuana dependency between boys and girls.</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002CA4" w:rsidRDefault="00E66EB0" w:rsidP="00002CA4">
            <w:pPr>
              <w:spacing w:before="0" w:after="0"/>
              <w:jc w:val="both"/>
              <w:rPr>
                <w:rFonts w:asciiTheme="minorHAnsi" w:hAnsiTheme="minorHAnsi" w:cstheme="minorHAnsi"/>
                <w:sz w:val="20"/>
                <w:szCs w:val="20"/>
              </w:rPr>
            </w:pPr>
            <w:r>
              <w:rPr>
                <w:rFonts w:asciiTheme="minorHAnsi" w:hAnsiTheme="minorHAnsi" w:cstheme="minorHAnsi"/>
                <w:sz w:val="20"/>
                <w:szCs w:val="20"/>
              </w:rPr>
              <w:t>Ethnicity</w:t>
            </w:r>
          </w:p>
        </w:tc>
        <w:tc>
          <w:tcPr>
            <w:tcW w:w="7200" w:type="dxa"/>
          </w:tcPr>
          <w:p w:rsidR="00FB4E9F" w:rsidRPr="00AA2FAC" w:rsidRDefault="002F2E95"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Ethnicity was unrelated to marijuana use.</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002CA4" w:rsidRDefault="002F2E95" w:rsidP="00002CA4">
            <w:pPr>
              <w:spacing w:before="0" w:after="0"/>
              <w:jc w:val="both"/>
              <w:rPr>
                <w:rFonts w:asciiTheme="minorHAnsi" w:hAnsiTheme="minorHAnsi" w:cstheme="minorHAnsi"/>
                <w:sz w:val="20"/>
                <w:szCs w:val="20"/>
              </w:rPr>
            </w:pPr>
            <w:r>
              <w:rPr>
                <w:rFonts w:asciiTheme="minorHAnsi" w:hAnsiTheme="minorHAnsi" w:cstheme="minorHAnsi"/>
                <w:sz w:val="20"/>
                <w:szCs w:val="20"/>
              </w:rPr>
              <w:lastRenderedPageBreak/>
              <w:t>Family Type</w:t>
            </w:r>
          </w:p>
        </w:tc>
        <w:tc>
          <w:tcPr>
            <w:tcW w:w="7200" w:type="dxa"/>
          </w:tcPr>
          <w:p w:rsidR="00FB4E9F" w:rsidRPr="00AA2FAC" w:rsidRDefault="002F2E95"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Marijuana use was unrelated to the type of family with which the client was residing.</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002CA4" w:rsidRDefault="002F2E95" w:rsidP="00002CA4">
            <w:pPr>
              <w:spacing w:before="0" w:after="0"/>
              <w:jc w:val="both"/>
              <w:rPr>
                <w:rFonts w:asciiTheme="minorHAnsi" w:hAnsiTheme="minorHAnsi" w:cstheme="minorHAnsi"/>
                <w:sz w:val="20"/>
                <w:szCs w:val="20"/>
              </w:rPr>
            </w:pPr>
            <w:r>
              <w:rPr>
                <w:rFonts w:asciiTheme="minorHAnsi" w:hAnsiTheme="minorHAnsi" w:cstheme="minorHAnsi"/>
                <w:sz w:val="20"/>
                <w:szCs w:val="20"/>
              </w:rPr>
              <w:t>Previous Client</w:t>
            </w:r>
          </w:p>
        </w:tc>
        <w:tc>
          <w:tcPr>
            <w:tcW w:w="7200" w:type="dxa"/>
          </w:tcPr>
          <w:p w:rsidR="00FB4E9F" w:rsidRPr="00AA2FAC" w:rsidRDefault="002F2E95"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Youth who had previously been a YouthZone client were more often regular (dependent) marijuana users.</w:t>
            </w:r>
          </w:p>
        </w:tc>
      </w:tr>
      <w:tr w:rsidR="00FB4E9F"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FB4E9F" w:rsidRPr="00A20FF4" w:rsidRDefault="002F2E95" w:rsidP="00002CA4">
            <w:pPr>
              <w:spacing w:before="0" w:after="0"/>
              <w:jc w:val="both"/>
              <w:rPr>
                <w:rFonts w:asciiTheme="minorHAnsi" w:hAnsiTheme="minorHAnsi" w:cstheme="minorHAnsi"/>
                <w:sz w:val="21"/>
                <w:szCs w:val="21"/>
              </w:rPr>
            </w:pPr>
            <w:r w:rsidRPr="00A20FF4">
              <w:rPr>
                <w:rFonts w:asciiTheme="minorHAnsi" w:hAnsiTheme="minorHAnsi" w:cstheme="minorHAnsi"/>
                <w:sz w:val="21"/>
                <w:szCs w:val="21"/>
              </w:rPr>
              <w:t>Referral Source</w:t>
            </w:r>
          </w:p>
        </w:tc>
        <w:tc>
          <w:tcPr>
            <w:tcW w:w="7200" w:type="dxa"/>
          </w:tcPr>
          <w:p w:rsidR="00FB4E9F" w:rsidRPr="00A20FF4" w:rsidRDefault="0026407C" w:rsidP="00002CA4">
            <w:pPr>
              <w:spacing w:before="0"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0FF4">
              <w:rPr>
                <w:rFonts w:asciiTheme="minorHAnsi" w:hAnsiTheme="minorHAnsi" w:cstheme="minorHAnsi"/>
                <w:sz w:val="20"/>
                <w:szCs w:val="20"/>
              </w:rPr>
              <w:t>Youth referred to YouthZone by community sources (self, parents, school, YouthZone</w:t>
            </w:r>
            <w:r w:rsidR="00CC0E04" w:rsidRPr="00A20FF4">
              <w:rPr>
                <w:rFonts w:asciiTheme="minorHAnsi" w:hAnsiTheme="minorHAnsi" w:cstheme="minorHAnsi"/>
                <w:sz w:val="20"/>
                <w:szCs w:val="20"/>
              </w:rPr>
              <w:t>)</w:t>
            </w:r>
            <w:r w:rsidRPr="00A20FF4">
              <w:rPr>
                <w:rFonts w:asciiTheme="minorHAnsi" w:hAnsiTheme="minorHAnsi" w:cstheme="minorHAnsi"/>
                <w:sz w:val="20"/>
                <w:szCs w:val="20"/>
              </w:rPr>
              <w:t xml:space="preserve"> </w:t>
            </w:r>
            <w:r w:rsidR="00CC0E04" w:rsidRPr="00A20FF4">
              <w:rPr>
                <w:rFonts w:asciiTheme="minorHAnsi" w:hAnsiTheme="minorHAnsi" w:cstheme="minorHAnsi"/>
                <w:sz w:val="20"/>
                <w:szCs w:val="20"/>
              </w:rPr>
              <w:t>we</w:t>
            </w:r>
            <w:r w:rsidRPr="00A20FF4">
              <w:rPr>
                <w:rFonts w:asciiTheme="minorHAnsi" w:hAnsiTheme="minorHAnsi" w:cstheme="minorHAnsi"/>
                <w:sz w:val="20"/>
                <w:szCs w:val="20"/>
              </w:rPr>
              <w:t>re nearly always us</w:t>
            </w:r>
            <w:r w:rsidR="00CC0E04" w:rsidRPr="00A20FF4">
              <w:rPr>
                <w:rFonts w:asciiTheme="minorHAnsi" w:hAnsiTheme="minorHAnsi" w:cstheme="minorHAnsi"/>
                <w:sz w:val="20"/>
                <w:szCs w:val="20"/>
              </w:rPr>
              <w:t>ing</w:t>
            </w:r>
            <w:r w:rsidRPr="00A20FF4">
              <w:rPr>
                <w:rFonts w:asciiTheme="minorHAnsi" w:hAnsiTheme="minorHAnsi" w:cstheme="minorHAnsi"/>
                <w:sz w:val="20"/>
                <w:szCs w:val="20"/>
              </w:rPr>
              <w:t xml:space="preserve"> marijuana and </w:t>
            </w:r>
            <w:r w:rsidR="00EE7718" w:rsidRPr="00A20FF4">
              <w:rPr>
                <w:rFonts w:asciiTheme="minorHAnsi" w:hAnsiTheme="minorHAnsi" w:cstheme="minorHAnsi"/>
                <w:sz w:val="20"/>
                <w:szCs w:val="20"/>
              </w:rPr>
              <w:t xml:space="preserve">more than half </w:t>
            </w:r>
            <w:r w:rsidR="00CC0E04" w:rsidRPr="00A20FF4">
              <w:rPr>
                <w:rFonts w:asciiTheme="minorHAnsi" w:hAnsiTheme="minorHAnsi" w:cstheme="minorHAnsi"/>
                <w:sz w:val="20"/>
                <w:szCs w:val="20"/>
              </w:rPr>
              <w:t>we</w:t>
            </w:r>
            <w:r w:rsidR="00EE7718" w:rsidRPr="00A20FF4">
              <w:rPr>
                <w:rFonts w:asciiTheme="minorHAnsi" w:hAnsiTheme="minorHAnsi" w:cstheme="minorHAnsi"/>
                <w:sz w:val="20"/>
                <w:szCs w:val="20"/>
              </w:rPr>
              <w:t>re marijuana dependent.</w:t>
            </w:r>
          </w:p>
        </w:tc>
      </w:tr>
      <w:tr w:rsidR="00EE7718" w:rsidTr="003B3A9A">
        <w:trPr>
          <w:trHeight w:val="210"/>
          <w:jc w:val="center"/>
        </w:trPr>
        <w:tc>
          <w:tcPr>
            <w:cnfStyle w:val="001000000000" w:firstRow="0" w:lastRow="0" w:firstColumn="1" w:lastColumn="0" w:oddVBand="0" w:evenVBand="0" w:oddHBand="0" w:evenHBand="0" w:firstRowFirstColumn="0" w:firstRowLastColumn="0" w:lastRowFirstColumn="0" w:lastRowLastColumn="0"/>
            <w:tcW w:w="1440" w:type="dxa"/>
          </w:tcPr>
          <w:p w:rsidR="00EE7718" w:rsidRDefault="00EE7718" w:rsidP="00002CA4">
            <w:pPr>
              <w:spacing w:after="0"/>
              <w:jc w:val="both"/>
              <w:rPr>
                <w:rFonts w:asciiTheme="minorHAnsi" w:hAnsiTheme="minorHAnsi" w:cstheme="minorHAnsi"/>
                <w:sz w:val="21"/>
                <w:szCs w:val="21"/>
              </w:rPr>
            </w:pPr>
            <w:r>
              <w:rPr>
                <w:rFonts w:asciiTheme="minorHAnsi" w:hAnsiTheme="minorHAnsi" w:cstheme="minorHAnsi"/>
                <w:sz w:val="21"/>
                <w:szCs w:val="21"/>
              </w:rPr>
              <w:t xml:space="preserve">YouthZone </w:t>
            </w:r>
            <w:r w:rsidRPr="00EE7718">
              <w:rPr>
                <w:rFonts w:asciiTheme="minorHAnsi" w:hAnsiTheme="minorHAnsi" w:cstheme="minorHAnsi"/>
                <w:i/>
                <w:sz w:val="21"/>
                <w:szCs w:val="21"/>
              </w:rPr>
              <w:t>Screening</w:t>
            </w:r>
            <w:r>
              <w:rPr>
                <w:rFonts w:asciiTheme="minorHAnsi" w:hAnsiTheme="minorHAnsi" w:cstheme="minorHAnsi"/>
                <w:sz w:val="21"/>
                <w:szCs w:val="21"/>
              </w:rPr>
              <w:t xml:space="preserve"> Scales</w:t>
            </w:r>
          </w:p>
        </w:tc>
        <w:tc>
          <w:tcPr>
            <w:tcW w:w="7200" w:type="dxa"/>
          </w:tcPr>
          <w:p w:rsidR="00EE7718" w:rsidRPr="00AA2FAC" w:rsidRDefault="00EE7718" w:rsidP="00002CA4">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A2FAC">
              <w:rPr>
                <w:rFonts w:asciiTheme="minorHAnsi" w:hAnsiTheme="minorHAnsi" w:cstheme="minorHAnsi"/>
                <w:sz w:val="20"/>
                <w:szCs w:val="20"/>
              </w:rPr>
              <w:t xml:space="preserve">Marijuana dependency was highly correlated with </w:t>
            </w:r>
            <w:r w:rsidR="00814A20" w:rsidRPr="00814A20">
              <w:rPr>
                <w:rFonts w:asciiTheme="minorHAnsi" w:hAnsiTheme="minorHAnsi" w:cstheme="minorHAnsi"/>
                <w:i/>
                <w:iCs/>
                <w:sz w:val="20"/>
                <w:szCs w:val="20"/>
              </w:rPr>
              <w:t>YouthZone Screening for Positive Youth Development</w:t>
            </w:r>
            <w:r w:rsidR="00814A20" w:rsidRPr="00814A20">
              <w:rPr>
                <w:rFonts w:asciiTheme="minorHAnsi" w:hAnsiTheme="minorHAnsi" w:cstheme="minorHAnsi"/>
                <w:i/>
                <w:iCs/>
                <w:sz w:val="20"/>
                <w:szCs w:val="20"/>
                <w:vertAlign w:val="superscript"/>
              </w:rPr>
              <w:t>®</w:t>
            </w:r>
            <w:r w:rsidR="00814A20" w:rsidRPr="00814A20">
              <w:rPr>
                <w:rFonts w:asciiTheme="minorHAnsi" w:hAnsiTheme="minorHAnsi" w:cstheme="minorHAnsi"/>
                <w:i/>
                <w:iCs/>
                <w:sz w:val="20"/>
                <w:szCs w:val="20"/>
              </w:rPr>
              <w:t xml:space="preserve"> </w:t>
            </w:r>
            <w:r w:rsidR="00814A20" w:rsidRPr="00814A20">
              <w:rPr>
                <w:rFonts w:asciiTheme="minorHAnsi" w:hAnsiTheme="minorHAnsi" w:cstheme="minorHAnsi"/>
                <w:sz w:val="20"/>
                <w:szCs w:val="20"/>
              </w:rPr>
              <w:t>(“</w:t>
            </w:r>
            <w:r w:rsidR="00814A20" w:rsidRPr="00814A20">
              <w:rPr>
                <w:rFonts w:asciiTheme="minorHAnsi" w:hAnsiTheme="minorHAnsi" w:cstheme="minorHAnsi"/>
                <w:i/>
                <w:iCs/>
                <w:sz w:val="20"/>
                <w:szCs w:val="20"/>
              </w:rPr>
              <w:t>Screening”</w:t>
            </w:r>
            <w:r w:rsidR="00814A20" w:rsidRPr="00814A20">
              <w:rPr>
                <w:rFonts w:asciiTheme="minorHAnsi" w:hAnsiTheme="minorHAnsi" w:cstheme="minorHAnsi"/>
                <w:sz w:val="20"/>
                <w:szCs w:val="20"/>
              </w:rPr>
              <w:t>)</w:t>
            </w:r>
            <w:r w:rsidR="00814A20">
              <w:rPr>
                <w:rFonts w:asciiTheme="minorHAnsi" w:hAnsiTheme="minorHAnsi" w:cstheme="minorHAnsi"/>
                <w:sz w:val="20"/>
                <w:szCs w:val="20"/>
              </w:rPr>
              <w:t xml:space="preserve"> </w:t>
            </w:r>
            <w:r w:rsidRPr="00AA2FAC">
              <w:rPr>
                <w:rFonts w:asciiTheme="minorHAnsi" w:hAnsiTheme="minorHAnsi" w:cstheme="minorHAnsi"/>
                <w:sz w:val="20"/>
                <w:szCs w:val="20"/>
              </w:rPr>
              <w:t xml:space="preserve">scales, showing that use is intertwined with the emotional and behavioral problems identified in the </w:t>
            </w:r>
            <w:r w:rsidRPr="00AA2FAC">
              <w:rPr>
                <w:rFonts w:asciiTheme="minorHAnsi" w:hAnsiTheme="minorHAnsi" w:cstheme="minorHAnsi"/>
                <w:i/>
                <w:sz w:val="20"/>
                <w:szCs w:val="20"/>
              </w:rPr>
              <w:t>Screening</w:t>
            </w:r>
            <w:r w:rsidRPr="00AA2FAC">
              <w:rPr>
                <w:rFonts w:asciiTheme="minorHAnsi" w:hAnsiTheme="minorHAnsi" w:cstheme="minorHAnsi"/>
                <w:sz w:val="20"/>
                <w:szCs w:val="20"/>
              </w:rPr>
              <w:t xml:space="preserve"> and suggests that resolution of these problems is inextricably bound to reduction of marijuana dependence.</w:t>
            </w:r>
          </w:p>
        </w:tc>
      </w:tr>
    </w:tbl>
    <w:p w:rsidR="00963C8C" w:rsidRDefault="00963C8C" w:rsidP="005E4578">
      <w:pPr>
        <w:spacing w:after="0" w:line="240" w:lineRule="auto"/>
        <w:jc w:val="both"/>
        <w:rPr>
          <w:sz w:val="16"/>
          <w:szCs w:val="16"/>
        </w:rPr>
        <w:sectPr w:rsidR="00963C8C" w:rsidSect="00577489">
          <w:type w:val="continuous"/>
          <w:pgSz w:w="12240" w:h="15840"/>
          <w:pgMar w:top="720" w:right="720" w:bottom="720" w:left="720" w:header="720" w:footer="720" w:gutter="0"/>
          <w:cols w:space="720"/>
          <w:docGrid w:linePitch="360"/>
        </w:sectPr>
      </w:pPr>
    </w:p>
    <w:p w:rsidR="00420E7C" w:rsidRDefault="0081704C" w:rsidP="005E4578">
      <w:pPr>
        <w:spacing w:after="0" w:line="240" w:lineRule="auto"/>
        <w:jc w:val="both"/>
        <w:rPr>
          <w:sz w:val="21"/>
          <w:szCs w:val="21"/>
        </w:rPr>
      </w:pPr>
      <w:r>
        <w:rPr>
          <w:sz w:val="21"/>
          <w:szCs w:val="21"/>
        </w:rPr>
        <w:t xml:space="preserve">Findings in Table 2 can be summarized with </w:t>
      </w:r>
      <w:r w:rsidR="007B652A">
        <w:rPr>
          <w:sz w:val="21"/>
          <w:szCs w:val="21"/>
        </w:rPr>
        <w:t xml:space="preserve">several </w:t>
      </w:r>
      <w:r>
        <w:rPr>
          <w:sz w:val="21"/>
          <w:szCs w:val="21"/>
        </w:rPr>
        <w:t>conclusion</w:t>
      </w:r>
      <w:r w:rsidR="00C25349">
        <w:rPr>
          <w:sz w:val="21"/>
          <w:szCs w:val="21"/>
        </w:rPr>
        <w:t>s</w:t>
      </w:r>
      <w:r w:rsidR="00420E7C">
        <w:rPr>
          <w:sz w:val="21"/>
          <w:szCs w:val="21"/>
        </w:rPr>
        <w:t>:</w:t>
      </w:r>
    </w:p>
    <w:p w:rsidR="00420E7C" w:rsidRDefault="007B652A" w:rsidP="00420E7C">
      <w:pPr>
        <w:pStyle w:val="ListParagraph"/>
        <w:numPr>
          <w:ilvl w:val="0"/>
          <w:numId w:val="4"/>
        </w:numPr>
        <w:spacing w:after="0" w:line="240" w:lineRule="auto"/>
        <w:jc w:val="both"/>
        <w:rPr>
          <w:sz w:val="21"/>
          <w:szCs w:val="21"/>
        </w:rPr>
      </w:pPr>
      <w:r w:rsidRPr="00420E7C">
        <w:rPr>
          <w:sz w:val="21"/>
          <w:szCs w:val="21"/>
        </w:rPr>
        <w:t xml:space="preserve">First, </w:t>
      </w:r>
      <w:r w:rsidR="00F443FD" w:rsidRPr="00420E7C">
        <w:rPr>
          <w:sz w:val="21"/>
          <w:szCs w:val="21"/>
        </w:rPr>
        <w:t xml:space="preserve">older diversion clients are more likely </w:t>
      </w:r>
      <w:r w:rsidRPr="00420E7C">
        <w:rPr>
          <w:sz w:val="21"/>
          <w:szCs w:val="21"/>
        </w:rPr>
        <w:t xml:space="preserve">to be </w:t>
      </w:r>
      <w:r w:rsidR="00F443FD" w:rsidRPr="00420E7C">
        <w:rPr>
          <w:sz w:val="21"/>
          <w:szCs w:val="21"/>
        </w:rPr>
        <w:t xml:space="preserve">regular consumers of marijuana products. </w:t>
      </w:r>
      <w:r w:rsidR="003E40CB" w:rsidRPr="00420E7C">
        <w:rPr>
          <w:sz w:val="21"/>
          <w:szCs w:val="21"/>
        </w:rPr>
        <w:t xml:space="preserve">About one-in-four clients 16 </w:t>
      </w:r>
      <w:r w:rsidRPr="00420E7C">
        <w:rPr>
          <w:sz w:val="21"/>
          <w:szCs w:val="21"/>
        </w:rPr>
        <w:t xml:space="preserve">years </w:t>
      </w:r>
      <w:r w:rsidR="003E40CB" w:rsidRPr="00420E7C">
        <w:rPr>
          <w:sz w:val="21"/>
          <w:szCs w:val="21"/>
        </w:rPr>
        <w:t xml:space="preserve">and older will be </w:t>
      </w:r>
      <w:r w:rsidR="00FD5AAB">
        <w:rPr>
          <w:sz w:val="21"/>
          <w:szCs w:val="21"/>
        </w:rPr>
        <w:t>dependent/habitual</w:t>
      </w:r>
      <w:r w:rsidR="003E40CB" w:rsidRPr="00420E7C">
        <w:rPr>
          <w:sz w:val="21"/>
          <w:szCs w:val="21"/>
        </w:rPr>
        <w:t xml:space="preserve"> users. </w:t>
      </w:r>
    </w:p>
    <w:p w:rsidR="00420E7C" w:rsidRDefault="00E07CD3" w:rsidP="00420E7C">
      <w:pPr>
        <w:pStyle w:val="ListParagraph"/>
        <w:numPr>
          <w:ilvl w:val="0"/>
          <w:numId w:val="4"/>
        </w:numPr>
        <w:spacing w:after="0" w:line="240" w:lineRule="auto"/>
        <w:jc w:val="both"/>
        <w:rPr>
          <w:sz w:val="21"/>
          <w:szCs w:val="21"/>
        </w:rPr>
      </w:pPr>
      <w:r w:rsidRPr="00420E7C">
        <w:rPr>
          <w:sz w:val="21"/>
          <w:szCs w:val="21"/>
        </w:rPr>
        <w:t xml:space="preserve">The characteristics vs. use information show also that </w:t>
      </w:r>
      <w:r w:rsidR="00F81EAD" w:rsidRPr="00420E7C">
        <w:rPr>
          <w:sz w:val="21"/>
          <w:szCs w:val="21"/>
        </w:rPr>
        <w:t xml:space="preserve">boys and girls are equally likely to be marijuana dependent, though more girls report not using at all. </w:t>
      </w:r>
    </w:p>
    <w:p w:rsidR="00420E7C" w:rsidRDefault="00475339" w:rsidP="00420E7C">
      <w:pPr>
        <w:pStyle w:val="ListParagraph"/>
        <w:numPr>
          <w:ilvl w:val="0"/>
          <w:numId w:val="4"/>
        </w:numPr>
        <w:spacing w:after="0" w:line="240" w:lineRule="auto"/>
        <w:jc w:val="both"/>
        <w:rPr>
          <w:sz w:val="21"/>
          <w:szCs w:val="21"/>
        </w:rPr>
      </w:pPr>
      <w:r w:rsidRPr="00420E7C">
        <w:rPr>
          <w:sz w:val="21"/>
          <w:szCs w:val="21"/>
        </w:rPr>
        <w:t xml:space="preserve">Among YouthZone clients, ethnic status does not seem to influence their access to and use of marijuana nor does their type of family. </w:t>
      </w:r>
    </w:p>
    <w:p w:rsidR="00955C78" w:rsidRDefault="00475339" w:rsidP="00420E7C">
      <w:pPr>
        <w:pStyle w:val="ListParagraph"/>
        <w:numPr>
          <w:ilvl w:val="0"/>
          <w:numId w:val="4"/>
        </w:numPr>
        <w:spacing w:after="0" w:line="240" w:lineRule="auto"/>
        <w:jc w:val="both"/>
        <w:rPr>
          <w:sz w:val="21"/>
          <w:szCs w:val="21"/>
        </w:rPr>
      </w:pPr>
      <w:r w:rsidRPr="00420E7C">
        <w:rPr>
          <w:sz w:val="21"/>
          <w:szCs w:val="21"/>
        </w:rPr>
        <w:t xml:space="preserve">When clients have been served previously by YouthZone, </w:t>
      </w:r>
      <w:r w:rsidR="00420E7C">
        <w:rPr>
          <w:sz w:val="21"/>
          <w:szCs w:val="21"/>
        </w:rPr>
        <w:t>most will have at least tried marijuana and use will be greater than for youth who have not been seen previously.</w:t>
      </w:r>
    </w:p>
    <w:p w:rsidR="00D32EA1" w:rsidRPr="00A20FF4" w:rsidRDefault="004E708E" w:rsidP="00420E7C">
      <w:pPr>
        <w:pStyle w:val="ListParagraph"/>
        <w:numPr>
          <w:ilvl w:val="0"/>
          <w:numId w:val="4"/>
        </w:numPr>
        <w:spacing w:after="0" w:line="240" w:lineRule="auto"/>
        <w:jc w:val="both"/>
        <w:rPr>
          <w:sz w:val="21"/>
          <w:szCs w:val="21"/>
        </w:rPr>
      </w:pPr>
      <w:r w:rsidRPr="00A20FF4">
        <w:rPr>
          <w:sz w:val="21"/>
          <w:szCs w:val="21"/>
        </w:rPr>
        <w:t>Community-</w:t>
      </w:r>
      <w:r w:rsidR="00085990" w:rsidRPr="00A20FF4">
        <w:rPr>
          <w:sz w:val="21"/>
          <w:szCs w:val="21"/>
        </w:rPr>
        <w:t>referred</w:t>
      </w:r>
      <w:r w:rsidR="00A20FF4" w:rsidRPr="00A20FF4">
        <w:rPr>
          <w:sz w:val="21"/>
          <w:szCs w:val="21"/>
        </w:rPr>
        <w:t>, as contrasted with court-referred</w:t>
      </w:r>
      <w:r w:rsidR="00085990" w:rsidRPr="00A20FF4">
        <w:rPr>
          <w:sz w:val="21"/>
          <w:szCs w:val="21"/>
        </w:rPr>
        <w:t xml:space="preserve"> youth are </w:t>
      </w:r>
      <w:r w:rsidRPr="00A20FF4">
        <w:rPr>
          <w:sz w:val="21"/>
          <w:szCs w:val="21"/>
        </w:rPr>
        <w:t>mo</w:t>
      </w:r>
      <w:r w:rsidR="00A20FF4" w:rsidRPr="00A20FF4">
        <w:rPr>
          <w:sz w:val="21"/>
          <w:szCs w:val="21"/>
        </w:rPr>
        <w:t>re</w:t>
      </w:r>
      <w:r w:rsidRPr="00A20FF4">
        <w:rPr>
          <w:sz w:val="21"/>
          <w:szCs w:val="21"/>
        </w:rPr>
        <w:t xml:space="preserve"> likely </w:t>
      </w:r>
      <w:r w:rsidR="00085990" w:rsidRPr="00A20FF4">
        <w:rPr>
          <w:sz w:val="21"/>
          <w:szCs w:val="21"/>
        </w:rPr>
        <w:t>marijuana using clients.</w:t>
      </w:r>
    </w:p>
    <w:p w:rsidR="001B174D" w:rsidRDefault="00085990" w:rsidP="005E4578">
      <w:pPr>
        <w:pStyle w:val="ListParagraph"/>
        <w:numPr>
          <w:ilvl w:val="0"/>
          <w:numId w:val="4"/>
        </w:numPr>
        <w:spacing w:after="0" w:line="240" w:lineRule="auto"/>
        <w:jc w:val="both"/>
        <w:rPr>
          <w:sz w:val="21"/>
          <w:szCs w:val="21"/>
        </w:rPr>
      </w:pPr>
      <w:r w:rsidRPr="00085990">
        <w:rPr>
          <w:sz w:val="21"/>
          <w:szCs w:val="21"/>
        </w:rPr>
        <w:t xml:space="preserve">The YouthZone </w:t>
      </w:r>
      <w:r w:rsidRPr="00085990">
        <w:rPr>
          <w:i/>
          <w:sz w:val="21"/>
          <w:szCs w:val="21"/>
        </w:rPr>
        <w:t>Screening</w:t>
      </w:r>
      <w:r w:rsidRPr="00085990">
        <w:rPr>
          <w:sz w:val="21"/>
          <w:szCs w:val="21"/>
        </w:rPr>
        <w:t xml:space="preserve"> tool will identify most clients who are using marijuana.</w:t>
      </w:r>
    </w:p>
    <w:p w:rsidR="00085990" w:rsidRPr="00085990" w:rsidRDefault="00085990" w:rsidP="00085990">
      <w:pPr>
        <w:spacing w:after="0" w:line="240" w:lineRule="auto"/>
        <w:jc w:val="both"/>
        <w:rPr>
          <w:sz w:val="16"/>
          <w:szCs w:val="16"/>
        </w:rPr>
      </w:pPr>
    </w:p>
    <w:p w:rsidR="00A8482F" w:rsidRDefault="00A8482F" w:rsidP="00085990">
      <w:pPr>
        <w:spacing w:after="0" w:line="240" w:lineRule="auto"/>
        <w:jc w:val="both"/>
        <w:rPr>
          <w:sz w:val="21"/>
          <w:szCs w:val="21"/>
        </w:rPr>
      </w:pPr>
      <w:r>
        <w:rPr>
          <w:sz w:val="21"/>
          <w:szCs w:val="21"/>
        </w:rPr>
        <w:t xml:space="preserve">Epidemiological studies with national and </w:t>
      </w:r>
      <w:r w:rsidR="006E4117">
        <w:rPr>
          <w:sz w:val="21"/>
          <w:szCs w:val="21"/>
        </w:rPr>
        <w:t xml:space="preserve">state </w:t>
      </w:r>
      <w:r>
        <w:rPr>
          <w:sz w:val="21"/>
          <w:szCs w:val="21"/>
        </w:rPr>
        <w:t>populations</w:t>
      </w:r>
      <w:r w:rsidR="006E4117">
        <w:rPr>
          <w:sz w:val="21"/>
          <w:szCs w:val="21"/>
        </w:rPr>
        <w:t xml:space="preserve"> and</w:t>
      </w:r>
      <w:r>
        <w:rPr>
          <w:sz w:val="21"/>
          <w:szCs w:val="21"/>
        </w:rPr>
        <w:t xml:space="preserve"> in other </w:t>
      </w:r>
      <w:r w:rsidR="006E4117">
        <w:rPr>
          <w:sz w:val="21"/>
          <w:szCs w:val="21"/>
        </w:rPr>
        <w:t xml:space="preserve">Colorado </w:t>
      </w:r>
      <w:r>
        <w:rPr>
          <w:sz w:val="21"/>
          <w:szCs w:val="21"/>
        </w:rPr>
        <w:t>regions find similar links between youth characteristics and marijuana use. In some regions, the connection between youth ethnicity and use is stronger than in the YouthZone population.</w:t>
      </w:r>
    </w:p>
    <w:p w:rsidR="00A8482F" w:rsidRPr="00A8482F" w:rsidRDefault="00A8482F" w:rsidP="00085990">
      <w:pPr>
        <w:spacing w:after="0" w:line="240" w:lineRule="auto"/>
        <w:jc w:val="both"/>
        <w:rPr>
          <w:sz w:val="16"/>
          <w:szCs w:val="16"/>
        </w:rPr>
      </w:pPr>
    </w:p>
    <w:p w:rsidR="001B174D" w:rsidRDefault="007C64E4" w:rsidP="005E4578">
      <w:pPr>
        <w:spacing w:after="0" w:line="240" w:lineRule="auto"/>
        <w:jc w:val="both"/>
        <w:rPr>
          <w:sz w:val="21"/>
          <w:szCs w:val="21"/>
        </w:rPr>
      </w:pPr>
      <w:r>
        <w:rPr>
          <w:sz w:val="21"/>
          <w:szCs w:val="21"/>
        </w:rPr>
        <w:t>Table 3 provides information about clients’ us</w:t>
      </w:r>
      <w:r w:rsidR="00186287">
        <w:rPr>
          <w:sz w:val="21"/>
          <w:szCs w:val="21"/>
        </w:rPr>
        <w:t>e</w:t>
      </w:r>
      <w:r>
        <w:rPr>
          <w:sz w:val="21"/>
          <w:szCs w:val="21"/>
        </w:rPr>
        <w:t xml:space="preserve"> of other substances. More than half drink alcohol from time to time or more often. About one-in-eight is a cigarette smoker</w:t>
      </w:r>
      <w:r w:rsidR="008F398A">
        <w:rPr>
          <w:sz w:val="21"/>
          <w:szCs w:val="21"/>
        </w:rPr>
        <w:t xml:space="preserve">, </w:t>
      </w:r>
      <w:r w:rsidR="00A20FF4">
        <w:rPr>
          <w:sz w:val="21"/>
          <w:szCs w:val="21"/>
        </w:rPr>
        <w:t>like</w:t>
      </w:r>
      <w:r w:rsidR="008F398A">
        <w:rPr>
          <w:sz w:val="21"/>
          <w:szCs w:val="21"/>
        </w:rPr>
        <w:t xml:space="preserve"> the </w:t>
      </w:r>
      <w:r w:rsidR="006B1461">
        <w:rPr>
          <w:sz w:val="21"/>
          <w:szCs w:val="21"/>
        </w:rPr>
        <w:t xml:space="preserve">overall youth </w:t>
      </w:r>
      <w:r w:rsidR="008F398A">
        <w:rPr>
          <w:sz w:val="21"/>
          <w:szCs w:val="21"/>
        </w:rPr>
        <w:t>rate in Colorado</w:t>
      </w:r>
      <w:r>
        <w:rPr>
          <w:sz w:val="21"/>
          <w:szCs w:val="21"/>
        </w:rPr>
        <w:t xml:space="preserve">. </w:t>
      </w:r>
    </w:p>
    <w:p w:rsidR="00F56B2E" w:rsidRDefault="00F56B2E" w:rsidP="005E4578">
      <w:pPr>
        <w:spacing w:after="0" w:line="240" w:lineRule="auto"/>
        <w:jc w:val="both"/>
        <w:rPr>
          <w:sz w:val="21"/>
          <w:szCs w:val="21"/>
        </w:rPr>
        <w:sectPr w:rsidR="00F56B2E" w:rsidSect="00963C8C">
          <w:type w:val="continuous"/>
          <w:pgSz w:w="12240" w:h="15840"/>
          <w:pgMar w:top="720" w:right="720" w:bottom="720" w:left="720" w:header="720" w:footer="720" w:gutter="0"/>
          <w:cols w:num="2" w:space="720"/>
          <w:docGrid w:linePitch="360"/>
        </w:sectPr>
      </w:pPr>
    </w:p>
    <w:p w:rsidR="003F18EF" w:rsidRDefault="003F18EF" w:rsidP="00F56B2E">
      <w:pPr>
        <w:spacing w:after="0" w:line="240" w:lineRule="auto"/>
        <w:jc w:val="center"/>
        <w:rPr>
          <w:rFonts w:asciiTheme="minorHAnsi" w:hAnsiTheme="minorHAnsi"/>
          <w:bCs/>
          <w:color w:val="000000"/>
          <w:sz w:val="6"/>
          <w:szCs w:val="24"/>
        </w:rPr>
      </w:pPr>
    </w:p>
    <w:p w:rsidR="00F56B2E" w:rsidRPr="005E4578" w:rsidRDefault="00F56B2E" w:rsidP="00F56B2E">
      <w:pPr>
        <w:spacing w:after="0" w:line="240" w:lineRule="auto"/>
        <w:jc w:val="center"/>
        <w:rPr>
          <w:sz w:val="21"/>
          <w:szCs w:val="21"/>
        </w:rPr>
      </w:pPr>
      <w:r w:rsidRPr="00DB403B">
        <w:rPr>
          <w:rFonts w:asciiTheme="minorHAnsi" w:hAnsiTheme="minorHAnsi"/>
          <w:b/>
          <w:bCs/>
          <w:color w:val="000000"/>
          <w:sz w:val="24"/>
          <w:szCs w:val="24"/>
        </w:rPr>
        <w:t xml:space="preserve">Table </w:t>
      </w:r>
      <w:r>
        <w:rPr>
          <w:rFonts w:asciiTheme="minorHAnsi" w:hAnsiTheme="minorHAnsi"/>
          <w:b/>
          <w:bCs/>
          <w:color w:val="000000"/>
          <w:sz w:val="24"/>
          <w:szCs w:val="24"/>
        </w:rPr>
        <w:t>3</w:t>
      </w:r>
      <w:r w:rsidRPr="00DB403B">
        <w:rPr>
          <w:rFonts w:asciiTheme="minorHAnsi" w:hAnsiTheme="minorHAnsi"/>
          <w:b/>
          <w:bCs/>
          <w:color w:val="000000"/>
          <w:sz w:val="24"/>
          <w:szCs w:val="24"/>
        </w:rPr>
        <w:t>. Client</w:t>
      </w:r>
      <w:r>
        <w:rPr>
          <w:rFonts w:asciiTheme="minorHAnsi" w:hAnsiTheme="minorHAnsi"/>
          <w:b/>
          <w:bCs/>
          <w:color w:val="000000"/>
          <w:sz w:val="24"/>
          <w:szCs w:val="24"/>
        </w:rPr>
        <w:t xml:space="preserve"> Use of Substances Other than Marijuana</w:t>
      </w:r>
    </w:p>
    <w:p w:rsidR="00F56B2E" w:rsidRPr="00C00FBF" w:rsidRDefault="00F56B2E" w:rsidP="00F56B2E">
      <w:pPr>
        <w:autoSpaceDE w:val="0"/>
        <w:autoSpaceDN w:val="0"/>
        <w:adjustRightInd w:val="0"/>
        <w:spacing w:after="0" w:line="240" w:lineRule="auto"/>
        <w:jc w:val="center"/>
        <w:rPr>
          <w:rFonts w:asciiTheme="minorHAnsi" w:hAnsiTheme="minorHAnsi" w:cs="Times New Roman"/>
          <w:sz w:val="20"/>
          <w:szCs w:val="20"/>
        </w:rPr>
      </w:pPr>
      <w:r w:rsidRPr="00C00FBF">
        <w:rPr>
          <w:rFonts w:asciiTheme="minorHAnsi" w:hAnsiTheme="minorHAnsi" w:cs="Times New Roman"/>
          <w:sz w:val="20"/>
          <w:szCs w:val="20"/>
        </w:rPr>
        <w:t xml:space="preserve">(All Clients Completing Intake </w:t>
      </w:r>
      <w:r w:rsidR="00A20FF4">
        <w:rPr>
          <w:rFonts w:asciiTheme="minorHAnsi" w:hAnsiTheme="minorHAnsi" w:cs="Times New Roman"/>
          <w:i/>
          <w:sz w:val="20"/>
          <w:szCs w:val="20"/>
        </w:rPr>
        <w:t>Screening</w:t>
      </w:r>
      <w:r w:rsidR="00FA13AC" w:rsidRPr="00A20FF4">
        <w:rPr>
          <w:rFonts w:asciiTheme="minorHAnsi" w:hAnsiTheme="minorHAnsi" w:cs="Times New Roman"/>
          <w:sz w:val="20"/>
          <w:szCs w:val="20"/>
        </w:rPr>
        <w:t>)</w:t>
      </w:r>
    </w:p>
    <w:p w:rsidR="00F56B2E" w:rsidRPr="00CC1541" w:rsidRDefault="00F56B2E" w:rsidP="00F56B2E">
      <w:pPr>
        <w:autoSpaceDE w:val="0"/>
        <w:autoSpaceDN w:val="0"/>
        <w:adjustRightInd w:val="0"/>
        <w:spacing w:after="0" w:line="240" w:lineRule="auto"/>
        <w:jc w:val="center"/>
        <w:rPr>
          <w:rFonts w:asciiTheme="minorHAnsi" w:hAnsiTheme="minorHAnsi" w:cs="Times New Roman"/>
          <w:sz w:val="6"/>
          <w:szCs w:val="6"/>
        </w:rPr>
      </w:pPr>
    </w:p>
    <w:tbl>
      <w:tblPr>
        <w:tblW w:w="7497" w:type="dxa"/>
        <w:jc w:val="center"/>
        <w:tblLayout w:type="fixed"/>
        <w:tblLook w:val="0000" w:firstRow="0" w:lastRow="0" w:firstColumn="0" w:lastColumn="0" w:noHBand="0" w:noVBand="0"/>
      </w:tblPr>
      <w:tblGrid>
        <w:gridCol w:w="2333"/>
        <w:gridCol w:w="1291"/>
        <w:gridCol w:w="1291"/>
        <w:gridCol w:w="1291"/>
        <w:gridCol w:w="1291"/>
      </w:tblGrid>
      <w:tr w:rsidR="007C64E4" w:rsidRPr="00DB403B" w:rsidTr="007C64E4">
        <w:trPr>
          <w:trHeight w:val="221"/>
          <w:jc w:val="center"/>
        </w:trPr>
        <w:tc>
          <w:tcPr>
            <w:tcW w:w="2333" w:type="dxa"/>
            <w:vMerge w:val="restart"/>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
                <w:bCs/>
                <w:sz w:val="20"/>
                <w:szCs w:val="20"/>
              </w:rPr>
            </w:pPr>
            <w:r w:rsidRPr="00DB403B">
              <w:rPr>
                <w:rFonts w:asciiTheme="minorHAnsi" w:hAnsiTheme="minorHAnsi"/>
                <w:b/>
                <w:bCs/>
                <w:sz w:val="20"/>
                <w:szCs w:val="20"/>
              </w:rPr>
              <w:t>Response Category</w:t>
            </w:r>
          </w:p>
        </w:tc>
        <w:tc>
          <w:tcPr>
            <w:tcW w:w="2582" w:type="dxa"/>
            <w:gridSpan w:val="2"/>
            <w:shd w:val="clear" w:color="auto" w:fill="FBE4D5" w:themeFill="accent2" w:themeFillTint="33"/>
          </w:tcPr>
          <w:p w:rsidR="007C64E4" w:rsidRDefault="007C64E4" w:rsidP="00BF50C0">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
                <w:bCs/>
                <w:color w:val="000000"/>
                <w:sz w:val="20"/>
                <w:szCs w:val="20"/>
              </w:rPr>
              <w:t>Frequency</w:t>
            </w:r>
          </w:p>
          <w:p w:rsidR="007C64E4" w:rsidRPr="0090724E" w:rsidRDefault="007C64E4" w:rsidP="00BF50C0">
            <w:pPr>
              <w:autoSpaceDE w:val="0"/>
              <w:autoSpaceDN w:val="0"/>
              <w:adjustRightInd w:val="0"/>
              <w:spacing w:before="20" w:after="20"/>
              <w:jc w:val="center"/>
              <w:rPr>
                <w:rFonts w:asciiTheme="minorHAnsi" w:hAnsiTheme="minorHAnsi"/>
                <w:bCs/>
                <w:color w:val="000000"/>
                <w:sz w:val="16"/>
                <w:szCs w:val="16"/>
              </w:rPr>
            </w:pPr>
            <w:r>
              <w:rPr>
                <w:rFonts w:asciiTheme="minorHAnsi" w:hAnsiTheme="minorHAnsi"/>
                <w:bCs/>
                <w:color w:val="000000"/>
                <w:sz w:val="16"/>
                <w:szCs w:val="16"/>
              </w:rPr>
              <w:t>(Any use other than 1-2 times)</w:t>
            </w:r>
          </w:p>
        </w:tc>
        <w:tc>
          <w:tcPr>
            <w:tcW w:w="2582" w:type="dxa"/>
            <w:gridSpan w:val="2"/>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
                <w:bCs/>
                <w:color w:val="000000"/>
                <w:sz w:val="20"/>
                <w:szCs w:val="20"/>
              </w:rPr>
              <w:t>Percent</w:t>
            </w:r>
          </w:p>
        </w:tc>
      </w:tr>
      <w:tr w:rsidR="007C64E4" w:rsidRPr="00DB403B" w:rsidTr="007C64E4">
        <w:trPr>
          <w:trHeight w:val="220"/>
          <w:jc w:val="center"/>
        </w:trPr>
        <w:tc>
          <w:tcPr>
            <w:tcW w:w="2333" w:type="dxa"/>
            <w:vMerge/>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
                <w:bCs/>
                <w:sz w:val="20"/>
                <w:szCs w:val="20"/>
              </w:rPr>
            </w:pPr>
          </w:p>
        </w:tc>
        <w:tc>
          <w:tcPr>
            <w:tcW w:w="1291" w:type="dxa"/>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Cs/>
                <w:color w:val="000000"/>
                <w:sz w:val="20"/>
                <w:szCs w:val="20"/>
              </w:rPr>
            </w:pPr>
            <w:r w:rsidRPr="00DB403B">
              <w:rPr>
                <w:rFonts w:asciiTheme="minorHAnsi" w:hAnsiTheme="minorHAnsi"/>
                <w:bCs/>
                <w:color w:val="000000"/>
                <w:sz w:val="20"/>
                <w:szCs w:val="20"/>
              </w:rPr>
              <w:t>2010-2013</w:t>
            </w:r>
          </w:p>
        </w:tc>
        <w:tc>
          <w:tcPr>
            <w:tcW w:w="1291" w:type="dxa"/>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Cs/>
                <w:color w:val="000000"/>
                <w:sz w:val="20"/>
                <w:szCs w:val="20"/>
              </w:rPr>
            </w:pPr>
            <w:r w:rsidRPr="00DB403B">
              <w:rPr>
                <w:rFonts w:asciiTheme="minorHAnsi" w:hAnsiTheme="minorHAnsi"/>
                <w:bCs/>
                <w:color w:val="000000"/>
                <w:sz w:val="20"/>
                <w:szCs w:val="20"/>
              </w:rPr>
              <w:t>2013-2016</w:t>
            </w:r>
          </w:p>
        </w:tc>
        <w:tc>
          <w:tcPr>
            <w:tcW w:w="1291" w:type="dxa"/>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Cs/>
                <w:color w:val="000000"/>
                <w:sz w:val="20"/>
                <w:szCs w:val="20"/>
              </w:rPr>
              <w:t>2010-2013</w:t>
            </w:r>
          </w:p>
        </w:tc>
        <w:tc>
          <w:tcPr>
            <w:tcW w:w="1291" w:type="dxa"/>
            <w:shd w:val="clear" w:color="auto" w:fill="FBE4D5" w:themeFill="accent2" w:themeFillTint="33"/>
          </w:tcPr>
          <w:p w:rsidR="007C64E4" w:rsidRPr="00DB403B" w:rsidRDefault="007C64E4" w:rsidP="00BF50C0">
            <w:pPr>
              <w:autoSpaceDE w:val="0"/>
              <w:autoSpaceDN w:val="0"/>
              <w:adjustRightInd w:val="0"/>
              <w:spacing w:before="20" w:after="20"/>
              <w:jc w:val="center"/>
              <w:rPr>
                <w:rFonts w:asciiTheme="minorHAnsi" w:hAnsiTheme="minorHAnsi"/>
                <w:b/>
                <w:bCs/>
                <w:color w:val="000000"/>
                <w:sz w:val="20"/>
                <w:szCs w:val="20"/>
              </w:rPr>
            </w:pPr>
            <w:r w:rsidRPr="00DB403B">
              <w:rPr>
                <w:rFonts w:asciiTheme="minorHAnsi" w:hAnsiTheme="minorHAnsi"/>
                <w:bCs/>
                <w:color w:val="000000"/>
                <w:sz w:val="20"/>
                <w:szCs w:val="20"/>
              </w:rPr>
              <w:t>2013-2016</w:t>
            </w:r>
          </w:p>
        </w:tc>
      </w:tr>
      <w:tr w:rsidR="007C64E4" w:rsidRPr="00DB403B" w:rsidTr="007C64E4">
        <w:trPr>
          <w:jc w:val="center"/>
        </w:trPr>
        <w:tc>
          <w:tcPr>
            <w:tcW w:w="2333" w:type="dxa"/>
          </w:tcPr>
          <w:p w:rsidR="007C64E4" w:rsidRPr="00DB403B" w:rsidRDefault="007C64E4" w:rsidP="00BF50C0">
            <w:pPr>
              <w:autoSpaceDE w:val="0"/>
              <w:autoSpaceDN w:val="0"/>
              <w:adjustRightInd w:val="0"/>
              <w:spacing w:before="40" w:after="40"/>
              <w:ind w:left="60" w:right="60"/>
              <w:rPr>
                <w:rFonts w:asciiTheme="minorHAnsi" w:hAnsiTheme="minorHAnsi"/>
                <w:color w:val="000000"/>
                <w:sz w:val="20"/>
                <w:szCs w:val="20"/>
              </w:rPr>
            </w:pPr>
            <w:r>
              <w:rPr>
                <w:rFonts w:asciiTheme="minorHAnsi" w:hAnsiTheme="minorHAnsi"/>
                <w:color w:val="000000"/>
                <w:sz w:val="20"/>
                <w:szCs w:val="20"/>
              </w:rPr>
              <w:t>Alcohol</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556</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423</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63.2</w:t>
            </w:r>
            <w:r w:rsidR="00FA13AC" w:rsidRPr="00A20FF4">
              <w:rPr>
                <w:rFonts w:asciiTheme="minorHAnsi" w:hAnsiTheme="minorHAnsi"/>
                <w:color w:val="000000"/>
                <w:sz w:val="20"/>
                <w:szCs w:val="20"/>
              </w:rPr>
              <w:t>%</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55.1</w:t>
            </w:r>
            <w:r w:rsidR="00FA13AC" w:rsidRPr="00A20FF4">
              <w:rPr>
                <w:rFonts w:asciiTheme="minorHAnsi" w:hAnsiTheme="minorHAnsi"/>
                <w:color w:val="000000"/>
                <w:sz w:val="20"/>
                <w:szCs w:val="20"/>
              </w:rPr>
              <w:t>%</w:t>
            </w:r>
          </w:p>
        </w:tc>
      </w:tr>
      <w:tr w:rsidR="007C64E4" w:rsidRPr="00DB403B" w:rsidTr="007C64E4">
        <w:trPr>
          <w:jc w:val="center"/>
        </w:trPr>
        <w:tc>
          <w:tcPr>
            <w:tcW w:w="2333" w:type="dxa"/>
          </w:tcPr>
          <w:p w:rsidR="007C64E4" w:rsidRPr="00DB403B" w:rsidRDefault="007C64E4" w:rsidP="00BF50C0">
            <w:pPr>
              <w:autoSpaceDE w:val="0"/>
              <w:autoSpaceDN w:val="0"/>
              <w:adjustRightInd w:val="0"/>
              <w:spacing w:before="40" w:after="40"/>
              <w:ind w:left="60" w:right="60"/>
              <w:rPr>
                <w:rFonts w:asciiTheme="minorHAnsi" w:hAnsiTheme="minorHAnsi"/>
                <w:color w:val="000000"/>
                <w:sz w:val="20"/>
                <w:szCs w:val="20"/>
              </w:rPr>
            </w:pPr>
            <w:r>
              <w:rPr>
                <w:rFonts w:asciiTheme="minorHAnsi" w:hAnsiTheme="minorHAnsi"/>
                <w:color w:val="000000"/>
                <w:sz w:val="20"/>
                <w:szCs w:val="20"/>
              </w:rPr>
              <w:t>Tobacco</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88</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103</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10.0</w:t>
            </w:r>
            <w:r w:rsidR="00FA13AC" w:rsidRPr="00A20FF4">
              <w:rPr>
                <w:rFonts w:asciiTheme="minorHAnsi" w:hAnsiTheme="minorHAnsi"/>
                <w:color w:val="000000"/>
                <w:sz w:val="20"/>
                <w:szCs w:val="20"/>
              </w:rPr>
              <w:t>%</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13.4</w:t>
            </w:r>
            <w:r w:rsidR="00FA13AC" w:rsidRPr="00A20FF4">
              <w:rPr>
                <w:rFonts w:asciiTheme="minorHAnsi" w:hAnsiTheme="minorHAnsi"/>
                <w:color w:val="000000"/>
                <w:sz w:val="20"/>
                <w:szCs w:val="20"/>
              </w:rPr>
              <w:t>%</w:t>
            </w:r>
          </w:p>
        </w:tc>
      </w:tr>
      <w:tr w:rsidR="007C64E4" w:rsidRPr="00DB403B" w:rsidTr="007C64E4">
        <w:trPr>
          <w:jc w:val="center"/>
        </w:trPr>
        <w:tc>
          <w:tcPr>
            <w:tcW w:w="2333" w:type="dxa"/>
          </w:tcPr>
          <w:p w:rsidR="007C64E4" w:rsidRPr="00DB403B" w:rsidRDefault="007C64E4" w:rsidP="00BF50C0">
            <w:pPr>
              <w:autoSpaceDE w:val="0"/>
              <w:autoSpaceDN w:val="0"/>
              <w:adjustRightInd w:val="0"/>
              <w:spacing w:before="40" w:after="40"/>
              <w:ind w:left="60" w:right="60"/>
              <w:rPr>
                <w:rFonts w:asciiTheme="minorHAnsi" w:hAnsiTheme="minorHAnsi"/>
                <w:color w:val="000000"/>
                <w:sz w:val="20"/>
                <w:szCs w:val="20"/>
              </w:rPr>
            </w:pPr>
            <w:r>
              <w:rPr>
                <w:rFonts w:asciiTheme="minorHAnsi" w:hAnsiTheme="minorHAnsi"/>
                <w:color w:val="000000"/>
                <w:sz w:val="20"/>
                <w:szCs w:val="20"/>
              </w:rPr>
              <w:t>Other substances</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DB403B">
              <w:rPr>
                <w:rFonts w:asciiTheme="minorHAnsi" w:hAnsiTheme="minorHAnsi"/>
                <w:color w:val="000000"/>
                <w:sz w:val="20"/>
                <w:szCs w:val="20"/>
              </w:rPr>
              <w:t>103</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106</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11.7</w:t>
            </w:r>
            <w:r w:rsidR="00FA13AC" w:rsidRPr="00A20FF4">
              <w:rPr>
                <w:rFonts w:asciiTheme="minorHAnsi" w:hAnsiTheme="minorHAnsi"/>
                <w:color w:val="000000"/>
                <w:sz w:val="20"/>
                <w:szCs w:val="20"/>
              </w:rPr>
              <w:t>%</w:t>
            </w:r>
          </w:p>
        </w:tc>
        <w:tc>
          <w:tcPr>
            <w:tcW w:w="1291" w:type="dxa"/>
          </w:tcPr>
          <w:p w:rsidR="007C64E4" w:rsidRPr="00A20FF4"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sidRPr="00A20FF4">
              <w:rPr>
                <w:rFonts w:asciiTheme="minorHAnsi" w:hAnsiTheme="minorHAnsi"/>
                <w:color w:val="000000"/>
                <w:sz w:val="20"/>
                <w:szCs w:val="20"/>
              </w:rPr>
              <w:t>13.8</w:t>
            </w:r>
            <w:r w:rsidR="00FA13AC" w:rsidRPr="00A20FF4">
              <w:rPr>
                <w:rFonts w:asciiTheme="minorHAnsi" w:hAnsiTheme="minorHAnsi"/>
                <w:color w:val="000000"/>
                <w:sz w:val="20"/>
                <w:szCs w:val="20"/>
              </w:rPr>
              <w:t>%</w:t>
            </w:r>
          </w:p>
        </w:tc>
      </w:tr>
      <w:tr w:rsidR="007C64E4" w:rsidRPr="00DB403B" w:rsidTr="007C64E4">
        <w:trPr>
          <w:jc w:val="center"/>
        </w:trPr>
        <w:tc>
          <w:tcPr>
            <w:tcW w:w="2333" w:type="dxa"/>
          </w:tcPr>
          <w:p w:rsidR="007C64E4" w:rsidRPr="00DB403B" w:rsidRDefault="007C64E4" w:rsidP="00BF50C0">
            <w:pPr>
              <w:autoSpaceDE w:val="0"/>
              <w:autoSpaceDN w:val="0"/>
              <w:adjustRightInd w:val="0"/>
              <w:spacing w:before="40" w:after="40"/>
              <w:ind w:left="60" w:right="60"/>
              <w:rPr>
                <w:rFonts w:asciiTheme="minorHAnsi" w:hAnsiTheme="minorHAnsi"/>
                <w:color w:val="000000"/>
                <w:sz w:val="20"/>
                <w:szCs w:val="20"/>
              </w:rPr>
            </w:pPr>
            <w:r w:rsidRPr="00DB403B">
              <w:rPr>
                <w:rFonts w:asciiTheme="minorHAnsi" w:hAnsiTheme="minorHAnsi"/>
                <w:color w:val="000000"/>
                <w:sz w:val="20"/>
                <w:szCs w:val="20"/>
              </w:rPr>
              <w:t>Total</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fldChar w:fldCharType="begin"/>
            </w:r>
            <w:r>
              <w:rPr>
                <w:rFonts w:asciiTheme="minorHAnsi" w:hAnsiTheme="minorHAnsi"/>
                <w:color w:val="000000"/>
                <w:sz w:val="20"/>
                <w:szCs w:val="20"/>
              </w:rPr>
              <w:instrText xml:space="preserve"> =SUM(ABOVE) </w:instrText>
            </w:r>
            <w:r>
              <w:rPr>
                <w:rFonts w:asciiTheme="minorHAnsi" w:hAnsiTheme="minorHAnsi"/>
                <w:color w:val="000000"/>
                <w:sz w:val="20"/>
                <w:szCs w:val="20"/>
              </w:rPr>
              <w:fldChar w:fldCharType="separate"/>
            </w:r>
            <w:r>
              <w:rPr>
                <w:rFonts w:asciiTheme="minorHAnsi" w:hAnsiTheme="minorHAnsi"/>
                <w:noProof/>
                <w:color w:val="000000"/>
                <w:sz w:val="20"/>
                <w:szCs w:val="20"/>
              </w:rPr>
              <w:t>880</w:t>
            </w:r>
            <w:r>
              <w:rPr>
                <w:rFonts w:asciiTheme="minorHAnsi" w:hAnsiTheme="minorHAnsi"/>
                <w:color w:val="000000"/>
                <w:sz w:val="20"/>
                <w:szCs w:val="20"/>
              </w:rPr>
              <w:fldChar w:fldCharType="end"/>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r>
              <w:rPr>
                <w:rFonts w:asciiTheme="minorHAnsi" w:hAnsiTheme="minorHAnsi"/>
                <w:color w:val="000000"/>
                <w:sz w:val="20"/>
                <w:szCs w:val="20"/>
              </w:rPr>
              <w:t>767</w:t>
            </w:r>
          </w:p>
        </w:tc>
        <w:tc>
          <w:tcPr>
            <w:tcW w:w="1291" w:type="dxa"/>
          </w:tcPr>
          <w:p w:rsidR="007C64E4" w:rsidRPr="00DB403B" w:rsidRDefault="007C64E4" w:rsidP="00BF50C0">
            <w:pPr>
              <w:autoSpaceDE w:val="0"/>
              <w:autoSpaceDN w:val="0"/>
              <w:adjustRightInd w:val="0"/>
              <w:spacing w:before="40" w:after="40"/>
              <w:ind w:left="60" w:right="60"/>
              <w:jc w:val="right"/>
              <w:rPr>
                <w:rFonts w:asciiTheme="minorHAnsi" w:hAnsiTheme="minorHAnsi"/>
                <w:color w:val="000000"/>
                <w:sz w:val="20"/>
                <w:szCs w:val="20"/>
              </w:rPr>
            </w:pPr>
          </w:p>
        </w:tc>
        <w:tc>
          <w:tcPr>
            <w:tcW w:w="1291" w:type="dxa"/>
          </w:tcPr>
          <w:p w:rsidR="007C64E4" w:rsidRPr="00DB403B" w:rsidRDefault="007C64E4" w:rsidP="00BF50C0">
            <w:pPr>
              <w:autoSpaceDE w:val="0"/>
              <w:autoSpaceDN w:val="0"/>
              <w:adjustRightInd w:val="0"/>
              <w:spacing w:before="40" w:after="40"/>
              <w:jc w:val="right"/>
              <w:rPr>
                <w:rFonts w:asciiTheme="minorHAnsi" w:hAnsiTheme="minorHAnsi" w:cs="Times New Roman"/>
                <w:sz w:val="20"/>
                <w:szCs w:val="20"/>
              </w:rPr>
            </w:pPr>
          </w:p>
        </w:tc>
      </w:tr>
    </w:tbl>
    <w:p w:rsidR="00955C78" w:rsidRPr="00CC1541" w:rsidRDefault="00955C78" w:rsidP="005E4578">
      <w:pPr>
        <w:spacing w:after="0" w:line="240" w:lineRule="auto"/>
        <w:jc w:val="both"/>
        <w:rPr>
          <w:sz w:val="12"/>
          <w:szCs w:val="12"/>
        </w:rPr>
      </w:pPr>
    </w:p>
    <w:p w:rsidR="00E44AD4" w:rsidRPr="00CC1541" w:rsidRDefault="00E44AD4" w:rsidP="005E4578">
      <w:pPr>
        <w:spacing w:after="0" w:line="240" w:lineRule="auto"/>
        <w:jc w:val="both"/>
        <w:rPr>
          <w:sz w:val="12"/>
          <w:szCs w:val="12"/>
        </w:rPr>
        <w:sectPr w:rsidR="00E44AD4" w:rsidRPr="00CC1541" w:rsidSect="00F56B2E">
          <w:type w:val="continuous"/>
          <w:pgSz w:w="12240" w:h="15840"/>
          <w:pgMar w:top="720" w:right="720" w:bottom="720" w:left="720" w:header="720" w:footer="720" w:gutter="0"/>
          <w:cols w:space="720"/>
          <w:docGrid w:linePitch="360"/>
        </w:sectPr>
      </w:pPr>
    </w:p>
    <w:p w:rsidR="00F72C24" w:rsidRDefault="00F72C24" w:rsidP="005E4578">
      <w:pPr>
        <w:spacing w:after="0" w:line="240" w:lineRule="auto"/>
        <w:jc w:val="both"/>
        <w:rPr>
          <w:sz w:val="21"/>
          <w:szCs w:val="21"/>
        </w:rPr>
      </w:pPr>
      <w:r w:rsidRPr="00A862DB">
        <w:rPr>
          <w:rFonts w:asciiTheme="minorHAnsi" w:hAnsiTheme="minorHAnsi" w:cstheme="minorHAnsi"/>
          <w:b/>
          <w:sz w:val="24"/>
          <w:szCs w:val="24"/>
        </w:rPr>
        <w:t>Marijuana Use and Response to Diversion Services</w:t>
      </w:r>
      <w:r>
        <w:rPr>
          <w:sz w:val="21"/>
          <w:szCs w:val="21"/>
        </w:rPr>
        <w:t xml:space="preserve">   Chemical dependency specialist</w:t>
      </w:r>
      <w:r w:rsidR="00FC3E8A">
        <w:rPr>
          <w:sz w:val="21"/>
          <w:szCs w:val="21"/>
        </w:rPr>
        <w:t>s</w:t>
      </w:r>
      <w:r>
        <w:rPr>
          <w:sz w:val="21"/>
          <w:szCs w:val="21"/>
        </w:rPr>
        <w:t xml:space="preserve"> agree that the psychological, social, and chemical effects of repeated substance use interfere with the motivational and self-reflective functions central to behavior change.</w:t>
      </w:r>
      <w:r w:rsidR="00FC3E8A">
        <w:rPr>
          <w:sz w:val="21"/>
          <w:szCs w:val="21"/>
        </w:rPr>
        <w:t xml:space="preserve"> They believe that substance recovery should either precede behavior change</w:t>
      </w:r>
      <w:r>
        <w:rPr>
          <w:sz w:val="21"/>
          <w:szCs w:val="21"/>
        </w:rPr>
        <w:t xml:space="preserve"> </w:t>
      </w:r>
      <w:r w:rsidR="00FC3E8A">
        <w:rPr>
          <w:sz w:val="21"/>
          <w:szCs w:val="21"/>
        </w:rPr>
        <w:t xml:space="preserve">program enrollment or be closely integrated with these programs </w:t>
      </w:r>
      <w:proofErr w:type="gramStart"/>
      <w:r w:rsidR="00FC3E8A">
        <w:rPr>
          <w:sz w:val="21"/>
          <w:szCs w:val="21"/>
        </w:rPr>
        <w:t>in order to</w:t>
      </w:r>
      <w:proofErr w:type="gramEnd"/>
      <w:r w:rsidR="00FC3E8A">
        <w:rPr>
          <w:sz w:val="21"/>
          <w:szCs w:val="21"/>
        </w:rPr>
        <w:t xml:space="preserve"> achieve and sustain program benefits. The evaluation looked next, therefore, a</w:t>
      </w:r>
      <w:r w:rsidR="00CC1541">
        <w:rPr>
          <w:sz w:val="21"/>
          <w:szCs w:val="21"/>
        </w:rPr>
        <w:t>t</w:t>
      </w:r>
      <w:r w:rsidR="00FC3E8A">
        <w:rPr>
          <w:sz w:val="21"/>
          <w:szCs w:val="21"/>
        </w:rPr>
        <w:t xml:space="preserve"> the correlation between marijuana use and client change during </w:t>
      </w:r>
      <w:r w:rsidR="00CC1541">
        <w:rPr>
          <w:sz w:val="21"/>
          <w:szCs w:val="21"/>
        </w:rPr>
        <w:t xml:space="preserve">YouthZone </w:t>
      </w:r>
      <w:r w:rsidR="00FC3E8A">
        <w:rPr>
          <w:sz w:val="21"/>
          <w:szCs w:val="21"/>
        </w:rPr>
        <w:t>diversion services.</w:t>
      </w:r>
    </w:p>
    <w:p w:rsidR="00FC3E8A" w:rsidRPr="00FC3E8A" w:rsidRDefault="00FC3E8A" w:rsidP="005E4578">
      <w:pPr>
        <w:spacing w:after="0" w:line="240" w:lineRule="auto"/>
        <w:jc w:val="both"/>
        <w:rPr>
          <w:sz w:val="16"/>
          <w:szCs w:val="16"/>
        </w:rPr>
      </w:pPr>
    </w:p>
    <w:p w:rsidR="00137550" w:rsidRDefault="00013C45" w:rsidP="005E4578">
      <w:pPr>
        <w:spacing w:after="0" w:line="240" w:lineRule="auto"/>
        <w:jc w:val="both"/>
        <w:rPr>
          <w:sz w:val="21"/>
          <w:szCs w:val="21"/>
        </w:rPr>
      </w:pPr>
      <w:r>
        <w:rPr>
          <w:sz w:val="21"/>
          <w:szCs w:val="21"/>
        </w:rPr>
        <w:t xml:space="preserve">The statistical method for determining marijuana use influence on pre-post YouthZone </w:t>
      </w:r>
      <w:r>
        <w:rPr>
          <w:i/>
          <w:sz w:val="21"/>
          <w:szCs w:val="21"/>
        </w:rPr>
        <w:t>Screening</w:t>
      </w:r>
      <w:r>
        <w:rPr>
          <w:sz w:val="21"/>
          <w:szCs w:val="21"/>
        </w:rPr>
        <w:t xml:space="preserve"> scales involve</w:t>
      </w:r>
      <w:r w:rsidR="00CC1541">
        <w:rPr>
          <w:sz w:val="21"/>
          <w:szCs w:val="21"/>
        </w:rPr>
        <w:t>d</w:t>
      </w:r>
      <w:r>
        <w:rPr>
          <w:sz w:val="21"/>
          <w:szCs w:val="21"/>
        </w:rPr>
        <w:t xml:space="preserve"> classifying each client with valid pre-post surveys as </w:t>
      </w:r>
      <w:r w:rsidR="00CC1541">
        <w:rPr>
          <w:sz w:val="21"/>
          <w:szCs w:val="21"/>
        </w:rPr>
        <w:t>“</w:t>
      </w:r>
      <w:r>
        <w:rPr>
          <w:sz w:val="21"/>
          <w:szCs w:val="21"/>
        </w:rPr>
        <w:t xml:space="preserve">not </w:t>
      </w:r>
      <w:r>
        <w:rPr>
          <w:sz w:val="21"/>
          <w:szCs w:val="21"/>
        </w:rPr>
        <w:t>using marijuana,</w:t>
      </w:r>
      <w:r w:rsidR="00CC1541">
        <w:rPr>
          <w:sz w:val="21"/>
          <w:szCs w:val="21"/>
        </w:rPr>
        <w:t>”</w:t>
      </w:r>
      <w:r>
        <w:rPr>
          <w:sz w:val="21"/>
          <w:szCs w:val="21"/>
        </w:rPr>
        <w:t xml:space="preserve"> </w:t>
      </w:r>
      <w:r w:rsidR="00CC1541">
        <w:rPr>
          <w:sz w:val="21"/>
          <w:szCs w:val="21"/>
        </w:rPr>
        <w:t>“</w:t>
      </w:r>
      <w:r>
        <w:rPr>
          <w:sz w:val="21"/>
          <w:szCs w:val="21"/>
        </w:rPr>
        <w:t>occasional use,</w:t>
      </w:r>
      <w:r w:rsidR="00CC1541">
        <w:rPr>
          <w:sz w:val="21"/>
          <w:szCs w:val="21"/>
        </w:rPr>
        <w:t>”</w:t>
      </w:r>
      <w:r>
        <w:rPr>
          <w:sz w:val="21"/>
          <w:szCs w:val="21"/>
        </w:rPr>
        <w:t xml:space="preserve"> or </w:t>
      </w:r>
      <w:r w:rsidR="00CC1541">
        <w:rPr>
          <w:sz w:val="21"/>
          <w:szCs w:val="21"/>
        </w:rPr>
        <w:t>“</w:t>
      </w:r>
      <w:r>
        <w:rPr>
          <w:sz w:val="21"/>
          <w:szCs w:val="21"/>
        </w:rPr>
        <w:t>regular use.</w:t>
      </w:r>
      <w:r w:rsidR="00CC1541">
        <w:rPr>
          <w:sz w:val="21"/>
          <w:szCs w:val="21"/>
        </w:rPr>
        <w:t>”</w:t>
      </w:r>
      <w:r>
        <w:rPr>
          <w:sz w:val="21"/>
          <w:szCs w:val="21"/>
        </w:rPr>
        <w:t xml:space="preserve"> Statistical analysis compare</w:t>
      </w:r>
      <w:r w:rsidR="00CC1541">
        <w:rPr>
          <w:sz w:val="21"/>
          <w:szCs w:val="21"/>
        </w:rPr>
        <w:t>d</w:t>
      </w:r>
      <w:r>
        <w:rPr>
          <w:sz w:val="21"/>
          <w:szCs w:val="21"/>
        </w:rPr>
        <w:t xml:space="preserve"> the pre-post changes of youth in each category to determine whether improvement was the same or different among categories of clients. </w:t>
      </w:r>
      <w:r w:rsidR="00137550">
        <w:rPr>
          <w:sz w:val="21"/>
          <w:szCs w:val="21"/>
        </w:rPr>
        <w:t>Table 4 lists findings from this analysis.</w:t>
      </w:r>
    </w:p>
    <w:p w:rsidR="00137550" w:rsidRPr="00137550" w:rsidRDefault="00137550" w:rsidP="005E4578">
      <w:pPr>
        <w:spacing w:after="0" w:line="240" w:lineRule="auto"/>
        <w:jc w:val="both"/>
        <w:rPr>
          <w:sz w:val="16"/>
          <w:szCs w:val="16"/>
        </w:rPr>
      </w:pPr>
    </w:p>
    <w:p w:rsidR="00137550" w:rsidRDefault="00137550" w:rsidP="00137550">
      <w:pPr>
        <w:spacing w:after="0" w:line="240" w:lineRule="auto"/>
        <w:jc w:val="center"/>
        <w:rPr>
          <w:rFonts w:asciiTheme="minorHAnsi" w:hAnsiTheme="minorHAnsi" w:cstheme="minorHAnsi"/>
          <w:bCs/>
          <w:sz w:val="16"/>
          <w:szCs w:val="16"/>
        </w:rPr>
      </w:pPr>
      <w:r w:rsidRPr="00137550">
        <w:rPr>
          <w:rFonts w:asciiTheme="minorHAnsi" w:hAnsiTheme="minorHAnsi" w:cstheme="minorHAnsi"/>
          <w:b/>
          <w:bCs/>
          <w:sz w:val="24"/>
          <w:szCs w:val="24"/>
        </w:rPr>
        <w:t xml:space="preserve">Table </w:t>
      </w:r>
      <w:r>
        <w:rPr>
          <w:rFonts w:asciiTheme="minorHAnsi" w:hAnsiTheme="minorHAnsi" w:cstheme="minorHAnsi"/>
          <w:b/>
          <w:bCs/>
          <w:sz w:val="24"/>
          <w:szCs w:val="24"/>
        </w:rPr>
        <w:t>4</w:t>
      </w:r>
      <w:r w:rsidRPr="00137550">
        <w:rPr>
          <w:rFonts w:asciiTheme="minorHAnsi" w:hAnsiTheme="minorHAnsi" w:cstheme="minorHAnsi"/>
          <w:b/>
          <w:bCs/>
          <w:sz w:val="24"/>
          <w:szCs w:val="24"/>
        </w:rPr>
        <w:t xml:space="preserve">. </w:t>
      </w:r>
      <w:r>
        <w:rPr>
          <w:rFonts w:asciiTheme="minorHAnsi" w:hAnsiTheme="minorHAnsi" w:cstheme="minorHAnsi"/>
          <w:b/>
          <w:bCs/>
          <w:sz w:val="24"/>
          <w:szCs w:val="24"/>
        </w:rPr>
        <w:t>Marijuana and Program Benefits</w:t>
      </w:r>
    </w:p>
    <w:p w:rsidR="00137550" w:rsidRPr="00137550" w:rsidRDefault="00137550" w:rsidP="00137550">
      <w:pPr>
        <w:spacing w:after="0" w:line="240" w:lineRule="auto"/>
        <w:jc w:val="center"/>
        <w:rPr>
          <w:rFonts w:asciiTheme="minorHAnsi" w:hAnsiTheme="minorHAnsi" w:cstheme="minorHAnsi"/>
          <w:sz w:val="16"/>
          <w:szCs w:val="16"/>
        </w:rPr>
      </w:pPr>
    </w:p>
    <w:tbl>
      <w:tblPr>
        <w:tblW w:w="5148" w:type="dxa"/>
        <w:jc w:val="center"/>
        <w:tblLayout w:type="fixed"/>
        <w:tblLook w:val="0000" w:firstRow="0" w:lastRow="0" w:firstColumn="0" w:lastColumn="0" w:noHBand="0" w:noVBand="0"/>
      </w:tblPr>
      <w:tblGrid>
        <w:gridCol w:w="1980"/>
        <w:gridCol w:w="3168"/>
      </w:tblGrid>
      <w:tr w:rsidR="00137550" w:rsidRPr="00DB403B" w:rsidTr="00F356E2">
        <w:trPr>
          <w:trHeight w:val="423"/>
          <w:tblHeader/>
          <w:jc w:val="center"/>
        </w:trPr>
        <w:tc>
          <w:tcPr>
            <w:tcW w:w="1980" w:type="dxa"/>
            <w:shd w:val="clear" w:color="auto" w:fill="FBE4D5" w:themeFill="accent2" w:themeFillTint="33"/>
          </w:tcPr>
          <w:p w:rsidR="00137550" w:rsidRPr="00137550" w:rsidRDefault="00137550" w:rsidP="008F0D30">
            <w:pPr>
              <w:autoSpaceDE w:val="0"/>
              <w:autoSpaceDN w:val="0"/>
              <w:adjustRightInd w:val="0"/>
              <w:spacing w:before="40" w:after="40" w:line="240" w:lineRule="auto"/>
              <w:jc w:val="center"/>
              <w:rPr>
                <w:rFonts w:asciiTheme="minorHAnsi" w:hAnsiTheme="minorHAnsi"/>
                <w:b/>
                <w:bCs/>
                <w:sz w:val="20"/>
                <w:szCs w:val="20"/>
              </w:rPr>
            </w:pPr>
            <w:r>
              <w:rPr>
                <w:rFonts w:asciiTheme="minorHAnsi" w:hAnsiTheme="minorHAnsi"/>
                <w:b/>
                <w:bCs/>
                <w:sz w:val="20"/>
                <w:szCs w:val="20"/>
              </w:rPr>
              <w:t>Pre-Post Scale</w:t>
            </w:r>
          </w:p>
        </w:tc>
        <w:tc>
          <w:tcPr>
            <w:tcW w:w="3168" w:type="dxa"/>
            <w:shd w:val="clear" w:color="auto" w:fill="FBE4D5" w:themeFill="accent2" w:themeFillTint="33"/>
          </w:tcPr>
          <w:p w:rsidR="00137550" w:rsidRPr="00137550" w:rsidRDefault="00137550" w:rsidP="008F0D30">
            <w:pPr>
              <w:autoSpaceDE w:val="0"/>
              <w:autoSpaceDN w:val="0"/>
              <w:adjustRightInd w:val="0"/>
              <w:spacing w:before="40" w:after="40" w:line="240" w:lineRule="auto"/>
              <w:ind w:left="60" w:right="60"/>
              <w:jc w:val="center"/>
              <w:rPr>
                <w:rFonts w:asciiTheme="minorHAnsi" w:hAnsiTheme="minorHAnsi"/>
                <w:b/>
                <w:bCs/>
                <w:sz w:val="20"/>
                <w:szCs w:val="20"/>
              </w:rPr>
            </w:pPr>
            <w:r w:rsidRPr="00137550">
              <w:rPr>
                <w:rFonts w:asciiTheme="minorHAnsi" w:hAnsiTheme="minorHAnsi"/>
                <w:b/>
                <w:color w:val="000000"/>
                <w:sz w:val="20"/>
                <w:szCs w:val="20"/>
              </w:rPr>
              <w:t>Marijuana Effect on Change</w:t>
            </w:r>
          </w:p>
        </w:tc>
      </w:tr>
      <w:tr w:rsidR="008F0D30" w:rsidRPr="00DB403B" w:rsidTr="008F0D30">
        <w:trPr>
          <w:trHeight w:val="230"/>
          <w:jc w:val="center"/>
        </w:trPr>
        <w:tc>
          <w:tcPr>
            <w:tcW w:w="1980" w:type="dxa"/>
            <w:shd w:val="clear" w:color="auto" w:fill="FFFFFF" w:themeFill="background1"/>
          </w:tcPr>
          <w:p w:rsidR="008F0D30" w:rsidRPr="008F0D30" w:rsidRDefault="008F0D30" w:rsidP="008F0D30">
            <w:pPr>
              <w:autoSpaceDE w:val="0"/>
              <w:autoSpaceDN w:val="0"/>
              <w:adjustRightInd w:val="0"/>
              <w:spacing w:before="40" w:after="40" w:line="240" w:lineRule="auto"/>
              <w:ind w:left="60" w:right="60"/>
              <w:rPr>
                <w:rFonts w:asciiTheme="minorHAnsi" w:hAnsiTheme="minorHAnsi" w:cstheme="minorHAnsi"/>
                <w:color w:val="000000"/>
                <w:sz w:val="20"/>
                <w:szCs w:val="20"/>
                <w:vertAlign w:val="superscript"/>
              </w:rPr>
            </w:pPr>
            <w:r w:rsidRPr="008F0D30">
              <w:rPr>
                <w:rFonts w:asciiTheme="minorHAnsi" w:hAnsiTheme="minorHAnsi" w:cstheme="minorHAnsi"/>
                <w:color w:val="000000"/>
                <w:sz w:val="20"/>
                <w:szCs w:val="20"/>
              </w:rPr>
              <w:t>Alcohol, Tobacco, and Other Drug Use</w:t>
            </w:r>
          </w:p>
        </w:tc>
        <w:tc>
          <w:tcPr>
            <w:tcW w:w="3168" w:type="dxa"/>
            <w:shd w:val="clear" w:color="auto" w:fill="FFFFFF" w:themeFill="background1"/>
          </w:tcPr>
          <w:p w:rsidR="008F0D30" w:rsidRPr="006841B0" w:rsidRDefault="00F356E2" w:rsidP="008F0D30">
            <w:pPr>
              <w:autoSpaceDE w:val="0"/>
              <w:autoSpaceDN w:val="0"/>
              <w:adjustRightInd w:val="0"/>
              <w:spacing w:before="40" w:after="40" w:line="240" w:lineRule="auto"/>
              <w:rPr>
                <w:rFonts w:asciiTheme="minorHAnsi" w:hAnsiTheme="minorHAnsi"/>
                <w:bCs/>
                <w:sz w:val="20"/>
                <w:szCs w:val="20"/>
              </w:rPr>
            </w:pPr>
            <w:r w:rsidRPr="006841B0">
              <w:rPr>
                <w:rFonts w:asciiTheme="minorHAnsi" w:hAnsiTheme="minorHAnsi"/>
                <w:bCs/>
                <w:sz w:val="20"/>
                <w:szCs w:val="20"/>
              </w:rPr>
              <w:t>While marijuana dependent clients improved their overall pre-post substance use, their scores were much higher at the end of services than were the intake scores of youth with lower levels of marijuana use</w:t>
            </w:r>
          </w:p>
        </w:tc>
      </w:tr>
      <w:tr w:rsidR="008F0D30" w:rsidRPr="00DB403B" w:rsidTr="008F0D30">
        <w:trPr>
          <w:trHeight w:val="230"/>
          <w:jc w:val="center"/>
        </w:trPr>
        <w:tc>
          <w:tcPr>
            <w:tcW w:w="1980" w:type="dxa"/>
            <w:shd w:val="clear" w:color="auto" w:fill="FFFFFF" w:themeFill="background1"/>
          </w:tcPr>
          <w:p w:rsidR="008F0D30" w:rsidRPr="008F0D30" w:rsidRDefault="008F0D30" w:rsidP="008F0D30">
            <w:pPr>
              <w:autoSpaceDE w:val="0"/>
              <w:autoSpaceDN w:val="0"/>
              <w:adjustRightInd w:val="0"/>
              <w:spacing w:before="40" w:after="40" w:line="240" w:lineRule="auto"/>
              <w:ind w:left="60" w:right="60"/>
              <w:rPr>
                <w:rFonts w:asciiTheme="minorHAnsi" w:hAnsiTheme="minorHAnsi" w:cstheme="minorHAnsi"/>
                <w:color w:val="000000"/>
                <w:sz w:val="20"/>
                <w:szCs w:val="20"/>
                <w:vertAlign w:val="superscript"/>
              </w:rPr>
            </w:pPr>
            <w:r w:rsidRPr="008F0D30">
              <w:rPr>
                <w:rFonts w:asciiTheme="minorHAnsi" w:hAnsiTheme="minorHAnsi" w:cstheme="minorHAnsi"/>
                <w:color w:val="000000"/>
                <w:sz w:val="20"/>
                <w:szCs w:val="20"/>
              </w:rPr>
              <w:lastRenderedPageBreak/>
              <w:t>Optimism and Problem Solving</w:t>
            </w:r>
          </w:p>
        </w:tc>
        <w:tc>
          <w:tcPr>
            <w:tcW w:w="3168" w:type="dxa"/>
            <w:shd w:val="clear" w:color="auto" w:fill="FFFFFF" w:themeFill="background1"/>
          </w:tcPr>
          <w:p w:rsidR="008F0D30" w:rsidRPr="006841B0" w:rsidRDefault="00F356E2" w:rsidP="008F0D30">
            <w:pPr>
              <w:autoSpaceDE w:val="0"/>
              <w:autoSpaceDN w:val="0"/>
              <w:adjustRightInd w:val="0"/>
              <w:spacing w:before="40" w:after="40" w:line="240" w:lineRule="auto"/>
              <w:rPr>
                <w:rFonts w:asciiTheme="minorHAnsi" w:hAnsiTheme="minorHAnsi"/>
                <w:bCs/>
                <w:sz w:val="20"/>
                <w:szCs w:val="20"/>
              </w:rPr>
            </w:pPr>
            <w:r w:rsidRPr="006841B0">
              <w:rPr>
                <w:rFonts w:asciiTheme="minorHAnsi" w:hAnsiTheme="minorHAnsi"/>
                <w:bCs/>
                <w:sz w:val="20"/>
                <w:szCs w:val="20"/>
              </w:rPr>
              <w:t>Regular marijuana users scored lower on this scale at intake and discharge than did youth in the other marijuana use categories</w:t>
            </w:r>
          </w:p>
        </w:tc>
      </w:tr>
      <w:tr w:rsidR="008F0D30" w:rsidRPr="00DB403B" w:rsidTr="008F0D30">
        <w:trPr>
          <w:trHeight w:val="230"/>
          <w:jc w:val="center"/>
        </w:trPr>
        <w:tc>
          <w:tcPr>
            <w:tcW w:w="1980" w:type="dxa"/>
            <w:shd w:val="clear" w:color="auto" w:fill="FFFFFF" w:themeFill="background1"/>
          </w:tcPr>
          <w:p w:rsidR="008F0D30" w:rsidRPr="008F0D30" w:rsidRDefault="008F0D30" w:rsidP="008F0D30">
            <w:pPr>
              <w:autoSpaceDE w:val="0"/>
              <w:autoSpaceDN w:val="0"/>
              <w:adjustRightInd w:val="0"/>
              <w:spacing w:before="40" w:after="40" w:line="240" w:lineRule="auto"/>
              <w:ind w:left="60" w:right="60"/>
              <w:rPr>
                <w:rFonts w:asciiTheme="minorHAnsi" w:hAnsiTheme="minorHAnsi" w:cstheme="minorHAnsi"/>
                <w:color w:val="000000"/>
                <w:sz w:val="20"/>
                <w:szCs w:val="20"/>
                <w:vertAlign w:val="superscript"/>
              </w:rPr>
            </w:pPr>
            <w:r w:rsidRPr="008F0D30">
              <w:rPr>
                <w:rFonts w:asciiTheme="minorHAnsi" w:hAnsiTheme="minorHAnsi" w:cstheme="minorHAnsi"/>
                <w:color w:val="000000"/>
                <w:sz w:val="20"/>
                <w:szCs w:val="20"/>
              </w:rPr>
              <w:t>School and Community Involvement</w:t>
            </w:r>
          </w:p>
        </w:tc>
        <w:tc>
          <w:tcPr>
            <w:tcW w:w="3168" w:type="dxa"/>
            <w:shd w:val="clear" w:color="auto" w:fill="FFFFFF" w:themeFill="background1"/>
          </w:tcPr>
          <w:p w:rsidR="008F0D30" w:rsidRPr="006841B0" w:rsidRDefault="00F356E2" w:rsidP="008F0D30">
            <w:pPr>
              <w:autoSpaceDE w:val="0"/>
              <w:autoSpaceDN w:val="0"/>
              <w:adjustRightInd w:val="0"/>
              <w:spacing w:before="40" w:after="40" w:line="240" w:lineRule="auto"/>
              <w:rPr>
                <w:rFonts w:asciiTheme="minorHAnsi" w:hAnsiTheme="minorHAnsi"/>
                <w:bCs/>
                <w:sz w:val="20"/>
                <w:szCs w:val="20"/>
              </w:rPr>
            </w:pPr>
            <w:r w:rsidRPr="00A20FF4">
              <w:rPr>
                <w:rFonts w:asciiTheme="minorHAnsi" w:hAnsiTheme="minorHAnsi"/>
                <w:bCs/>
                <w:sz w:val="20"/>
                <w:szCs w:val="20"/>
              </w:rPr>
              <w:t xml:space="preserve">Marijuana dependent youth </w:t>
            </w:r>
            <w:r w:rsidR="00A20FF4" w:rsidRPr="00A20FF4">
              <w:rPr>
                <w:rFonts w:asciiTheme="minorHAnsi" w:hAnsiTheme="minorHAnsi"/>
                <w:bCs/>
                <w:sz w:val="20"/>
                <w:szCs w:val="20"/>
              </w:rPr>
              <w:t>had</w:t>
            </w:r>
            <w:r w:rsidRPr="00A20FF4">
              <w:rPr>
                <w:rFonts w:asciiTheme="minorHAnsi" w:hAnsiTheme="minorHAnsi"/>
                <w:bCs/>
                <w:sz w:val="20"/>
                <w:szCs w:val="20"/>
              </w:rPr>
              <w:t xml:space="preserve"> poor</w:t>
            </w:r>
            <w:r w:rsidR="00F5238C" w:rsidRPr="00A20FF4">
              <w:rPr>
                <w:rFonts w:asciiTheme="minorHAnsi" w:hAnsiTheme="minorHAnsi"/>
                <w:bCs/>
                <w:sz w:val="20"/>
                <w:szCs w:val="20"/>
              </w:rPr>
              <w:t>er</w:t>
            </w:r>
            <w:r w:rsidRPr="00A20FF4">
              <w:rPr>
                <w:rFonts w:asciiTheme="minorHAnsi" w:hAnsiTheme="minorHAnsi"/>
                <w:bCs/>
                <w:sz w:val="20"/>
                <w:szCs w:val="20"/>
              </w:rPr>
              <w:t xml:space="preserve"> school involvement </w:t>
            </w:r>
            <w:r w:rsidR="00A20FF4" w:rsidRPr="00A20FF4">
              <w:rPr>
                <w:rFonts w:asciiTheme="minorHAnsi" w:hAnsiTheme="minorHAnsi"/>
                <w:bCs/>
                <w:sz w:val="20"/>
                <w:szCs w:val="20"/>
              </w:rPr>
              <w:t>than</w:t>
            </w:r>
            <w:r w:rsidRPr="00A20FF4">
              <w:rPr>
                <w:rFonts w:asciiTheme="minorHAnsi" w:hAnsiTheme="minorHAnsi"/>
                <w:bCs/>
                <w:sz w:val="20"/>
                <w:szCs w:val="20"/>
              </w:rPr>
              <w:t xml:space="preserve"> either of the other two marijuana</w:t>
            </w:r>
            <w:r w:rsidR="00A20FF4" w:rsidRPr="00A20FF4">
              <w:rPr>
                <w:rFonts w:asciiTheme="minorHAnsi" w:hAnsiTheme="minorHAnsi"/>
                <w:bCs/>
                <w:sz w:val="20"/>
                <w:szCs w:val="20"/>
              </w:rPr>
              <w:t xml:space="preserve"> use</w:t>
            </w:r>
            <w:r w:rsidRPr="00A20FF4">
              <w:rPr>
                <w:rFonts w:asciiTheme="minorHAnsi" w:hAnsiTheme="minorHAnsi"/>
                <w:bCs/>
                <w:sz w:val="20"/>
                <w:szCs w:val="20"/>
              </w:rPr>
              <w:t xml:space="preserve"> categories.</w:t>
            </w:r>
            <w:r w:rsidRPr="006841B0">
              <w:rPr>
                <w:rFonts w:asciiTheme="minorHAnsi" w:hAnsiTheme="minorHAnsi"/>
                <w:bCs/>
                <w:sz w:val="20"/>
                <w:szCs w:val="20"/>
              </w:rPr>
              <w:t xml:space="preserve"> </w:t>
            </w:r>
            <w:r w:rsidR="00E25416">
              <w:rPr>
                <w:rFonts w:asciiTheme="minorHAnsi" w:hAnsiTheme="minorHAnsi"/>
                <w:bCs/>
                <w:sz w:val="20"/>
                <w:szCs w:val="20"/>
              </w:rPr>
              <w:t>In fact, these r</w:t>
            </w:r>
            <w:r w:rsidR="00560D66" w:rsidRPr="006841B0">
              <w:rPr>
                <w:rFonts w:asciiTheme="minorHAnsi" w:hAnsiTheme="minorHAnsi"/>
                <w:bCs/>
                <w:sz w:val="20"/>
                <w:szCs w:val="20"/>
              </w:rPr>
              <w:t xml:space="preserve">egular users </w:t>
            </w:r>
            <w:r w:rsidR="00560D66" w:rsidRPr="00E25416">
              <w:rPr>
                <w:rFonts w:asciiTheme="minorHAnsi" w:hAnsiTheme="minorHAnsi"/>
                <w:bCs/>
                <w:i/>
                <w:sz w:val="20"/>
                <w:szCs w:val="20"/>
              </w:rPr>
              <w:t>ended</w:t>
            </w:r>
            <w:r w:rsidR="00560D66" w:rsidRPr="006841B0">
              <w:rPr>
                <w:rFonts w:asciiTheme="minorHAnsi" w:hAnsiTheme="minorHAnsi"/>
                <w:bCs/>
                <w:sz w:val="20"/>
                <w:szCs w:val="20"/>
              </w:rPr>
              <w:t xml:space="preserve"> their program with poorer school involve</w:t>
            </w:r>
            <w:r w:rsidR="00F5238C">
              <w:rPr>
                <w:rFonts w:asciiTheme="minorHAnsi" w:hAnsiTheme="minorHAnsi"/>
                <w:bCs/>
                <w:sz w:val="20"/>
                <w:szCs w:val="20"/>
              </w:rPr>
              <w:t>ment</w:t>
            </w:r>
            <w:r w:rsidR="00560D66" w:rsidRPr="006841B0">
              <w:rPr>
                <w:rFonts w:asciiTheme="minorHAnsi" w:hAnsiTheme="minorHAnsi"/>
                <w:bCs/>
                <w:sz w:val="20"/>
                <w:szCs w:val="20"/>
              </w:rPr>
              <w:t xml:space="preserve"> than was occurring for no-use or occasional-use groups </w:t>
            </w:r>
            <w:r w:rsidR="00E25416">
              <w:rPr>
                <w:rFonts w:asciiTheme="minorHAnsi" w:hAnsiTheme="minorHAnsi"/>
                <w:bCs/>
                <w:sz w:val="20"/>
                <w:szCs w:val="20"/>
              </w:rPr>
              <w:t xml:space="preserve">when they </w:t>
            </w:r>
            <w:r w:rsidR="00E25416" w:rsidRPr="00E25416">
              <w:rPr>
                <w:rFonts w:asciiTheme="minorHAnsi" w:hAnsiTheme="minorHAnsi"/>
                <w:bCs/>
                <w:i/>
                <w:sz w:val="20"/>
                <w:szCs w:val="20"/>
              </w:rPr>
              <w:t>enrolled</w:t>
            </w:r>
            <w:r w:rsidR="00E25416">
              <w:rPr>
                <w:rFonts w:asciiTheme="minorHAnsi" w:hAnsiTheme="minorHAnsi"/>
                <w:bCs/>
                <w:sz w:val="20"/>
                <w:szCs w:val="20"/>
              </w:rPr>
              <w:t xml:space="preserve"> in services.</w:t>
            </w:r>
          </w:p>
        </w:tc>
      </w:tr>
      <w:tr w:rsidR="008F0D30" w:rsidRPr="00DB403B" w:rsidTr="008F0D30">
        <w:trPr>
          <w:trHeight w:val="230"/>
          <w:jc w:val="center"/>
        </w:trPr>
        <w:tc>
          <w:tcPr>
            <w:tcW w:w="1980" w:type="dxa"/>
            <w:shd w:val="clear" w:color="auto" w:fill="FFFFFF" w:themeFill="background1"/>
          </w:tcPr>
          <w:p w:rsidR="008F0D30" w:rsidRPr="008F0D30" w:rsidRDefault="008F0D30" w:rsidP="008F0D30">
            <w:pPr>
              <w:autoSpaceDE w:val="0"/>
              <w:autoSpaceDN w:val="0"/>
              <w:adjustRightInd w:val="0"/>
              <w:spacing w:before="40" w:after="40" w:line="240" w:lineRule="auto"/>
              <w:ind w:left="60" w:right="60"/>
              <w:rPr>
                <w:rFonts w:asciiTheme="minorHAnsi" w:hAnsiTheme="minorHAnsi" w:cstheme="minorHAnsi"/>
                <w:color w:val="000000"/>
                <w:sz w:val="20"/>
                <w:szCs w:val="20"/>
                <w:vertAlign w:val="superscript"/>
              </w:rPr>
            </w:pPr>
            <w:r w:rsidRPr="008F0D30">
              <w:rPr>
                <w:rFonts w:asciiTheme="minorHAnsi" w:hAnsiTheme="minorHAnsi" w:cstheme="minorHAnsi"/>
                <w:color w:val="000000"/>
                <w:sz w:val="20"/>
                <w:szCs w:val="20"/>
              </w:rPr>
              <w:t>Delinquency and Aggression</w:t>
            </w:r>
          </w:p>
        </w:tc>
        <w:tc>
          <w:tcPr>
            <w:tcW w:w="3168" w:type="dxa"/>
            <w:shd w:val="clear" w:color="auto" w:fill="FFFFFF" w:themeFill="background1"/>
          </w:tcPr>
          <w:p w:rsidR="008F0D30" w:rsidRPr="006841B0" w:rsidRDefault="00560D66" w:rsidP="008F0D30">
            <w:pPr>
              <w:autoSpaceDE w:val="0"/>
              <w:autoSpaceDN w:val="0"/>
              <w:adjustRightInd w:val="0"/>
              <w:spacing w:before="40" w:after="40" w:line="240" w:lineRule="auto"/>
              <w:rPr>
                <w:rFonts w:asciiTheme="minorHAnsi" w:hAnsiTheme="minorHAnsi"/>
                <w:bCs/>
                <w:sz w:val="20"/>
                <w:szCs w:val="20"/>
              </w:rPr>
            </w:pPr>
            <w:r w:rsidRPr="006841B0">
              <w:rPr>
                <w:rFonts w:asciiTheme="minorHAnsi" w:hAnsiTheme="minorHAnsi"/>
                <w:bCs/>
                <w:sz w:val="20"/>
                <w:szCs w:val="20"/>
              </w:rPr>
              <w:t xml:space="preserve">Delinquency and marijuana dependency were found to be closely associated so that </w:t>
            </w:r>
            <w:r w:rsidR="00A20FF4" w:rsidRPr="006841B0">
              <w:rPr>
                <w:rFonts w:asciiTheme="minorHAnsi" w:hAnsiTheme="minorHAnsi"/>
                <w:bCs/>
                <w:sz w:val="20"/>
                <w:szCs w:val="20"/>
              </w:rPr>
              <w:t>after</w:t>
            </w:r>
            <w:r w:rsidRPr="006841B0">
              <w:rPr>
                <w:rFonts w:asciiTheme="minorHAnsi" w:hAnsiTheme="minorHAnsi"/>
                <w:bCs/>
                <w:sz w:val="20"/>
                <w:szCs w:val="20"/>
              </w:rPr>
              <w:t xml:space="preserve"> services marijuana youth sustained more delinquent attitudes and behavior than either the non- or occasional users</w:t>
            </w:r>
          </w:p>
        </w:tc>
      </w:tr>
      <w:tr w:rsidR="008F0D30" w:rsidRPr="00DB403B" w:rsidTr="008F0D30">
        <w:trPr>
          <w:trHeight w:val="230"/>
          <w:jc w:val="center"/>
        </w:trPr>
        <w:tc>
          <w:tcPr>
            <w:tcW w:w="1980" w:type="dxa"/>
            <w:shd w:val="clear" w:color="auto" w:fill="FFFFFF" w:themeFill="background1"/>
          </w:tcPr>
          <w:p w:rsidR="008F0D30" w:rsidRPr="008F0D30" w:rsidRDefault="008F0D30" w:rsidP="008F0D30">
            <w:pPr>
              <w:autoSpaceDE w:val="0"/>
              <w:autoSpaceDN w:val="0"/>
              <w:adjustRightInd w:val="0"/>
              <w:spacing w:before="40" w:after="40" w:line="240" w:lineRule="auto"/>
              <w:ind w:left="60" w:right="60"/>
              <w:rPr>
                <w:rFonts w:asciiTheme="minorHAnsi" w:hAnsiTheme="minorHAnsi" w:cstheme="minorHAnsi"/>
                <w:color w:val="000000"/>
                <w:sz w:val="20"/>
                <w:szCs w:val="20"/>
                <w:vertAlign w:val="superscript"/>
              </w:rPr>
            </w:pPr>
            <w:r w:rsidRPr="008F0D30">
              <w:rPr>
                <w:rFonts w:asciiTheme="minorHAnsi" w:hAnsiTheme="minorHAnsi" w:cstheme="minorHAnsi"/>
                <w:color w:val="000000"/>
                <w:sz w:val="20"/>
                <w:szCs w:val="20"/>
              </w:rPr>
              <w:t>Self-Deprecation</w:t>
            </w:r>
          </w:p>
        </w:tc>
        <w:tc>
          <w:tcPr>
            <w:tcW w:w="3168" w:type="dxa"/>
            <w:shd w:val="clear" w:color="auto" w:fill="FFFFFF" w:themeFill="background1"/>
          </w:tcPr>
          <w:p w:rsidR="008F0D30" w:rsidRPr="006841B0" w:rsidRDefault="00560D66" w:rsidP="008F0D30">
            <w:pPr>
              <w:autoSpaceDE w:val="0"/>
              <w:autoSpaceDN w:val="0"/>
              <w:adjustRightInd w:val="0"/>
              <w:spacing w:before="40" w:after="40" w:line="240" w:lineRule="auto"/>
              <w:rPr>
                <w:rFonts w:asciiTheme="minorHAnsi" w:hAnsiTheme="minorHAnsi"/>
                <w:bCs/>
                <w:sz w:val="20"/>
                <w:szCs w:val="20"/>
              </w:rPr>
            </w:pPr>
            <w:r w:rsidRPr="006841B0">
              <w:rPr>
                <w:rFonts w:asciiTheme="minorHAnsi" w:hAnsiTheme="minorHAnsi"/>
                <w:bCs/>
                <w:sz w:val="20"/>
                <w:szCs w:val="20"/>
              </w:rPr>
              <w:t>Results suggest that regular marijuana use is closely associated with self-disapproval and that, while these clients improved somewhat durin</w:t>
            </w:r>
            <w:r w:rsidR="006841B0" w:rsidRPr="006841B0">
              <w:rPr>
                <w:rFonts w:asciiTheme="minorHAnsi" w:hAnsiTheme="minorHAnsi"/>
                <w:bCs/>
                <w:sz w:val="20"/>
                <w:szCs w:val="20"/>
              </w:rPr>
              <w:t>g diversion services, they remained troubled in this aspect of the adjustment when they left their programs</w:t>
            </w:r>
          </w:p>
        </w:tc>
      </w:tr>
    </w:tbl>
    <w:p w:rsidR="00137550" w:rsidRPr="006841B0" w:rsidRDefault="00137550" w:rsidP="005E4578">
      <w:pPr>
        <w:spacing w:after="0" w:line="240" w:lineRule="auto"/>
        <w:jc w:val="both"/>
        <w:rPr>
          <w:sz w:val="16"/>
          <w:szCs w:val="16"/>
        </w:rPr>
      </w:pPr>
    </w:p>
    <w:p w:rsidR="00EF79F6" w:rsidRDefault="006841B0" w:rsidP="005E4578">
      <w:pPr>
        <w:spacing w:after="0" w:line="240" w:lineRule="auto"/>
        <w:jc w:val="both"/>
        <w:rPr>
          <w:sz w:val="21"/>
          <w:szCs w:val="21"/>
        </w:rPr>
      </w:pPr>
      <w:r>
        <w:rPr>
          <w:sz w:val="21"/>
          <w:szCs w:val="21"/>
        </w:rPr>
        <w:t>These results would tend to support view</w:t>
      </w:r>
      <w:r w:rsidR="00340B59">
        <w:rPr>
          <w:sz w:val="21"/>
          <w:szCs w:val="21"/>
        </w:rPr>
        <w:t>s</w:t>
      </w:r>
      <w:r>
        <w:rPr>
          <w:sz w:val="21"/>
          <w:szCs w:val="21"/>
        </w:rPr>
        <w:t xml:space="preserve"> of chemical dependency specialists</w:t>
      </w:r>
      <w:r w:rsidR="00EF79F6">
        <w:rPr>
          <w:sz w:val="21"/>
          <w:szCs w:val="21"/>
        </w:rPr>
        <w:t xml:space="preserve"> that substance-using delinquent youth need special consideration</w:t>
      </w:r>
      <w:r>
        <w:rPr>
          <w:sz w:val="21"/>
          <w:szCs w:val="21"/>
        </w:rPr>
        <w:t xml:space="preserve">. </w:t>
      </w:r>
    </w:p>
    <w:p w:rsidR="00EF79F6" w:rsidRPr="00770D62" w:rsidRDefault="00EF79F6" w:rsidP="005E4578">
      <w:pPr>
        <w:spacing w:after="0" w:line="240" w:lineRule="auto"/>
        <w:jc w:val="both"/>
        <w:rPr>
          <w:sz w:val="16"/>
          <w:szCs w:val="16"/>
        </w:rPr>
      </w:pPr>
    </w:p>
    <w:p w:rsidR="00137550" w:rsidRDefault="006841B0" w:rsidP="005E4578">
      <w:pPr>
        <w:spacing w:after="0" w:line="240" w:lineRule="auto"/>
        <w:jc w:val="both"/>
        <w:rPr>
          <w:sz w:val="21"/>
          <w:szCs w:val="21"/>
        </w:rPr>
      </w:pPr>
      <w:r>
        <w:rPr>
          <w:sz w:val="21"/>
          <w:szCs w:val="21"/>
        </w:rPr>
        <w:t xml:space="preserve">When youth’s behavioral and legal problems are intertwined with </w:t>
      </w:r>
      <w:r w:rsidR="006071AF">
        <w:rPr>
          <w:sz w:val="21"/>
          <w:szCs w:val="21"/>
        </w:rPr>
        <w:t xml:space="preserve">their use of </w:t>
      </w:r>
      <w:r>
        <w:rPr>
          <w:sz w:val="21"/>
          <w:szCs w:val="21"/>
        </w:rPr>
        <w:t>marijuana</w:t>
      </w:r>
      <w:r w:rsidR="002040EE">
        <w:rPr>
          <w:sz w:val="21"/>
          <w:szCs w:val="21"/>
        </w:rPr>
        <w:t>,</w:t>
      </w:r>
      <w:r>
        <w:rPr>
          <w:sz w:val="21"/>
          <w:szCs w:val="21"/>
        </w:rPr>
        <w:t xml:space="preserve"> </w:t>
      </w:r>
      <w:r w:rsidR="006071AF">
        <w:rPr>
          <w:sz w:val="21"/>
          <w:szCs w:val="21"/>
        </w:rPr>
        <w:t xml:space="preserve">their </w:t>
      </w:r>
      <w:r w:rsidR="002040EE">
        <w:rPr>
          <w:sz w:val="21"/>
          <w:szCs w:val="21"/>
        </w:rPr>
        <w:t>condition</w:t>
      </w:r>
      <w:r w:rsidR="006071AF">
        <w:rPr>
          <w:sz w:val="21"/>
          <w:szCs w:val="21"/>
        </w:rPr>
        <w:t xml:space="preserve"> when arrested and referred to diversion will be more serious</w:t>
      </w:r>
      <w:r w:rsidR="00D42A9D">
        <w:rPr>
          <w:sz w:val="21"/>
          <w:szCs w:val="21"/>
        </w:rPr>
        <w:t xml:space="preserve"> and, though they will progress toward a more typical youth development during diversion, will end services with lower levels of adjustment and greater risk for reoffending than non- or occasionally-using clients.</w:t>
      </w:r>
    </w:p>
    <w:p w:rsidR="002040EE" w:rsidRPr="002040EE" w:rsidRDefault="002040EE" w:rsidP="005E4578">
      <w:pPr>
        <w:spacing w:after="0" w:line="240" w:lineRule="auto"/>
        <w:jc w:val="both"/>
        <w:rPr>
          <w:sz w:val="16"/>
          <w:szCs w:val="16"/>
        </w:rPr>
      </w:pPr>
    </w:p>
    <w:p w:rsidR="00D930BD" w:rsidRDefault="00D756C5" w:rsidP="005E4578">
      <w:pPr>
        <w:spacing w:after="0" w:line="240" w:lineRule="auto"/>
        <w:jc w:val="both"/>
        <w:rPr>
          <w:sz w:val="21"/>
          <w:szCs w:val="21"/>
        </w:rPr>
      </w:pPr>
      <w:r>
        <w:rPr>
          <w:sz w:val="21"/>
          <w:szCs w:val="21"/>
        </w:rPr>
        <w:t xml:space="preserve">One important diversion service goal is preventing </w:t>
      </w:r>
      <w:r w:rsidR="00D930BD">
        <w:rPr>
          <w:sz w:val="21"/>
          <w:szCs w:val="21"/>
        </w:rPr>
        <w:t xml:space="preserve">client </w:t>
      </w:r>
      <w:r>
        <w:rPr>
          <w:sz w:val="21"/>
          <w:szCs w:val="21"/>
        </w:rPr>
        <w:t xml:space="preserve">reoffending. </w:t>
      </w:r>
      <w:r w:rsidR="00D930BD">
        <w:rPr>
          <w:sz w:val="21"/>
          <w:szCs w:val="21"/>
        </w:rPr>
        <w:t xml:space="preserve">Less than one-in-ten of enrolled clients reoffend during their months with YouthZone. Evaluation found most reoffending youth were marijuana users, </w:t>
      </w:r>
      <w:r w:rsidR="00350ED4">
        <w:rPr>
          <w:sz w:val="21"/>
          <w:szCs w:val="21"/>
        </w:rPr>
        <w:t xml:space="preserve">and </w:t>
      </w:r>
      <w:r w:rsidR="00D930BD">
        <w:rPr>
          <w:sz w:val="21"/>
          <w:szCs w:val="21"/>
        </w:rPr>
        <w:t>that they were twice as likely to be rearrested as non-users were.</w:t>
      </w:r>
    </w:p>
    <w:p w:rsidR="00D930BD" w:rsidRPr="00D930BD" w:rsidRDefault="00D930BD" w:rsidP="005E4578">
      <w:pPr>
        <w:spacing w:after="0" w:line="240" w:lineRule="auto"/>
        <w:jc w:val="both"/>
        <w:rPr>
          <w:sz w:val="16"/>
          <w:szCs w:val="16"/>
        </w:rPr>
      </w:pPr>
    </w:p>
    <w:p w:rsidR="002040EE" w:rsidRDefault="00350ED4" w:rsidP="005E4578">
      <w:pPr>
        <w:spacing w:after="0" w:line="240" w:lineRule="auto"/>
        <w:jc w:val="both"/>
        <w:rPr>
          <w:sz w:val="21"/>
          <w:szCs w:val="21"/>
        </w:rPr>
      </w:pPr>
      <w:r>
        <w:rPr>
          <w:sz w:val="21"/>
          <w:szCs w:val="21"/>
        </w:rPr>
        <w:t xml:space="preserve">It is likely that during diversions services many clients who had been using marijuana would stop or decrease their use out of concern that their use status might affect their progress through diversion. Reported use at intake and discharge </w:t>
      </w:r>
      <w:r w:rsidR="00E80940">
        <w:rPr>
          <w:sz w:val="21"/>
          <w:szCs w:val="21"/>
        </w:rPr>
        <w:t xml:space="preserve">may </w:t>
      </w:r>
      <w:r>
        <w:rPr>
          <w:sz w:val="21"/>
          <w:szCs w:val="21"/>
        </w:rPr>
        <w:t xml:space="preserve">confirm this </w:t>
      </w:r>
      <w:r w:rsidR="00E80940">
        <w:rPr>
          <w:sz w:val="21"/>
          <w:szCs w:val="21"/>
        </w:rPr>
        <w:t>possibility</w:t>
      </w:r>
      <w:r>
        <w:rPr>
          <w:sz w:val="21"/>
          <w:szCs w:val="21"/>
        </w:rPr>
        <w:t xml:space="preserve">. The comparison found in addition that </w:t>
      </w:r>
      <w:r w:rsidR="005B769D">
        <w:rPr>
          <w:sz w:val="21"/>
          <w:szCs w:val="21"/>
        </w:rPr>
        <w:t xml:space="preserve">among marijuana-dependent youth three-in-four cut back on use, but did not abstain entirely. Indeed, among dependent clients, 48.8% continued regular use from start of finish of program services. </w:t>
      </w:r>
    </w:p>
    <w:p w:rsidR="00EF79F6" w:rsidRDefault="00EF79F6" w:rsidP="005E4578">
      <w:pPr>
        <w:spacing w:after="0" w:line="240" w:lineRule="auto"/>
        <w:jc w:val="both"/>
        <w:rPr>
          <w:sz w:val="21"/>
          <w:szCs w:val="21"/>
        </w:rPr>
      </w:pPr>
    </w:p>
    <w:p w:rsidR="00065A71" w:rsidRDefault="00065A71" w:rsidP="005E4578">
      <w:pPr>
        <w:spacing w:after="0" w:line="240" w:lineRule="auto"/>
        <w:jc w:val="both"/>
        <w:rPr>
          <w:sz w:val="21"/>
          <w:szCs w:val="21"/>
        </w:rPr>
      </w:pPr>
    </w:p>
    <w:p w:rsidR="00F02032" w:rsidRDefault="00F02032" w:rsidP="005E4578">
      <w:pPr>
        <w:spacing w:after="0" w:line="240" w:lineRule="auto"/>
        <w:jc w:val="both"/>
        <w:rPr>
          <w:sz w:val="21"/>
          <w:szCs w:val="21"/>
        </w:rPr>
      </w:pPr>
    </w:p>
    <w:p w:rsidR="00065A71" w:rsidRDefault="00065A71" w:rsidP="005E4578">
      <w:pPr>
        <w:spacing w:after="0" w:line="240" w:lineRule="auto"/>
        <w:jc w:val="both"/>
        <w:rPr>
          <w:sz w:val="21"/>
          <w:szCs w:val="21"/>
        </w:rPr>
      </w:pPr>
    </w:p>
    <w:p w:rsidR="00065A71" w:rsidRDefault="00065A71" w:rsidP="005E4578">
      <w:pPr>
        <w:spacing w:after="0" w:line="240" w:lineRule="auto"/>
        <w:jc w:val="both"/>
        <w:rPr>
          <w:sz w:val="21"/>
          <w:szCs w:val="21"/>
        </w:rPr>
      </w:pPr>
    </w:p>
    <w:p w:rsidR="00065A71" w:rsidRDefault="00065A71" w:rsidP="005E4578">
      <w:pPr>
        <w:spacing w:after="0" w:line="240" w:lineRule="auto"/>
        <w:jc w:val="both"/>
        <w:rPr>
          <w:sz w:val="21"/>
          <w:szCs w:val="21"/>
        </w:rPr>
        <w:sectPr w:rsidR="00065A71" w:rsidSect="00741EDA">
          <w:type w:val="continuous"/>
          <w:pgSz w:w="12240" w:h="15840"/>
          <w:pgMar w:top="720" w:right="720" w:bottom="720" w:left="720" w:header="720" w:footer="720" w:gutter="0"/>
          <w:cols w:num="2" w:space="720"/>
          <w:docGrid w:linePitch="360"/>
        </w:sectPr>
      </w:pPr>
    </w:p>
    <w:p w:rsidR="00E6677D" w:rsidRDefault="00E6677D" w:rsidP="006D7A06">
      <w:pPr>
        <w:shd w:val="clear" w:color="auto" w:fill="FBE4D5" w:themeFill="accent2" w:themeFillTint="33"/>
        <w:spacing w:before="40" w:after="40" w:line="240" w:lineRule="auto"/>
        <w:rPr>
          <w:rFonts w:ascii="Trebuchet MS" w:eastAsia="Times New Roman" w:hAnsi="Trebuchet MS" w:cs="Trebuchet MS"/>
          <w:sz w:val="28"/>
          <w:szCs w:val="28"/>
        </w:rPr>
      </w:pPr>
      <w:r>
        <w:rPr>
          <w:rFonts w:ascii="Trebuchet MS" w:eastAsia="Times New Roman" w:hAnsi="Trebuchet MS" w:cs="Trebuchet MS"/>
          <w:sz w:val="28"/>
          <w:szCs w:val="28"/>
        </w:rPr>
        <w:t xml:space="preserve">Discussion: </w:t>
      </w:r>
      <w:r w:rsidR="00B01193">
        <w:rPr>
          <w:rFonts w:ascii="Trebuchet MS" w:eastAsia="Times New Roman" w:hAnsi="Trebuchet MS" w:cs="Trebuchet MS"/>
          <w:sz w:val="28"/>
          <w:szCs w:val="28"/>
        </w:rPr>
        <w:t xml:space="preserve">The Need for </w:t>
      </w:r>
      <w:r w:rsidR="006D7A06">
        <w:rPr>
          <w:rFonts w:ascii="Trebuchet MS" w:eastAsia="Times New Roman" w:hAnsi="Trebuchet MS" w:cs="Trebuchet MS"/>
          <w:sz w:val="28"/>
          <w:szCs w:val="28"/>
        </w:rPr>
        <w:t>Marijuana</w:t>
      </w:r>
      <w:r w:rsidR="00B01193">
        <w:rPr>
          <w:rFonts w:ascii="Trebuchet MS" w:eastAsia="Times New Roman" w:hAnsi="Trebuchet MS" w:cs="Trebuchet MS"/>
          <w:sz w:val="28"/>
          <w:szCs w:val="28"/>
        </w:rPr>
        <w:t xml:space="preserve"> Intervention in</w:t>
      </w:r>
    </w:p>
    <w:p w:rsidR="006D7A06" w:rsidRDefault="00E6677D" w:rsidP="006D7A06">
      <w:pPr>
        <w:shd w:val="clear" w:color="auto" w:fill="FBE4D5" w:themeFill="accent2" w:themeFillTint="33"/>
        <w:spacing w:before="40" w:after="40" w:line="240" w:lineRule="auto"/>
        <w:rPr>
          <w:rFonts w:ascii="Trebuchet MS" w:eastAsia="Times New Roman" w:hAnsi="Trebuchet MS" w:cs="Trebuchet MS"/>
          <w:sz w:val="28"/>
          <w:szCs w:val="28"/>
        </w:rPr>
      </w:pPr>
      <w:r>
        <w:rPr>
          <w:rFonts w:ascii="Trebuchet MS" w:eastAsia="Times New Roman" w:hAnsi="Trebuchet MS" w:cs="Trebuchet MS"/>
          <w:sz w:val="28"/>
          <w:szCs w:val="28"/>
        </w:rPr>
        <w:t xml:space="preserve">  </w:t>
      </w:r>
      <w:r w:rsidR="006D7A06">
        <w:rPr>
          <w:rFonts w:ascii="Trebuchet MS" w:eastAsia="Times New Roman" w:hAnsi="Trebuchet MS" w:cs="Trebuchet MS"/>
          <w:sz w:val="28"/>
          <w:szCs w:val="28"/>
        </w:rPr>
        <w:t>Delinquency Diversion Programming</w:t>
      </w:r>
    </w:p>
    <w:p w:rsidR="006D7A06" w:rsidRPr="008D7485" w:rsidRDefault="006D7A06" w:rsidP="006D7A06">
      <w:pPr>
        <w:spacing w:after="0" w:line="240" w:lineRule="auto"/>
        <w:jc w:val="both"/>
        <w:rPr>
          <w:sz w:val="16"/>
          <w:szCs w:val="16"/>
        </w:rPr>
      </w:pPr>
    </w:p>
    <w:p w:rsidR="006D7A06" w:rsidRPr="008D7485" w:rsidRDefault="006D7A06" w:rsidP="006D7A06">
      <w:pPr>
        <w:spacing w:after="0" w:line="240" w:lineRule="auto"/>
        <w:jc w:val="both"/>
        <w:rPr>
          <w:sz w:val="16"/>
          <w:szCs w:val="16"/>
        </w:rPr>
        <w:sectPr w:rsidR="006D7A06" w:rsidRPr="008D7485" w:rsidSect="008D7485">
          <w:type w:val="continuous"/>
          <w:pgSz w:w="12240" w:h="15840"/>
          <w:pgMar w:top="720" w:right="720" w:bottom="720" w:left="720" w:header="720" w:footer="720" w:gutter="0"/>
          <w:cols w:space="720"/>
          <w:docGrid w:linePitch="360"/>
        </w:sectPr>
      </w:pPr>
    </w:p>
    <w:p w:rsidR="00B01193" w:rsidRDefault="00CB62D6" w:rsidP="006D7A06">
      <w:pPr>
        <w:spacing w:after="0" w:line="240" w:lineRule="auto"/>
        <w:jc w:val="both"/>
        <w:rPr>
          <w:sz w:val="21"/>
          <w:szCs w:val="21"/>
        </w:rPr>
      </w:pPr>
      <w:r>
        <w:rPr>
          <w:sz w:val="21"/>
          <w:szCs w:val="21"/>
        </w:rPr>
        <w:t xml:space="preserve">The purpose of this evaluation was to cast a brighter light on </w:t>
      </w:r>
      <w:r w:rsidR="00603609">
        <w:rPr>
          <w:sz w:val="21"/>
          <w:szCs w:val="21"/>
        </w:rPr>
        <w:t xml:space="preserve">YouthZone </w:t>
      </w:r>
      <w:r>
        <w:rPr>
          <w:sz w:val="21"/>
          <w:szCs w:val="21"/>
        </w:rPr>
        <w:t xml:space="preserve">diversion clients’ history of marijuana use, </w:t>
      </w:r>
      <w:r w:rsidR="00207A5F">
        <w:rPr>
          <w:sz w:val="21"/>
          <w:szCs w:val="21"/>
        </w:rPr>
        <w:t>their response to diversion programs, and their possible needs</w:t>
      </w:r>
      <w:r w:rsidR="00603609">
        <w:rPr>
          <w:sz w:val="21"/>
          <w:szCs w:val="21"/>
        </w:rPr>
        <w:t xml:space="preserve"> for support to avoid reoffending</w:t>
      </w:r>
      <w:r w:rsidR="00207A5F">
        <w:rPr>
          <w:sz w:val="21"/>
          <w:szCs w:val="21"/>
        </w:rPr>
        <w:t xml:space="preserve">. </w:t>
      </w:r>
    </w:p>
    <w:p w:rsidR="00B01193" w:rsidRPr="00B01193" w:rsidRDefault="00B01193" w:rsidP="006D7A06">
      <w:pPr>
        <w:spacing w:after="0" w:line="240" w:lineRule="auto"/>
        <w:jc w:val="both"/>
        <w:rPr>
          <w:sz w:val="16"/>
          <w:szCs w:val="16"/>
        </w:rPr>
      </w:pPr>
    </w:p>
    <w:p w:rsidR="00B4112D" w:rsidRDefault="00C17DE4" w:rsidP="006D7A06">
      <w:pPr>
        <w:spacing w:after="0" w:line="240" w:lineRule="auto"/>
        <w:jc w:val="both"/>
        <w:rPr>
          <w:sz w:val="21"/>
          <w:szCs w:val="21"/>
        </w:rPr>
      </w:pPr>
      <w:r>
        <w:rPr>
          <w:sz w:val="21"/>
          <w:szCs w:val="21"/>
        </w:rPr>
        <w:t>Most p</w:t>
      </w:r>
      <w:r w:rsidR="00207A5F">
        <w:rPr>
          <w:sz w:val="21"/>
          <w:szCs w:val="21"/>
        </w:rPr>
        <w:t xml:space="preserve">arents, </w:t>
      </w:r>
      <w:r>
        <w:rPr>
          <w:sz w:val="21"/>
          <w:szCs w:val="21"/>
        </w:rPr>
        <w:t>some</w:t>
      </w:r>
      <w:r w:rsidR="00207A5F">
        <w:rPr>
          <w:sz w:val="21"/>
          <w:szCs w:val="21"/>
        </w:rPr>
        <w:t xml:space="preserve"> youth, and all diversion service providers have at least a general sense that regular marijuana use predisposes a young person to school underachievement, some social and legal difficulties, and the possibility of being arrested </w:t>
      </w:r>
      <w:r w:rsidR="001D1BC1">
        <w:rPr>
          <w:sz w:val="21"/>
          <w:szCs w:val="21"/>
        </w:rPr>
        <w:t>because of</w:t>
      </w:r>
      <w:r w:rsidR="00207A5F">
        <w:rPr>
          <w:sz w:val="21"/>
          <w:szCs w:val="21"/>
        </w:rPr>
        <w:t xml:space="preserve"> possession or substance use-related misconduct. Because many </w:t>
      </w:r>
      <w:r w:rsidR="001D1BC1">
        <w:rPr>
          <w:sz w:val="21"/>
          <w:szCs w:val="21"/>
        </w:rPr>
        <w:t>doubts</w:t>
      </w:r>
      <w:r w:rsidR="00207A5F">
        <w:rPr>
          <w:sz w:val="21"/>
          <w:szCs w:val="21"/>
        </w:rPr>
        <w:t xml:space="preserve"> that occasional use is </w:t>
      </w:r>
      <w:r w:rsidR="004E708E">
        <w:rPr>
          <w:sz w:val="21"/>
          <w:szCs w:val="21"/>
        </w:rPr>
        <w:t>harmful</w:t>
      </w:r>
      <w:r w:rsidR="00207A5F">
        <w:rPr>
          <w:sz w:val="21"/>
          <w:szCs w:val="21"/>
        </w:rPr>
        <w:t xml:space="preserve">, tolerance </w:t>
      </w:r>
      <w:r w:rsidR="00153D46">
        <w:rPr>
          <w:sz w:val="21"/>
          <w:szCs w:val="21"/>
        </w:rPr>
        <w:t xml:space="preserve">can be casually extended to people for whom marijuana is </w:t>
      </w:r>
      <w:r w:rsidR="001D1BC1">
        <w:rPr>
          <w:sz w:val="21"/>
          <w:szCs w:val="21"/>
        </w:rPr>
        <w:t>consumed</w:t>
      </w:r>
      <w:r w:rsidR="00153D46">
        <w:rPr>
          <w:sz w:val="21"/>
          <w:szCs w:val="21"/>
        </w:rPr>
        <w:t xml:space="preserve"> habitually. This casual tolerance </w:t>
      </w:r>
      <w:r w:rsidR="008B1AE6">
        <w:rPr>
          <w:sz w:val="21"/>
          <w:szCs w:val="21"/>
        </w:rPr>
        <w:t>will be</w:t>
      </w:r>
      <w:r w:rsidR="00153D46">
        <w:rPr>
          <w:sz w:val="21"/>
          <w:szCs w:val="21"/>
        </w:rPr>
        <w:t xml:space="preserve"> accentuated by the documented perceptions among marijuana-dependent youth that all or almost </w:t>
      </w:r>
      <w:proofErr w:type="gramStart"/>
      <w:r w:rsidR="00153D46">
        <w:rPr>
          <w:sz w:val="21"/>
          <w:szCs w:val="21"/>
        </w:rPr>
        <w:t>all of</w:t>
      </w:r>
      <w:proofErr w:type="gramEnd"/>
      <w:r w:rsidR="00153D46">
        <w:rPr>
          <w:sz w:val="21"/>
          <w:szCs w:val="21"/>
        </w:rPr>
        <w:t xml:space="preserve"> the people they know are using regularly. </w:t>
      </w:r>
    </w:p>
    <w:p w:rsidR="00B4112D" w:rsidRDefault="00B4112D" w:rsidP="006D7A06">
      <w:pPr>
        <w:spacing w:after="0" w:line="240" w:lineRule="auto"/>
        <w:jc w:val="both"/>
        <w:rPr>
          <w:sz w:val="21"/>
          <w:szCs w:val="21"/>
        </w:rPr>
      </w:pPr>
    </w:p>
    <w:p w:rsidR="00955C78" w:rsidRDefault="00153D46" w:rsidP="006D7A06">
      <w:pPr>
        <w:spacing w:after="0" w:line="240" w:lineRule="auto"/>
        <w:jc w:val="both"/>
        <w:rPr>
          <w:sz w:val="21"/>
          <w:szCs w:val="21"/>
        </w:rPr>
      </w:pPr>
      <w:r>
        <w:rPr>
          <w:sz w:val="21"/>
          <w:szCs w:val="21"/>
        </w:rPr>
        <w:t xml:space="preserve">Tolerance and normative pressures combined with </w:t>
      </w:r>
      <w:r w:rsidR="008B1AE6">
        <w:rPr>
          <w:sz w:val="21"/>
          <w:szCs w:val="21"/>
        </w:rPr>
        <w:t xml:space="preserve">the </w:t>
      </w:r>
      <w:r>
        <w:rPr>
          <w:sz w:val="21"/>
          <w:szCs w:val="21"/>
        </w:rPr>
        <w:t xml:space="preserve">commercialization of marijuana can create access and an environment </w:t>
      </w:r>
      <w:r w:rsidR="00FC65CE">
        <w:rPr>
          <w:sz w:val="21"/>
          <w:szCs w:val="21"/>
        </w:rPr>
        <w:t>that eases already vulnerable young people</w:t>
      </w:r>
      <w:r w:rsidR="008B1AE6">
        <w:rPr>
          <w:sz w:val="21"/>
          <w:szCs w:val="21"/>
        </w:rPr>
        <w:t xml:space="preserve"> </w:t>
      </w:r>
      <w:r w:rsidR="008B1AE6">
        <w:rPr>
          <w:sz w:val="21"/>
          <w:szCs w:val="21"/>
        </w:rPr>
        <w:t xml:space="preserve">(e.g., those struggling with their sexual or ethnic identity, who are affected by adverse social circumstances, or have a history of trauma) </w:t>
      </w:r>
      <w:r w:rsidR="00FC65CE">
        <w:rPr>
          <w:sz w:val="21"/>
          <w:szCs w:val="21"/>
        </w:rPr>
        <w:t xml:space="preserve">into </w:t>
      </w:r>
      <w:r w:rsidR="00B01193">
        <w:rPr>
          <w:sz w:val="21"/>
          <w:szCs w:val="21"/>
        </w:rPr>
        <w:t>use that might otherwise be avoided. Indeed, studies with incarcerated you</w:t>
      </w:r>
      <w:r w:rsidR="00C17DE4">
        <w:rPr>
          <w:sz w:val="21"/>
          <w:szCs w:val="21"/>
        </w:rPr>
        <w:t>th</w:t>
      </w:r>
      <w:r w:rsidR="00B01193">
        <w:rPr>
          <w:sz w:val="21"/>
          <w:szCs w:val="21"/>
        </w:rPr>
        <w:t xml:space="preserve"> show the</w:t>
      </w:r>
      <w:r w:rsidR="00C17DE4">
        <w:rPr>
          <w:sz w:val="21"/>
          <w:szCs w:val="21"/>
        </w:rPr>
        <w:t>ir</w:t>
      </w:r>
      <w:r w:rsidR="00B01193">
        <w:rPr>
          <w:sz w:val="21"/>
          <w:szCs w:val="21"/>
        </w:rPr>
        <w:t xml:space="preserve"> consumption is motivated primarily by the need and desire for relief from stress, to feel better, and for sleep. These are circumstances that shape the young person who comes to YouthZone for diversion services. Facts from this evaluation document the need for marijuana interventions in diversion programming.</w:t>
      </w:r>
    </w:p>
    <w:p w:rsidR="00B01193" w:rsidRPr="00603609" w:rsidRDefault="00B01193" w:rsidP="006D7A06">
      <w:pPr>
        <w:spacing w:after="0" w:line="240" w:lineRule="auto"/>
        <w:jc w:val="both"/>
        <w:rPr>
          <w:sz w:val="21"/>
          <w:szCs w:val="21"/>
        </w:rPr>
      </w:pPr>
    </w:p>
    <w:p w:rsidR="001655EA" w:rsidRDefault="00A862DB" w:rsidP="006D7A06">
      <w:pPr>
        <w:spacing w:after="0" w:line="240" w:lineRule="auto"/>
        <w:jc w:val="both"/>
        <w:rPr>
          <w:rFonts w:cstheme="minorHAnsi"/>
          <w:sz w:val="21"/>
          <w:szCs w:val="21"/>
        </w:rPr>
      </w:pPr>
      <w:r>
        <w:rPr>
          <w:rFonts w:asciiTheme="minorHAnsi" w:hAnsiTheme="minorHAnsi" w:cstheme="minorHAnsi"/>
          <w:b/>
          <w:sz w:val="24"/>
          <w:szCs w:val="24"/>
        </w:rPr>
        <w:t>Epidemiology and Intervention Need</w:t>
      </w:r>
      <w:r>
        <w:rPr>
          <w:rFonts w:cstheme="minorHAnsi"/>
          <w:sz w:val="21"/>
          <w:szCs w:val="21"/>
        </w:rPr>
        <w:t xml:space="preserve">   </w:t>
      </w:r>
      <w:r w:rsidR="001655EA">
        <w:rPr>
          <w:rFonts w:cstheme="minorHAnsi"/>
          <w:sz w:val="21"/>
          <w:szCs w:val="21"/>
        </w:rPr>
        <w:t>Studies of marijuana use by teens ha</w:t>
      </w:r>
      <w:r w:rsidR="00E55787">
        <w:rPr>
          <w:rFonts w:cstheme="minorHAnsi"/>
          <w:sz w:val="21"/>
          <w:szCs w:val="21"/>
        </w:rPr>
        <w:t>ve</w:t>
      </w:r>
      <w:r w:rsidR="001655EA">
        <w:rPr>
          <w:rFonts w:cstheme="minorHAnsi"/>
          <w:sz w:val="21"/>
          <w:szCs w:val="21"/>
        </w:rPr>
        <w:t xml:space="preserve"> not resolved fully whether legalization raises prevalence, though the prospect of easier access and some study statistics suggest that increasingly, youth will experiment with the substance and more will become dependent, regular users. About </w:t>
      </w:r>
      <w:r w:rsidR="00844B86">
        <w:rPr>
          <w:rFonts w:cstheme="minorHAnsi"/>
          <w:sz w:val="21"/>
          <w:szCs w:val="21"/>
        </w:rPr>
        <w:t>half of</w:t>
      </w:r>
      <w:r w:rsidR="001655EA">
        <w:rPr>
          <w:rFonts w:cstheme="minorHAnsi"/>
          <w:sz w:val="21"/>
          <w:szCs w:val="21"/>
        </w:rPr>
        <w:t xml:space="preserve"> Colorado high school students are surveyed </w:t>
      </w:r>
      <w:r w:rsidR="00844B86">
        <w:rPr>
          <w:rFonts w:cstheme="minorHAnsi"/>
          <w:sz w:val="21"/>
          <w:szCs w:val="21"/>
        </w:rPr>
        <w:t xml:space="preserve">periodically </w:t>
      </w:r>
      <w:r w:rsidR="001655EA">
        <w:rPr>
          <w:rFonts w:cstheme="minorHAnsi"/>
          <w:sz w:val="21"/>
          <w:szCs w:val="21"/>
        </w:rPr>
        <w:t>by the Colorado Department of Public Health</w:t>
      </w:r>
      <w:r w:rsidR="00844B86">
        <w:rPr>
          <w:rFonts w:cstheme="minorHAnsi"/>
          <w:sz w:val="21"/>
          <w:szCs w:val="21"/>
        </w:rPr>
        <w:t xml:space="preserve"> and Environment</w:t>
      </w:r>
      <w:r w:rsidR="001655EA">
        <w:rPr>
          <w:rFonts w:cstheme="minorHAnsi"/>
          <w:sz w:val="21"/>
          <w:szCs w:val="21"/>
        </w:rPr>
        <w:t xml:space="preserve"> with the Health Kids Colorado Survey. Only small increases </w:t>
      </w:r>
      <w:r w:rsidR="00C17DE4">
        <w:rPr>
          <w:rFonts w:cstheme="minorHAnsi"/>
          <w:sz w:val="21"/>
          <w:szCs w:val="21"/>
        </w:rPr>
        <w:t xml:space="preserve">in marijuana use </w:t>
      </w:r>
      <w:r w:rsidR="001655EA">
        <w:rPr>
          <w:rFonts w:cstheme="minorHAnsi"/>
          <w:sz w:val="21"/>
          <w:szCs w:val="21"/>
        </w:rPr>
        <w:t xml:space="preserve">have been seen year </w:t>
      </w:r>
      <w:r w:rsidR="001655EA">
        <w:rPr>
          <w:rFonts w:cstheme="minorHAnsi"/>
          <w:sz w:val="21"/>
          <w:szCs w:val="21"/>
        </w:rPr>
        <w:lastRenderedPageBreak/>
        <w:t>over year. Other surveys show rises in youth use</w:t>
      </w:r>
      <w:r w:rsidR="00E55787">
        <w:rPr>
          <w:rFonts w:cstheme="minorHAnsi"/>
          <w:sz w:val="21"/>
          <w:szCs w:val="21"/>
        </w:rPr>
        <w:t>. I</w:t>
      </w:r>
      <w:r w:rsidR="001655EA">
        <w:rPr>
          <w:rFonts w:cstheme="minorHAnsi"/>
          <w:sz w:val="21"/>
          <w:szCs w:val="21"/>
        </w:rPr>
        <w:t xml:space="preserve">n schools, discipline for marijuana use and </w:t>
      </w:r>
      <w:r w:rsidR="00E55787">
        <w:rPr>
          <w:rFonts w:cstheme="minorHAnsi"/>
          <w:sz w:val="21"/>
          <w:szCs w:val="21"/>
        </w:rPr>
        <w:t xml:space="preserve">professionals’ </w:t>
      </w:r>
      <w:r w:rsidR="001655EA">
        <w:rPr>
          <w:rFonts w:cstheme="minorHAnsi"/>
          <w:sz w:val="21"/>
          <w:szCs w:val="21"/>
        </w:rPr>
        <w:t>concern for student use ha</w:t>
      </w:r>
      <w:r w:rsidR="00E55787">
        <w:rPr>
          <w:rFonts w:cstheme="minorHAnsi"/>
          <w:sz w:val="21"/>
          <w:szCs w:val="21"/>
        </w:rPr>
        <w:t>ve</w:t>
      </w:r>
      <w:r w:rsidR="001655EA">
        <w:rPr>
          <w:rFonts w:cstheme="minorHAnsi"/>
          <w:sz w:val="21"/>
          <w:szCs w:val="21"/>
        </w:rPr>
        <w:t xml:space="preserve"> increased greatly. </w:t>
      </w:r>
      <w:r w:rsidR="004951B9">
        <w:rPr>
          <w:rFonts w:cstheme="minorHAnsi"/>
          <w:sz w:val="21"/>
          <w:szCs w:val="21"/>
        </w:rPr>
        <w:t xml:space="preserve">Evidence from YouthZone clients finds they are twice as likely to be substance users as comparably aged </w:t>
      </w:r>
      <w:r w:rsidR="00CF457B">
        <w:rPr>
          <w:rFonts w:cstheme="minorHAnsi"/>
          <w:sz w:val="21"/>
          <w:szCs w:val="21"/>
        </w:rPr>
        <w:t>students in local high schools</w:t>
      </w:r>
      <w:r w:rsidR="004951B9">
        <w:rPr>
          <w:rFonts w:cstheme="minorHAnsi"/>
          <w:sz w:val="21"/>
          <w:szCs w:val="21"/>
        </w:rPr>
        <w:t>.</w:t>
      </w:r>
    </w:p>
    <w:p w:rsidR="00EB2E3B" w:rsidRPr="00EB2E3B" w:rsidRDefault="00EB2E3B" w:rsidP="006D7A06">
      <w:pPr>
        <w:spacing w:after="0" w:line="240" w:lineRule="auto"/>
        <w:jc w:val="both"/>
        <w:rPr>
          <w:rFonts w:cstheme="minorHAnsi"/>
          <w:sz w:val="16"/>
          <w:szCs w:val="16"/>
        </w:rPr>
      </w:pPr>
    </w:p>
    <w:p w:rsidR="00EB2E3B" w:rsidRDefault="00EB2E3B" w:rsidP="006D7A06">
      <w:pPr>
        <w:spacing w:after="0" w:line="240" w:lineRule="auto"/>
        <w:jc w:val="both"/>
        <w:rPr>
          <w:rFonts w:cstheme="minorHAnsi"/>
          <w:sz w:val="21"/>
          <w:szCs w:val="21"/>
        </w:rPr>
      </w:pPr>
      <w:r>
        <w:rPr>
          <w:rFonts w:cstheme="minorHAnsi"/>
          <w:sz w:val="21"/>
          <w:szCs w:val="21"/>
        </w:rPr>
        <w:t>The epidemiological perspective argues that a diversion program should be prepared to address substance use as a risk factor for delinquency.</w:t>
      </w:r>
    </w:p>
    <w:p w:rsidR="00603609" w:rsidRDefault="00603609" w:rsidP="006D7A06">
      <w:pPr>
        <w:spacing w:after="0" w:line="240" w:lineRule="auto"/>
        <w:jc w:val="both"/>
        <w:rPr>
          <w:rFonts w:cstheme="minorHAnsi"/>
          <w:sz w:val="21"/>
          <w:szCs w:val="21"/>
        </w:rPr>
      </w:pPr>
    </w:p>
    <w:p w:rsidR="00C20E84" w:rsidRDefault="00C76D07" w:rsidP="006D7A06">
      <w:pPr>
        <w:spacing w:after="0" w:line="240" w:lineRule="auto"/>
        <w:jc w:val="both"/>
        <w:rPr>
          <w:rFonts w:cstheme="minorHAnsi"/>
          <w:sz w:val="21"/>
          <w:szCs w:val="21"/>
        </w:rPr>
      </w:pPr>
      <w:r>
        <w:rPr>
          <w:rFonts w:asciiTheme="minorHAnsi" w:hAnsiTheme="minorHAnsi" w:cstheme="minorHAnsi"/>
          <w:b/>
          <w:sz w:val="24"/>
          <w:szCs w:val="24"/>
        </w:rPr>
        <w:t>Client Characteristics</w:t>
      </w:r>
      <w:r w:rsidRPr="00C76D07">
        <w:rPr>
          <w:rFonts w:asciiTheme="minorHAnsi" w:hAnsiTheme="minorHAnsi" w:cstheme="minorHAnsi"/>
          <w:b/>
          <w:sz w:val="24"/>
          <w:szCs w:val="24"/>
        </w:rPr>
        <w:t xml:space="preserve"> and Intervention Need</w:t>
      </w:r>
      <w:r w:rsidRPr="00C76D07">
        <w:rPr>
          <w:rFonts w:cstheme="minorHAnsi"/>
          <w:sz w:val="21"/>
          <w:szCs w:val="21"/>
        </w:rPr>
        <w:t xml:space="preserve">   </w:t>
      </w:r>
      <w:r>
        <w:rPr>
          <w:rFonts w:cstheme="minorHAnsi"/>
          <w:sz w:val="21"/>
          <w:szCs w:val="21"/>
        </w:rPr>
        <w:t>Evaluation showed</w:t>
      </w:r>
      <w:r w:rsidR="005B4900">
        <w:rPr>
          <w:rFonts w:cstheme="minorHAnsi"/>
          <w:sz w:val="21"/>
          <w:szCs w:val="21"/>
        </w:rPr>
        <w:t xml:space="preserve">, </w:t>
      </w:r>
      <w:r>
        <w:rPr>
          <w:rFonts w:cstheme="minorHAnsi"/>
          <w:sz w:val="21"/>
          <w:szCs w:val="21"/>
        </w:rPr>
        <w:t>when a client was 16 years or older, ha</w:t>
      </w:r>
      <w:r w:rsidR="000C1645">
        <w:rPr>
          <w:rFonts w:cstheme="minorHAnsi"/>
          <w:sz w:val="21"/>
          <w:szCs w:val="21"/>
        </w:rPr>
        <w:t>d</w:t>
      </w:r>
      <w:r>
        <w:rPr>
          <w:rFonts w:cstheme="minorHAnsi"/>
          <w:sz w:val="21"/>
          <w:szCs w:val="21"/>
        </w:rPr>
        <w:t xml:space="preserve"> had previous brushes with the law, perhaps ha</w:t>
      </w:r>
      <w:r w:rsidR="000C1645">
        <w:rPr>
          <w:rFonts w:cstheme="minorHAnsi"/>
          <w:sz w:val="21"/>
          <w:szCs w:val="21"/>
        </w:rPr>
        <w:t>d</w:t>
      </w:r>
      <w:r>
        <w:rPr>
          <w:rFonts w:cstheme="minorHAnsi"/>
          <w:sz w:val="21"/>
          <w:szCs w:val="21"/>
        </w:rPr>
        <w:t xml:space="preserve"> been referred in school for behavior problems, and whose score on the YouthZone </w:t>
      </w:r>
      <w:r>
        <w:rPr>
          <w:rFonts w:cstheme="minorHAnsi"/>
          <w:i/>
          <w:sz w:val="21"/>
          <w:szCs w:val="21"/>
        </w:rPr>
        <w:t>Screening</w:t>
      </w:r>
      <w:r>
        <w:rPr>
          <w:rFonts w:cstheme="minorHAnsi"/>
          <w:sz w:val="21"/>
          <w:szCs w:val="21"/>
        </w:rPr>
        <w:t xml:space="preserve"> </w:t>
      </w:r>
      <w:r w:rsidR="00C20E84">
        <w:rPr>
          <w:rFonts w:cstheme="minorHAnsi"/>
          <w:sz w:val="21"/>
          <w:szCs w:val="21"/>
        </w:rPr>
        <w:t xml:space="preserve">substance scale </w:t>
      </w:r>
      <w:r w:rsidR="000C1645">
        <w:rPr>
          <w:rFonts w:cstheme="minorHAnsi"/>
          <w:sz w:val="21"/>
          <w:szCs w:val="21"/>
        </w:rPr>
        <w:t>wa</w:t>
      </w:r>
      <w:r w:rsidR="00C20E84">
        <w:rPr>
          <w:rFonts w:cstheme="minorHAnsi"/>
          <w:sz w:val="21"/>
          <w:szCs w:val="21"/>
        </w:rPr>
        <w:t xml:space="preserve">s average </w:t>
      </w:r>
      <w:r w:rsidR="00C20E84" w:rsidRPr="00A20FF4">
        <w:rPr>
          <w:rFonts w:cstheme="minorHAnsi"/>
          <w:sz w:val="21"/>
          <w:szCs w:val="21"/>
        </w:rPr>
        <w:t xml:space="preserve">or above, </w:t>
      </w:r>
      <w:r w:rsidR="005B4900" w:rsidRPr="00A20FF4">
        <w:rPr>
          <w:rFonts w:cstheme="minorHAnsi"/>
          <w:sz w:val="21"/>
          <w:szCs w:val="21"/>
        </w:rPr>
        <w:t xml:space="preserve">that </w:t>
      </w:r>
      <w:r w:rsidR="00C20E84" w:rsidRPr="00A20FF4">
        <w:rPr>
          <w:rFonts w:cstheme="minorHAnsi"/>
          <w:sz w:val="21"/>
          <w:szCs w:val="21"/>
        </w:rPr>
        <w:t>he</w:t>
      </w:r>
      <w:r w:rsidR="00A20FF4" w:rsidRPr="00A20FF4">
        <w:rPr>
          <w:rFonts w:cstheme="minorHAnsi"/>
          <w:sz w:val="21"/>
          <w:szCs w:val="21"/>
        </w:rPr>
        <w:t>/</w:t>
      </w:r>
      <w:r w:rsidR="00C20E84" w:rsidRPr="00A20FF4">
        <w:rPr>
          <w:rFonts w:cstheme="minorHAnsi"/>
          <w:sz w:val="21"/>
          <w:szCs w:val="21"/>
        </w:rPr>
        <w:t xml:space="preserve">she </w:t>
      </w:r>
      <w:r w:rsidR="00976596">
        <w:rPr>
          <w:rFonts w:cstheme="minorHAnsi"/>
          <w:sz w:val="21"/>
          <w:szCs w:val="21"/>
        </w:rPr>
        <w:t>would benefit from a</w:t>
      </w:r>
      <w:r w:rsidR="00C20E84" w:rsidRPr="00A20FF4">
        <w:rPr>
          <w:rFonts w:cstheme="minorHAnsi"/>
          <w:sz w:val="21"/>
          <w:szCs w:val="21"/>
        </w:rPr>
        <w:t xml:space="preserve"> </w:t>
      </w:r>
      <w:r w:rsidR="005B4900" w:rsidRPr="00A20FF4">
        <w:rPr>
          <w:rFonts w:cstheme="minorHAnsi"/>
          <w:sz w:val="21"/>
          <w:szCs w:val="21"/>
        </w:rPr>
        <w:t xml:space="preserve">supplemental </w:t>
      </w:r>
      <w:r w:rsidR="00C20E84" w:rsidRPr="00A20FF4">
        <w:rPr>
          <w:rFonts w:cstheme="minorHAnsi"/>
          <w:sz w:val="21"/>
          <w:szCs w:val="21"/>
        </w:rPr>
        <w:t>substance use assessment. This intervention w</w:t>
      </w:r>
      <w:r w:rsidR="005B4900" w:rsidRPr="00A20FF4">
        <w:rPr>
          <w:rFonts w:cstheme="minorHAnsi"/>
          <w:sz w:val="21"/>
          <w:szCs w:val="21"/>
        </w:rPr>
        <w:t>ould</w:t>
      </w:r>
      <w:r w:rsidR="00C20E84" w:rsidRPr="00A20FF4">
        <w:rPr>
          <w:rFonts w:cstheme="minorHAnsi"/>
          <w:sz w:val="21"/>
          <w:szCs w:val="21"/>
        </w:rPr>
        <w:t xml:space="preserve"> identify early in</w:t>
      </w:r>
      <w:r w:rsidR="00C20E84">
        <w:rPr>
          <w:rFonts w:cstheme="minorHAnsi"/>
          <w:sz w:val="21"/>
          <w:szCs w:val="21"/>
        </w:rPr>
        <w:t xml:space="preserve"> program services a client’s need</w:t>
      </w:r>
      <w:r w:rsidR="000C1645">
        <w:rPr>
          <w:rFonts w:cstheme="minorHAnsi"/>
          <w:sz w:val="21"/>
          <w:szCs w:val="21"/>
        </w:rPr>
        <w:t xml:space="preserve"> and referral made</w:t>
      </w:r>
      <w:r w:rsidR="00C20E84">
        <w:rPr>
          <w:rFonts w:cstheme="minorHAnsi"/>
          <w:sz w:val="21"/>
          <w:szCs w:val="21"/>
        </w:rPr>
        <w:t xml:space="preserve"> for programs with promise of reducing consumption</w:t>
      </w:r>
      <w:r w:rsidR="005B4900">
        <w:rPr>
          <w:rFonts w:cstheme="minorHAnsi"/>
          <w:sz w:val="21"/>
          <w:szCs w:val="21"/>
        </w:rPr>
        <w:t xml:space="preserve"> and reoffending</w:t>
      </w:r>
      <w:r w:rsidR="00C20E84">
        <w:rPr>
          <w:rFonts w:cstheme="minorHAnsi"/>
          <w:sz w:val="21"/>
          <w:szCs w:val="21"/>
        </w:rPr>
        <w:t>.</w:t>
      </w:r>
    </w:p>
    <w:p w:rsidR="00C20E84" w:rsidRDefault="00C20E84" w:rsidP="006D7A06">
      <w:pPr>
        <w:spacing w:after="0" w:line="240" w:lineRule="auto"/>
        <w:jc w:val="both"/>
        <w:rPr>
          <w:rFonts w:cstheme="minorHAnsi"/>
          <w:sz w:val="21"/>
          <w:szCs w:val="21"/>
        </w:rPr>
      </w:pPr>
    </w:p>
    <w:p w:rsidR="00F11CD8" w:rsidRDefault="00C20E84" w:rsidP="006D7A06">
      <w:pPr>
        <w:spacing w:after="0" w:line="240" w:lineRule="auto"/>
        <w:jc w:val="both"/>
        <w:rPr>
          <w:rFonts w:cstheme="minorHAnsi"/>
          <w:sz w:val="21"/>
          <w:szCs w:val="21"/>
        </w:rPr>
      </w:pPr>
      <w:r>
        <w:rPr>
          <w:rFonts w:asciiTheme="minorHAnsi" w:hAnsiTheme="minorHAnsi" w:cstheme="minorHAnsi"/>
          <w:b/>
          <w:sz w:val="24"/>
          <w:szCs w:val="24"/>
        </w:rPr>
        <w:t xml:space="preserve">Response </w:t>
      </w:r>
      <w:r w:rsidR="00535399">
        <w:rPr>
          <w:rFonts w:asciiTheme="minorHAnsi" w:hAnsiTheme="minorHAnsi" w:cstheme="minorHAnsi"/>
          <w:b/>
          <w:sz w:val="24"/>
          <w:szCs w:val="24"/>
        </w:rPr>
        <w:t>to</w:t>
      </w:r>
      <w:r>
        <w:rPr>
          <w:rFonts w:asciiTheme="minorHAnsi" w:hAnsiTheme="minorHAnsi" w:cstheme="minorHAnsi"/>
          <w:b/>
          <w:sz w:val="24"/>
          <w:szCs w:val="24"/>
        </w:rPr>
        <w:t xml:space="preserve"> Diversion Programs</w:t>
      </w:r>
      <w:r w:rsidR="00732CA7">
        <w:rPr>
          <w:rFonts w:asciiTheme="minorHAnsi" w:hAnsiTheme="minorHAnsi" w:cstheme="minorHAnsi"/>
          <w:b/>
          <w:sz w:val="24"/>
          <w:szCs w:val="24"/>
        </w:rPr>
        <w:t xml:space="preserve"> Reoffending</w:t>
      </w:r>
      <w:r>
        <w:rPr>
          <w:rFonts w:asciiTheme="minorHAnsi" w:hAnsiTheme="minorHAnsi" w:cstheme="minorHAnsi"/>
          <w:b/>
          <w:sz w:val="24"/>
          <w:szCs w:val="24"/>
        </w:rPr>
        <w:t xml:space="preserve"> and the Need for Intervention</w:t>
      </w:r>
      <w:r>
        <w:rPr>
          <w:rFonts w:cstheme="minorHAnsi"/>
          <w:sz w:val="21"/>
          <w:szCs w:val="21"/>
        </w:rPr>
        <w:t xml:space="preserve">   When statistics on response to YouthZone </w:t>
      </w:r>
      <w:r w:rsidR="00535399">
        <w:rPr>
          <w:rFonts w:cstheme="minorHAnsi"/>
          <w:sz w:val="21"/>
          <w:szCs w:val="21"/>
        </w:rPr>
        <w:t xml:space="preserve">overall </w:t>
      </w:r>
      <w:r>
        <w:rPr>
          <w:rFonts w:cstheme="minorHAnsi"/>
          <w:sz w:val="21"/>
          <w:szCs w:val="21"/>
        </w:rPr>
        <w:t xml:space="preserve">diversion programs </w:t>
      </w:r>
      <w:r w:rsidR="00535399">
        <w:rPr>
          <w:rFonts w:cstheme="minorHAnsi"/>
          <w:sz w:val="21"/>
          <w:szCs w:val="21"/>
        </w:rPr>
        <w:t>were</w:t>
      </w:r>
      <w:r>
        <w:rPr>
          <w:rFonts w:cstheme="minorHAnsi"/>
          <w:sz w:val="21"/>
          <w:szCs w:val="21"/>
        </w:rPr>
        <w:t xml:space="preserve"> disaggregated by client’s placement in categories of </w:t>
      </w:r>
      <w:r w:rsidR="005E398A">
        <w:rPr>
          <w:rFonts w:cstheme="minorHAnsi"/>
          <w:sz w:val="21"/>
          <w:szCs w:val="21"/>
        </w:rPr>
        <w:t>“</w:t>
      </w:r>
      <w:r>
        <w:rPr>
          <w:rFonts w:cstheme="minorHAnsi"/>
          <w:sz w:val="21"/>
          <w:szCs w:val="21"/>
        </w:rPr>
        <w:t>non-use,</w:t>
      </w:r>
      <w:r w:rsidR="005E398A">
        <w:rPr>
          <w:rFonts w:cstheme="minorHAnsi"/>
          <w:sz w:val="21"/>
          <w:szCs w:val="21"/>
        </w:rPr>
        <w:t>”</w:t>
      </w:r>
      <w:r>
        <w:rPr>
          <w:rFonts w:cstheme="minorHAnsi"/>
          <w:sz w:val="21"/>
          <w:szCs w:val="21"/>
        </w:rPr>
        <w:t xml:space="preserve"> </w:t>
      </w:r>
      <w:r w:rsidR="005E398A">
        <w:rPr>
          <w:rFonts w:cstheme="minorHAnsi"/>
          <w:sz w:val="21"/>
          <w:szCs w:val="21"/>
        </w:rPr>
        <w:t>“</w:t>
      </w:r>
      <w:r>
        <w:rPr>
          <w:rFonts w:cstheme="minorHAnsi"/>
          <w:sz w:val="21"/>
          <w:szCs w:val="21"/>
        </w:rPr>
        <w:t>occasional-use,</w:t>
      </w:r>
      <w:r w:rsidR="005E398A">
        <w:rPr>
          <w:rFonts w:cstheme="minorHAnsi"/>
          <w:sz w:val="21"/>
          <w:szCs w:val="21"/>
        </w:rPr>
        <w:t>”</w:t>
      </w:r>
      <w:r>
        <w:rPr>
          <w:rFonts w:cstheme="minorHAnsi"/>
          <w:sz w:val="21"/>
          <w:szCs w:val="21"/>
        </w:rPr>
        <w:t xml:space="preserve"> and </w:t>
      </w:r>
      <w:r w:rsidR="005E398A">
        <w:rPr>
          <w:rFonts w:cstheme="minorHAnsi"/>
          <w:sz w:val="21"/>
          <w:szCs w:val="21"/>
        </w:rPr>
        <w:t>“</w:t>
      </w:r>
      <w:r>
        <w:rPr>
          <w:rFonts w:cstheme="minorHAnsi"/>
          <w:sz w:val="21"/>
          <w:szCs w:val="21"/>
        </w:rPr>
        <w:t>regular-use,</w:t>
      </w:r>
      <w:r w:rsidR="005E398A">
        <w:rPr>
          <w:rFonts w:cstheme="minorHAnsi"/>
          <w:sz w:val="21"/>
          <w:szCs w:val="21"/>
        </w:rPr>
        <w:t>”</w:t>
      </w:r>
      <w:r>
        <w:rPr>
          <w:rFonts w:cstheme="minorHAnsi"/>
          <w:sz w:val="21"/>
          <w:szCs w:val="21"/>
        </w:rPr>
        <w:t xml:space="preserve"> it became clear in the evaluation how </w:t>
      </w:r>
      <w:r w:rsidR="00535399">
        <w:rPr>
          <w:rFonts w:cstheme="minorHAnsi"/>
          <w:sz w:val="21"/>
          <w:szCs w:val="21"/>
        </w:rPr>
        <w:t>detrimental</w:t>
      </w:r>
      <w:r>
        <w:rPr>
          <w:rFonts w:cstheme="minorHAnsi"/>
          <w:sz w:val="21"/>
          <w:szCs w:val="21"/>
        </w:rPr>
        <w:t xml:space="preserve"> marijuana and other substance use was to </w:t>
      </w:r>
      <w:r w:rsidR="00535399">
        <w:rPr>
          <w:rFonts w:cstheme="minorHAnsi"/>
          <w:sz w:val="21"/>
          <w:szCs w:val="21"/>
        </w:rPr>
        <w:t xml:space="preserve">clients’ </w:t>
      </w:r>
      <w:r w:rsidR="005E398A">
        <w:rPr>
          <w:rFonts w:cstheme="minorHAnsi"/>
          <w:sz w:val="21"/>
          <w:szCs w:val="21"/>
        </w:rPr>
        <w:t>overcoming</w:t>
      </w:r>
      <w:r>
        <w:rPr>
          <w:rFonts w:cstheme="minorHAnsi"/>
          <w:sz w:val="21"/>
          <w:szCs w:val="21"/>
        </w:rPr>
        <w:t xml:space="preserve"> delinquent attitudes and behavior. </w:t>
      </w:r>
      <w:r w:rsidR="005023CB">
        <w:rPr>
          <w:rFonts w:cstheme="minorHAnsi"/>
          <w:sz w:val="21"/>
          <w:szCs w:val="21"/>
        </w:rPr>
        <w:t>A boy or girl beginning case management who g</w:t>
      </w:r>
      <w:r w:rsidR="00AF7A5F">
        <w:rPr>
          <w:rFonts w:cstheme="minorHAnsi"/>
          <w:sz w:val="21"/>
          <w:szCs w:val="21"/>
        </w:rPr>
        <w:t>a</w:t>
      </w:r>
      <w:r w:rsidR="005023CB">
        <w:rPr>
          <w:rFonts w:cstheme="minorHAnsi"/>
          <w:sz w:val="21"/>
          <w:szCs w:val="21"/>
        </w:rPr>
        <w:t>ve</w:t>
      </w:r>
      <w:r w:rsidR="00AF7A5F">
        <w:rPr>
          <w:rFonts w:cstheme="minorHAnsi"/>
          <w:sz w:val="21"/>
          <w:szCs w:val="21"/>
        </w:rPr>
        <w:t xml:space="preserve"> a history of regular</w:t>
      </w:r>
      <w:r w:rsidR="005023CB">
        <w:rPr>
          <w:rFonts w:cstheme="minorHAnsi"/>
          <w:sz w:val="21"/>
          <w:szCs w:val="21"/>
        </w:rPr>
        <w:t>/dependen</w:t>
      </w:r>
      <w:r w:rsidR="00AF7A5F">
        <w:rPr>
          <w:rFonts w:cstheme="minorHAnsi"/>
          <w:sz w:val="21"/>
          <w:szCs w:val="21"/>
        </w:rPr>
        <w:t>t us</w:t>
      </w:r>
      <w:r w:rsidR="004E708E">
        <w:rPr>
          <w:rFonts w:cstheme="minorHAnsi"/>
          <w:sz w:val="21"/>
          <w:szCs w:val="21"/>
        </w:rPr>
        <w:t>e</w:t>
      </w:r>
      <w:r w:rsidR="00AF7A5F">
        <w:rPr>
          <w:rFonts w:cstheme="minorHAnsi"/>
          <w:sz w:val="21"/>
          <w:szCs w:val="21"/>
        </w:rPr>
        <w:t xml:space="preserve"> revealed </w:t>
      </w:r>
      <w:r w:rsidR="007A58B3">
        <w:rPr>
          <w:rFonts w:cstheme="minorHAnsi"/>
          <w:sz w:val="21"/>
          <w:szCs w:val="21"/>
        </w:rPr>
        <w:t xml:space="preserve">they </w:t>
      </w:r>
      <w:r w:rsidR="003B37E1">
        <w:rPr>
          <w:rFonts w:cstheme="minorHAnsi"/>
          <w:sz w:val="21"/>
          <w:szCs w:val="21"/>
        </w:rPr>
        <w:t>we</w:t>
      </w:r>
      <w:r w:rsidR="007A58B3">
        <w:rPr>
          <w:rFonts w:cstheme="minorHAnsi"/>
          <w:sz w:val="21"/>
          <w:szCs w:val="21"/>
        </w:rPr>
        <w:t>re less optimistic about their futures, less engaged at school, ha</w:t>
      </w:r>
      <w:r w:rsidR="003B37E1">
        <w:rPr>
          <w:rFonts w:cstheme="minorHAnsi"/>
          <w:sz w:val="21"/>
          <w:szCs w:val="21"/>
        </w:rPr>
        <w:t>d</w:t>
      </w:r>
      <w:r w:rsidR="007A58B3">
        <w:rPr>
          <w:rFonts w:cstheme="minorHAnsi"/>
          <w:sz w:val="21"/>
          <w:szCs w:val="21"/>
        </w:rPr>
        <w:t xml:space="preserve"> more anti-authori</w:t>
      </w:r>
      <w:r w:rsidR="004E708E">
        <w:rPr>
          <w:rFonts w:cstheme="minorHAnsi"/>
          <w:sz w:val="21"/>
          <w:szCs w:val="21"/>
        </w:rPr>
        <w:t xml:space="preserve">tarian </w:t>
      </w:r>
      <w:r w:rsidR="007A58B3">
        <w:rPr>
          <w:rFonts w:cstheme="minorHAnsi"/>
          <w:sz w:val="21"/>
          <w:szCs w:val="21"/>
        </w:rPr>
        <w:t xml:space="preserve">attitudes and antisocial behavior, </w:t>
      </w:r>
      <w:r w:rsidR="001A0137">
        <w:rPr>
          <w:rFonts w:cstheme="minorHAnsi"/>
          <w:sz w:val="21"/>
          <w:szCs w:val="21"/>
        </w:rPr>
        <w:t>and low</w:t>
      </w:r>
      <w:r w:rsidR="003B37E1">
        <w:rPr>
          <w:rFonts w:cstheme="minorHAnsi"/>
          <w:sz w:val="21"/>
          <w:szCs w:val="21"/>
        </w:rPr>
        <w:t>er</w:t>
      </w:r>
      <w:r w:rsidR="001A0137">
        <w:rPr>
          <w:rFonts w:cstheme="minorHAnsi"/>
          <w:sz w:val="21"/>
          <w:szCs w:val="21"/>
        </w:rPr>
        <w:t xml:space="preserve"> self-opinion than </w:t>
      </w:r>
      <w:r w:rsidR="003B37E1">
        <w:rPr>
          <w:rFonts w:cstheme="minorHAnsi"/>
          <w:sz w:val="21"/>
          <w:szCs w:val="21"/>
        </w:rPr>
        <w:t>wa</w:t>
      </w:r>
      <w:r w:rsidR="001A0137">
        <w:rPr>
          <w:rFonts w:cstheme="minorHAnsi"/>
          <w:sz w:val="21"/>
          <w:szCs w:val="21"/>
        </w:rPr>
        <w:t xml:space="preserve">s true for other clients. The more involved with substances the more </w:t>
      </w:r>
      <w:r w:rsidR="00F11CD8">
        <w:rPr>
          <w:rFonts w:cstheme="minorHAnsi"/>
          <w:sz w:val="21"/>
          <w:szCs w:val="21"/>
        </w:rPr>
        <w:t xml:space="preserve">maladjusted </w:t>
      </w:r>
      <w:r w:rsidR="0058434D">
        <w:rPr>
          <w:rFonts w:cstheme="minorHAnsi"/>
          <w:sz w:val="21"/>
          <w:szCs w:val="21"/>
        </w:rPr>
        <w:t xml:space="preserve">they </w:t>
      </w:r>
      <w:r w:rsidR="003B37E1">
        <w:rPr>
          <w:rFonts w:cstheme="minorHAnsi"/>
          <w:sz w:val="21"/>
          <w:szCs w:val="21"/>
        </w:rPr>
        <w:t>we</w:t>
      </w:r>
      <w:r w:rsidR="0058434D">
        <w:rPr>
          <w:rFonts w:cstheme="minorHAnsi"/>
          <w:sz w:val="21"/>
          <w:szCs w:val="21"/>
        </w:rPr>
        <w:t>re in all areas of concern with juvenile offenders</w:t>
      </w:r>
      <w:r w:rsidR="00F11CD8">
        <w:rPr>
          <w:rFonts w:cstheme="minorHAnsi"/>
          <w:sz w:val="21"/>
          <w:szCs w:val="21"/>
        </w:rPr>
        <w:t>.</w:t>
      </w:r>
    </w:p>
    <w:p w:rsidR="00F11CD8" w:rsidRDefault="00F11CD8" w:rsidP="006D7A06">
      <w:pPr>
        <w:spacing w:after="0" w:line="240" w:lineRule="auto"/>
        <w:jc w:val="both"/>
        <w:rPr>
          <w:rFonts w:cstheme="minorHAnsi"/>
          <w:sz w:val="21"/>
          <w:szCs w:val="21"/>
        </w:rPr>
      </w:pPr>
    </w:p>
    <w:p w:rsidR="00EB2E3B" w:rsidRDefault="0058434D" w:rsidP="006D7A06">
      <w:pPr>
        <w:spacing w:after="0" w:line="240" w:lineRule="auto"/>
        <w:jc w:val="both"/>
        <w:rPr>
          <w:rFonts w:cstheme="minorHAnsi"/>
          <w:sz w:val="21"/>
          <w:szCs w:val="21"/>
        </w:rPr>
      </w:pPr>
      <w:r>
        <w:rPr>
          <w:rFonts w:cstheme="minorHAnsi"/>
          <w:sz w:val="21"/>
          <w:szCs w:val="21"/>
        </w:rPr>
        <w:t xml:space="preserve">The YouthZone client who is using marijuana regularly and </w:t>
      </w:r>
      <w:r w:rsidR="0004740C">
        <w:rPr>
          <w:rFonts w:cstheme="minorHAnsi"/>
          <w:sz w:val="21"/>
          <w:szCs w:val="21"/>
        </w:rPr>
        <w:t>seeks</w:t>
      </w:r>
      <w:r>
        <w:rPr>
          <w:rFonts w:cstheme="minorHAnsi"/>
          <w:sz w:val="21"/>
          <w:szCs w:val="21"/>
        </w:rPr>
        <w:t xml:space="preserve"> its intoxicating effects</w:t>
      </w:r>
      <w:r w:rsidR="001D1BC1">
        <w:rPr>
          <w:rFonts w:cstheme="minorHAnsi"/>
          <w:sz w:val="21"/>
          <w:szCs w:val="21"/>
        </w:rPr>
        <w:t>,</w:t>
      </w:r>
      <w:r>
        <w:rPr>
          <w:rFonts w:cstheme="minorHAnsi"/>
          <w:sz w:val="21"/>
          <w:szCs w:val="21"/>
        </w:rPr>
        <w:t xml:space="preserve"> as compared to the youth who never uses or experiments occasionally with peers in a social setting</w:t>
      </w:r>
      <w:r w:rsidR="001D1BC1">
        <w:rPr>
          <w:rFonts w:cstheme="minorHAnsi"/>
          <w:sz w:val="21"/>
          <w:szCs w:val="21"/>
        </w:rPr>
        <w:t>,</w:t>
      </w:r>
      <w:r>
        <w:rPr>
          <w:rFonts w:cstheme="minorHAnsi"/>
          <w:sz w:val="21"/>
          <w:szCs w:val="21"/>
        </w:rPr>
        <w:t xml:space="preserve"> does indeed benefit from diver</w:t>
      </w:r>
      <w:r w:rsidRPr="001D1BC1">
        <w:rPr>
          <w:rFonts w:cstheme="minorHAnsi"/>
          <w:sz w:val="21"/>
          <w:szCs w:val="21"/>
        </w:rPr>
        <w:t xml:space="preserve">sion program services, but concludes their involvement with </w:t>
      </w:r>
      <w:r w:rsidR="001D1BC1" w:rsidRPr="001D1BC1">
        <w:rPr>
          <w:rFonts w:cstheme="minorHAnsi"/>
          <w:sz w:val="21"/>
          <w:szCs w:val="21"/>
        </w:rPr>
        <w:t>more behavioral risk factors present</w:t>
      </w:r>
      <w:r w:rsidRPr="001D1BC1">
        <w:rPr>
          <w:rFonts w:cstheme="minorHAnsi"/>
          <w:sz w:val="21"/>
          <w:szCs w:val="21"/>
        </w:rPr>
        <w:t>.</w:t>
      </w:r>
      <w:r w:rsidR="002C51BD" w:rsidRPr="001D1BC1">
        <w:rPr>
          <w:rFonts w:cstheme="minorHAnsi"/>
          <w:sz w:val="21"/>
          <w:szCs w:val="21"/>
        </w:rPr>
        <w:t xml:space="preserve"> </w:t>
      </w:r>
      <w:r w:rsidR="00732CA7" w:rsidRPr="001D1BC1">
        <w:rPr>
          <w:rFonts w:cstheme="minorHAnsi"/>
          <w:sz w:val="21"/>
          <w:szCs w:val="21"/>
        </w:rPr>
        <w:t>These statisti</w:t>
      </w:r>
      <w:r w:rsidR="00732CA7">
        <w:rPr>
          <w:rFonts w:cstheme="minorHAnsi"/>
          <w:sz w:val="21"/>
          <w:szCs w:val="21"/>
        </w:rPr>
        <w:t xml:space="preserve">cal facts are an additional argument for diversion programming specifically for and with an evidence-base of effectiveness with young people using marijuana regularly. </w:t>
      </w:r>
    </w:p>
    <w:p w:rsidR="007E1E74" w:rsidRDefault="007E1E74" w:rsidP="006D7A06">
      <w:pPr>
        <w:spacing w:after="0" w:line="240" w:lineRule="auto"/>
        <w:jc w:val="both"/>
        <w:rPr>
          <w:rFonts w:cstheme="minorHAnsi"/>
          <w:bCs/>
          <w:sz w:val="21"/>
          <w:szCs w:val="21"/>
        </w:rPr>
      </w:pPr>
      <w:r>
        <w:rPr>
          <w:rFonts w:asciiTheme="minorHAnsi" w:hAnsiTheme="minorHAnsi" w:cstheme="minorHAnsi"/>
          <w:b/>
          <w:sz w:val="24"/>
          <w:szCs w:val="24"/>
        </w:rPr>
        <w:t>Evidence-Based Intervention</w:t>
      </w:r>
      <w:r>
        <w:rPr>
          <w:rFonts w:cstheme="minorHAnsi"/>
          <w:sz w:val="21"/>
          <w:szCs w:val="21"/>
        </w:rPr>
        <w:t xml:space="preserve">   </w:t>
      </w:r>
      <w:r w:rsidR="00D83835">
        <w:rPr>
          <w:rFonts w:cstheme="minorHAnsi"/>
          <w:sz w:val="21"/>
          <w:szCs w:val="21"/>
        </w:rPr>
        <w:t xml:space="preserve">A consensus of research on programs for substance-using youth in community-based diversion settings is that </w:t>
      </w:r>
      <w:r w:rsidR="00D83835">
        <w:rPr>
          <w:rFonts w:cstheme="minorHAnsi"/>
          <w:bCs/>
          <w:sz w:val="21"/>
          <w:szCs w:val="21"/>
        </w:rPr>
        <w:t>l</w:t>
      </w:r>
      <w:r w:rsidR="00D83835" w:rsidRPr="00D83835">
        <w:rPr>
          <w:rFonts w:cstheme="minorHAnsi"/>
          <w:bCs/>
          <w:sz w:val="21"/>
          <w:szCs w:val="21"/>
        </w:rPr>
        <w:t>ittle is known about what may distinguish effective and ineffective in</w:t>
      </w:r>
      <w:r w:rsidR="00D83835" w:rsidRPr="001D1BC1">
        <w:rPr>
          <w:rFonts w:cstheme="minorHAnsi"/>
          <w:bCs/>
          <w:sz w:val="21"/>
          <w:szCs w:val="21"/>
        </w:rPr>
        <w:t>terventions.</w:t>
      </w:r>
      <w:r w:rsidR="005F5FB0" w:rsidRPr="001D1BC1">
        <w:rPr>
          <w:rFonts w:cstheme="minorHAnsi"/>
          <w:bCs/>
          <w:sz w:val="21"/>
          <w:szCs w:val="21"/>
        </w:rPr>
        <w:t xml:space="preserve"> </w:t>
      </w:r>
      <w:r w:rsidR="008F7CAD">
        <w:rPr>
          <w:rFonts w:cstheme="minorHAnsi"/>
          <w:bCs/>
          <w:sz w:val="21"/>
          <w:szCs w:val="21"/>
        </w:rPr>
        <w:t>The f</w:t>
      </w:r>
      <w:r w:rsidR="005F5FB0" w:rsidRPr="001D1BC1">
        <w:rPr>
          <w:rFonts w:cstheme="minorHAnsi"/>
          <w:bCs/>
          <w:sz w:val="21"/>
          <w:szCs w:val="21"/>
        </w:rPr>
        <w:t xml:space="preserve">ive models </w:t>
      </w:r>
      <w:r w:rsidR="001D1BC1" w:rsidRPr="001D1BC1">
        <w:rPr>
          <w:rFonts w:cstheme="minorHAnsi"/>
          <w:bCs/>
          <w:sz w:val="21"/>
          <w:szCs w:val="21"/>
        </w:rPr>
        <w:t xml:space="preserve">receiving the greatest </w:t>
      </w:r>
      <w:r w:rsidR="008F7CAD">
        <w:rPr>
          <w:rFonts w:cstheme="minorHAnsi"/>
          <w:bCs/>
          <w:sz w:val="21"/>
          <w:szCs w:val="21"/>
        </w:rPr>
        <w:t xml:space="preserve">national </w:t>
      </w:r>
      <w:r w:rsidR="001D1BC1" w:rsidRPr="001D1BC1">
        <w:rPr>
          <w:rFonts w:cstheme="minorHAnsi"/>
          <w:bCs/>
          <w:sz w:val="21"/>
          <w:szCs w:val="21"/>
        </w:rPr>
        <w:t>research attention now</w:t>
      </w:r>
      <w:r w:rsidR="005F5FB0" w:rsidRPr="001D1BC1">
        <w:rPr>
          <w:rFonts w:cstheme="minorHAnsi"/>
          <w:bCs/>
          <w:sz w:val="21"/>
          <w:szCs w:val="21"/>
        </w:rPr>
        <w:t>:</w:t>
      </w:r>
    </w:p>
    <w:p w:rsidR="005F5FB0" w:rsidRPr="0036174A" w:rsidRDefault="005F5FB0" w:rsidP="005F5FB0">
      <w:pPr>
        <w:pStyle w:val="ListParagraph"/>
        <w:numPr>
          <w:ilvl w:val="0"/>
          <w:numId w:val="5"/>
        </w:numPr>
        <w:spacing w:after="0" w:line="240" w:lineRule="auto"/>
        <w:jc w:val="both"/>
        <w:rPr>
          <w:rFonts w:cstheme="minorHAnsi"/>
          <w:sz w:val="21"/>
          <w:szCs w:val="21"/>
        </w:rPr>
      </w:pPr>
      <w:r>
        <w:rPr>
          <w:rFonts w:cstheme="minorHAnsi"/>
          <w:bCs/>
          <w:sz w:val="21"/>
          <w:szCs w:val="21"/>
        </w:rPr>
        <w:t>A</w:t>
      </w:r>
      <w:r w:rsidRPr="005F5FB0">
        <w:rPr>
          <w:rFonts w:cstheme="minorHAnsi"/>
          <w:bCs/>
          <w:sz w:val="21"/>
          <w:szCs w:val="21"/>
        </w:rPr>
        <w:t xml:space="preserve"> 6-week intervention consisting of two sessions of individual motivational enhancement therapy plus three sessions of group cognitive behavioral therapy (MET/CBT5)</w:t>
      </w:r>
    </w:p>
    <w:p w:rsidR="0036174A" w:rsidRPr="0036174A" w:rsidRDefault="0036174A" w:rsidP="005F5FB0">
      <w:pPr>
        <w:pStyle w:val="ListParagraph"/>
        <w:numPr>
          <w:ilvl w:val="0"/>
          <w:numId w:val="5"/>
        </w:numPr>
        <w:spacing w:after="0" w:line="240" w:lineRule="auto"/>
        <w:jc w:val="both"/>
        <w:rPr>
          <w:rFonts w:cstheme="minorHAnsi"/>
          <w:sz w:val="21"/>
          <w:szCs w:val="21"/>
        </w:rPr>
      </w:pPr>
      <w:r>
        <w:rPr>
          <w:rFonts w:cstheme="minorHAnsi"/>
          <w:bCs/>
          <w:sz w:val="21"/>
          <w:szCs w:val="21"/>
        </w:rPr>
        <w:t>A</w:t>
      </w:r>
      <w:r w:rsidRPr="0036174A">
        <w:rPr>
          <w:rFonts w:cstheme="minorHAnsi"/>
          <w:bCs/>
          <w:sz w:val="21"/>
          <w:szCs w:val="21"/>
        </w:rPr>
        <w:t xml:space="preserve"> 12-week intervention consisting of two sessions of motivational enhancement therapy plus 10 sessions of group cognitive behaviora</w:t>
      </w:r>
      <w:r>
        <w:rPr>
          <w:rFonts w:cstheme="minorHAnsi"/>
          <w:bCs/>
          <w:sz w:val="21"/>
          <w:szCs w:val="21"/>
        </w:rPr>
        <w:t>l therapy treatment (MET/CBT12)</w:t>
      </w:r>
    </w:p>
    <w:p w:rsidR="0036174A" w:rsidRPr="0036174A" w:rsidRDefault="0036174A" w:rsidP="005F5FB0">
      <w:pPr>
        <w:pStyle w:val="ListParagraph"/>
        <w:numPr>
          <w:ilvl w:val="0"/>
          <w:numId w:val="5"/>
        </w:numPr>
        <w:spacing w:after="0" w:line="240" w:lineRule="auto"/>
        <w:jc w:val="both"/>
        <w:rPr>
          <w:rFonts w:cstheme="minorHAnsi"/>
          <w:sz w:val="21"/>
          <w:szCs w:val="21"/>
        </w:rPr>
      </w:pPr>
      <w:r>
        <w:rPr>
          <w:rFonts w:cstheme="minorHAnsi"/>
          <w:bCs/>
          <w:sz w:val="21"/>
          <w:szCs w:val="21"/>
        </w:rPr>
        <w:t>A</w:t>
      </w:r>
      <w:r w:rsidRPr="0036174A">
        <w:rPr>
          <w:rFonts w:cstheme="minorHAnsi"/>
          <w:bCs/>
          <w:sz w:val="21"/>
          <w:szCs w:val="21"/>
        </w:rPr>
        <w:t xml:space="preserve"> 12-week intervention consisting of MET/CBT </w:t>
      </w:r>
      <w:r>
        <w:rPr>
          <w:rFonts w:cstheme="minorHAnsi"/>
          <w:bCs/>
          <w:sz w:val="21"/>
          <w:szCs w:val="21"/>
        </w:rPr>
        <w:t>plus the family support network</w:t>
      </w:r>
      <w:r w:rsidRPr="0036174A">
        <w:rPr>
          <w:rFonts w:cstheme="minorHAnsi"/>
          <w:bCs/>
          <w:sz w:val="21"/>
          <w:szCs w:val="21"/>
        </w:rPr>
        <w:t>, a multi-component intervention that includes parent education, family therapy and case management</w:t>
      </w:r>
    </w:p>
    <w:p w:rsidR="0036174A" w:rsidRPr="0036174A" w:rsidRDefault="0036174A" w:rsidP="005F5FB0">
      <w:pPr>
        <w:pStyle w:val="ListParagraph"/>
        <w:numPr>
          <w:ilvl w:val="0"/>
          <w:numId w:val="5"/>
        </w:numPr>
        <w:spacing w:after="0" w:line="240" w:lineRule="auto"/>
        <w:jc w:val="both"/>
        <w:rPr>
          <w:rFonts w:cstheme="minorHAnsi"/>
          <w:sz w:val="21"/>
          <w:szCs w:val="21"/>
        </w:rPr>
      </w:pPr>
      <w:r>
        <w:rPr>
          <w:rFonts w:cstheme="minorHAnsi"/>
          <w:bCs/>
          <w:sz w:val="21"/>
          <w:szCs w:val="21"/>
        </w:rPr>
        <w:t>A</w:t>
      </w:r>
      <w:r w:rsidRPr="0036174A">
        <w:rPr>
          <w:rFonts w:cstheme="minorHAnsi"/>
          <w:bCs/>
          <w:sz w:val="21"/>
          <w:szCs w:val="21"/>
        </w:rPr>
        <w:t xml:space="preserve"> 12-week intervention based on the adolescent community reinforcement approach (</w:t>
      </w:r>
      <w:proofErr w:type="spellStart"/>
      <w:r w:rsidRPr="0036174A">
        <w:rPr>
          <w:rFonts w:cstheme="minorHAnsi"/>
          <w:bCs/>
          <w:sz w:val="21"/>
          <w:szCs w:val="21"/>
        </w:rPr>
        <w:t>ACRA</w:t>
      </w:r>
      <w:proofErr w:type="spellEnd"/>
      <w:r w:rsidRPr="0036174A">
        <w:rPr>
          <w:rFonts w:cstheme="minorHAnsi"/>
          <w:bCs/>
          <w:sz w:val="21"/>
          <w:szCs w:val="21"/>
        </w:rPr>
        <w:t>), an individual behavioral treatment approach designed to help adolescents and their parents reshape their environment and learn new skills</w:t>
      </w:r>
    </w:p>
    <w:p w:rsidR="0036174A" w:rsidRPr="005F5FB0" w:rsidRDefault="0036174A" w:rsidP="005F5FB0">
      <w:pPr>
        <w:pStyle w:val="ListParagraph"/>
        <w:numPr>
          <w:ilvl w:val="0"/>
          <w:numId w:val="5"/>
        </w:numPr>
        <w:spacing w:after="0" w:line="240" w:lineRule="auto"/>
        <w:jc w:val="both"/>
        <w:rPr>
          <w:rFonts w:cstheme="minorHAnsi"/>
          <w:sz w:val="21"/>
          <w:szCs w:val="21"/>
        </w:rPr>
      </w:pPr>
      <w:r>
        <w:rPr>
          <w:rFonts w:cstheme="minorHAnsi"/>
          <w:bCs/>
          <w:sz w:val="21"/>
          <w:szCs w:val="21"/>
        </w:rPr>
        <w:t>M</w:t>
      </w:r>
      <w:r w:rsidRPr="0036174A">
        <w:rPr>
          <w:rFonts w:cstheme="minorHAnsi"/>
          <w:bCs/>
          <w:sz w:val="21"/>
          <w:szCs w:val="21"/>
        </w:rPr>
        <w:t>ulti-dimensional family therapy (MDFT), a multi-faceted, developmentally and contextually oriented family-based model targeting individual, family and social systems</w:t>
      </w:r>
    </w:p>
    <w:p w:rsidR="00621384" w:rsidRPr="00621384" w:rsidRDefault="00621384" w:rsidP="005E4578">
      <w:pPr>
        <w:spacing w:after="0" w:line="240" w:lineRule="auto"/>
        <w:jc w:val="both"/>
        <w:rPr>
          <w:sz w:val="16"/>
          <w:szCs w:val="16"/>
        </w:rPr>
      </w:pPr>
    </w:p>
    <w:p w:rsidR="00DB403B" w:rsidRDefault="00621384" w:rsidP="005E4578">
      <w:pPr>
        <w:spacing w:after="0" w:line="240" w:lineRule="auto"/>
        <w:jc w:val="both"/>
        <w:rPr>
          <w:sz w:val="21"/>
          <w:szCs w:val="21"/>
        </w:rPr>
      </w:pPr>
      <w:r w:rsidRPr="00621384">
        <w:rPr>
          <w:sz w:val="21"/>
          <w:szCs w:val="21"/>
        </w:rPr>
        <w:t xml:space="preserve">Outcomes at one-year </w:t>
      </w:r>
      <w:r>
        <w:rPr>
          <w:sz w:val="21"/>
          <w:szCs w:val="21"/>
        </w:rPr>
        <w:t xml:space="preserve">have </w:t>
      </w:r>
      <w:r w:rsidRPr="00621384">
        <w:rPr>
          <w:sz w:val="21"/>
          <w:szCs w:val="21"/>
        </w:rPr>
        <w:t xml:space="preserve">indicated that though the treatments </w:t>
      </w:r>
      <w:r>
        <w:rPr>
          <w:sz w:val="21"/>
          <w:szCs w:val="21"/>
        </w:rPr>
        <w:t xml:space="preserve">for marijuana dependence </w:t>
      </w:r>
      <w:r w:rsidRPr="00621384">
        <w:rPr>
          <w:sz w:val="21"/>
          <w:szCs w:val="21"/>
        </w:rPr>
        <w:t xml:space="preserve">were more effective than </w:t>
      </w:r>
      <w:r w:rsidR="0060279D">
        <w:rPr>
          <w:sz w:val="21"/>
          <w:szCs w:val="21"/>
        </w:rPr>
        <w:t xml:space="preserve">less systematized </w:t>
      </w:r>
      <w:r w:rsidRPr="00621384">
        <w:rPr>
          <w:sz w:val="21"/>
          <w:szCs w:val="21"/>
        </w:rPr>
        <w:t xml:space="preserve">treatments, </w:t>
      </w:r>
      <w:r w:rsidR="008A75EC">
        <w:rPr>
          <w:sz w:val="21"/>
          <w:szCs w:val="21"/>
        </w:rPr>
        <w:t xml:space="preserve">two-in-three </w:t>
      </w:r>
      <w:r w:rsidRPr="00621384">
        <w:rPr>
          <w:sz w:val="21"/>
          <w:szCs w:val="21"/>
        </w:rPr>
        <w:t xml:space="preserve">adolescents </w:t>
      </w:r>
      <w:r w:rsidR="008A75EC">
        <w:rPr>
          <w:sz w:val="21"/>
          <w:szCs w:val="21"/>
        </w:rPr>
        <w:t xml:space="preserve">were </w:t>
      </w:r>
      <w:r w:rsidRPr="00621384">
        <w:rPr>
          <w:sz w:val="21"/>
          <w:szCs w:val="21"/>
        </w:rPr>
        <w:t>still having problems 12 months later.</w:t>
      </w:r>
    </w:p>
    <w:p w:rsidR="00CB62D6" w:rsidRPr="008A75EC" w:rsidRDefault="00CB62D6" w:rsidP="005E4578">
      <w:pPr>
        <w:spacing w:after="0" w:line="240" w:lineRule="auto"/>
        <w:jc w:val="both"/>
        <w:rPr>
          <w:sz w:val="16"/>
          <w:szCs w:val="16"/>
        </w:rPr>
      </w:pPr>
    </w:p>
    <w:p w:rsidR="00CB62D6" w:rsidRDefault="008A75EC" w:rsidP="005E4578">
      <w:pPr>
        <w:spacing w:after="0" w:line="240" w:lineRule="auto"/>
        <w:jc w:val="both"/>
        <w:rPr>
          <w:sz w:val="21"/>
          <w:szCs w:val="21"/>
        </w:rPr>
      </w:pPr>
      <w:r>
        <w:rPr>
          <w:sz w:val="21"/>
          <w:szCs w:val="21"/>
        </w:rPr>
        <w:t xml:space="preserve">Experience </w:t>
      </w:r>
      <w:r w:rsidR="008707FC">
        <w:rPr>
          <w:sz w:val="21"/>
          <w:szCs w:val="21"/>
        </w:rPr>
        <w:t>in</w:t>
      </w:r>
      <w:r>
        <w:rPr>
          <w:sz w:val="21"/>
          <w:szCs w:val="21"/>
        </w:rPr>
        <w:t xml:space="preserve"> community-based interventions with youth behavioral problems shows that the service setting, available funding, community factors, cultural influences, and individual youth characteristics and circumstances all affect program outcomes. </w:t>
      </w:r>
      <w:r w:rsidR="008707FC">
        <w:rPr>
          <w:sz w:val="21"/>
          <w:szCs w:val="21"/>
        </w:rPr>
        <w:t>It may be a decade or more before promising programs have been aligned with these influential factors so interventions can be tailored to youth for the most favorable results. Until then, youth</w:t>
      </w:r>
      <w:r w:rsidR="00453E86">
        <w:rPr>
          <w:sz w:val="21"/>
          <w:szCs w:val="21"/>
        </w:rPr>
        <w:t>s</w:t>
      </w:r>
      <w:r w:rsidR="008707FC">
        <w:rPr>
          <w:sz w:val="21"/>
          <w:szCs w:val="21"/>
        </w:rPr>
        <w:t xml:space="preserve"> referred to YouthZone and other Colorado diversion programs are best served by local </w:t>
      </w:r>
      <w:r w:rsidR="00453E86">
        <w:rPr>
          <w:sz w:val="21"/>
          <w:szCs w:val="21"/>
        </w:rPr>
        <w:t xml:space="preserve">program </w:t>
      </w:r>
      <w:r w:rsidR="008707FC">
        <w:rPr>
          <w:sz w:val="21"/>
          <w:szCs w:val="21"/>
        </w:rPr>
        <w:t xml:space="preserve">development and testing </w:t>
      </w:r>
      <w:r w:rsidR="00453E86">
        <w:rPr>
          <w:sz w:val="21"/>
          <w:szCs w:val="21"/>
        </w:rPr>
        <w:t>so that substance-using clients leave services with an equal chance at positive youth development as non-using adolescents.</w:t>
      </w:r>
    </w:p>
    <w:p w:rsidR="00453E86" w:rsidRDefault="00453E86" w:rsidP="005E4578">
      <w:pPr>
        <w:spacing w:after="0" w:line="240" w:lineRule="auto"/>
        <w:jc w:val="both"/>
        <w:rPr>
          <w:sz w:val="21"/>
          <w:szCs w:val="21"/>
        </w:rPr>
      </w:pPr>
    </w:p>
    <w:p w:rsidR="00453E86" w:rsidRDefault="00453E86" w:rsidP="005E4578">
      <w:pPr>
        <w:spacing w:after="0" w:line="240" w:lineRule="auto"/>
        <w:jc w:val="both"/>
        <w:rPr>
          <w:sz w:val="21"/>
          <w:szCs w:val="21"/>
        </w:rPr>
      </w:pPr>
    </w:p>
    <w:p w:rsidR="00453E86" w:rsidRDefault="00453E86" w:rsidP="005E4578">
      <w:pPr>
        <w:spacing w:after="0" w:line="240" w:lineRule="auto"/>
        <w:jc w:val="both"/>
        <w:rPr>
          <w:sz w:val="21"/>
          <w:szCs w:val="21"/>
        </w:rPr>
        <w:sectPr w:rsidR="00453E86" w:rsidSect="00CB62D6">
          <w:type w:val="continuous"/>
          <w:pgSz w:w="12240" w:h="15840"/>
          <w:pgMar w:top="720" w:right="720" w:bottom="720" w:left="720" w:header="720" w:footer="720" w:gutter="0"/>
          <w:cols w:num="2" w:space="720"/>
          <w:docGrid w:linePitch="360"/>
        </w:sectPr>
      </w:pPr>
    </w:p>
    <w:p w:rsidR="00453E86" w:rsidRDefault="00453E86" w:rsidP="005E4578">
      <w:pPr>
        <w:spacing w:after="0" w:line="240" w:lineRule="auto"/>
        <w:jc w:val="both"/>
        <w:rPr>
          <w:sz w:val="21"/>
          <w:szCs w:val="21"/>
        </w:rPr>
      </w:pPr>
    </w:p>
    <w:p w:rsidR="00453E86" w:rsidRDefault="00453E86" w:rsidP="00453E86">
      <w:pPr>
        <w:spacing w:after="0" w:line="240" w:lineRule="auto"/>
        <w:jc w:val="center"/>
        <w:rPr>
          <w:sz w:val="21"/>
          <w:szCs w:val="21"/>
        </w:rPr>
      </w:pPr>
      <w:r>
        <w:rPr>
          <w:sz w:val="21"/>
          <w:szCs w:val="21"/>
        </w:rPr>
        <w:t>__________________________________</w:t>
      </w:r>
    </w:p>
    <w:p w:rsidR="00CB62D6" w:rsidRDefault="00CB62D6" w:rsidP="005E4578">
      <w:pPr>
        <w:spacing w:after="0" w:line="240" w:lineRule="auto"/>
        <w:jc w:val="both"/>
        <w:rPr>
          <w:sz w:val="21"/>
          <w:szCs w:val="21"/>
        </w:rPr>
      </w:pPr>
    </w:p>
    <w:p w:rsidR="00CB62D6" w:rsidRPr="005E4578" w:rsidRDefault="00CB62D6" w:rsidP="005E4578">
      <w:pPr>
        <w:spacing w:after="0" w:line="240" w:lineRule="auto"/>
        <w:jc w:val="both"/>
        <w:rPr>
          <w:sz w:val="21"/>
          <w:szCs w:val="21"/>
        </w:rPr>
      </w:pPr>
    </w:p>
    <w:sectPr w:rsidR="00CB62D6" w:rsidRPr="005E4578" w:rsidSect="00453E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80" w:rsidRDefault="00ED7380">
      <w:pPr>
        <w:spacing w:after="0" w:line="240" w:lineRule="auto"/>
      </w:pPr>
      <w:r>
        <w:separator/>
      </w:r>
    </w:p>
  </w:endnote>
  <w:endnote w:type="continuationSeparator" w:id="0">
    <w:p w:rsidR="00ED7380" w:rsidRDefault="00ED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FB" w:rsidRPr="00D55788" w:rsidRDefault="00ED7380" w:rsidP="00D55788">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D1" w:rsidRPr="00AF4FD1" w:rsidRDefault="00AF4FD1" w:rsidP="00AF4FD1">
    <w:pPr>
      <w:pStyle w:val="Footer"/>
      <w:jc w:val="center"/>
      <w:rPr>
        <w:sz w:val="20"/>
        <w:szCs w:val="20"/>
      </w:rPr>
    </w:pPr>
    <w:r>
      <w:rPr>
        <w:sz w:val="20"/>
        <w:szCs w:val="20"/>
      </w:rPr>
      <w:t xml:space="preserve">Prepared by Jerry Evans, Ph.D. </w:t>
    </w:r>
    <w:r>
      <w:rPr>
        <w:rFonts w:ascii="Times New Roman" w:hAnsi="Times New Roman" w:cs="Times New Roman"/>
        <w:sz w:val="20"/>
        <w:szCs w:val="20"/>
      </w:rPr>
      <w:t>▪</w:t>
    </w:r>
    <w:r>
      <w:rPr>
        <w:sz w:val="20"/>
        <w:szCs w:val="20"/>
      </w:rPr>
      <w:t xml:space="preserve"> </w:t>
    </w:r>
    <w:r w:rsidR="00E25416">
      <w:rPr>
        <w:sz w:val="20"/>
        <w:szCs w:val="20"/>
      </w:rPr>
      <w:t>October 26,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D1" w:rsidRPr="00AF4FD1" w:rsidRDefault="00AF4FD1" w:rsidP="00D55788">
    <w:pPr>
      <w:pStyle w:val="Footer"/>
      <w:jc w:val="center"/>
      <w:rPr>
        <w:sz w:val="20"/>
        <w:szCs w:val="20"/>
      </w:rPr>
    </w:pPr>
    <w:r w:rsidRPr="00AF4FD1">
      <w:rPr>
        <w:iCs/>
        <w:sz w:val="20"/>
        <w:szCs w:val="20"/>
      </w:rPr>
      <w:t>Marijuana and other Substance use by Diversion Program Youth</w:t>
    </w:r>
    <w:r>
      <w:rPr>
        <w:iCs/>
        <w:sz w:val="20"/>
        <w:szCs w:val="20"/>
      </w:rPr>
      <w:t xml:space="preserve"> </w:t>
    </w:r>
    <w:r>
      <w:rPr>
        <w:rFonts w:ascii="Times New Roman" w:hAnsi="Times New Roman" w:cs="Times New Roman"/>
        <w:iCs/>
        <w:sz w:val="20"/>
        <w:szCs w:val="20"/>
      </w:rPr>
      <w:t>▪</w:t>
    </w:r>
    <w:r>
      <w:rPr>
        <w:iCs/>
        <w:sz w:val="20"/>
        <w:szCs w:val="20"/>
      </w:rPr>
      <w:t xml:space="preserve"> Page </w:t>
    </w:r>
    <w:r w:rsidRPr="00AF4FD1">
      <w:rPr>
        <w:iCs/>
        <w:sz w:val="20"/>
        <w:szCs w:val="20"/>
      </w:rPr>
      <w:fldChar w:fldCharType="begin"/>
    </w:r>
    <w:r w:rsidRPr="00AF4FD1">
      <w:rPr>
        <w:iCs/>
        <w:sz w:val="20"/>
        <w:szCs w:val="20"/>
      </w:rPr>
      <w:instrText xml:space="preserve"> PAGE   \* MERGEFORMAT </w:instrText>
    </w:r>
    <w:r w:rsidRPr="00AF4FD1">
      <w:rPr>
        <w:iCs/>
        <w:sz w:val="20"/>
        <w:szCs w:val="20"/>
      </w:rPr>
      <w:fldChar w:fldCharType="separate"/>
    </w:r>
    <w:r w:rsidR="00E25416">
      <w:rPr>
        <w:iCs/>
        <w:noProof/>
        <w:sz w:val="20"/>
        <w:szCs w:val="20"/>
      </w:rPr>
      <w:t>5</w:t>
    </w:r>
    <w:r w:rsidRPr="00AF4FD1">
      <w:rPr>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80" w:rsidRDefault="00ED7380">
      <w:pPr>
        <w:spacing w:after="0" w:line="240" w:lineRule="auto"/>
      </w:pPr>
      <w:r>
        <w:separator/>
      </w:r>
    </w:p>
  </w:footnote>
  <w:footnote w:type="continuationSeparator" w:id="0">
    <w:p w:rsidR="00ED7380" w:rsidRDefault="00ED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952"/>
    <w:multiLevelType w:val="hybridMultilevel"/>
    <w:tmpl w:val="54F2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30F0F"/>
    <w:multiLevelType w:val="hybridMultilevel"/>
    <w:tmpl w:val="CB0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978CF"/>
    <w:multiLevelType w:val="hybridMultilevel"/>
    <w:tmpl w:val="FF1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C59A6"/>
    <w:multiLevelType w:val="hybridMultilevel"/>
    <w:tmpl w:val="10A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AEE"/>
    <w:multiLevelType w:val="hybridMultilevel"/>
    <w:tmpl w:val="655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DA"/>
    <w:rsid w:val="00002CA4"/>
    <w:rsid w:val="00004AEE"/>
    <w:rsid w:val="00013C45"/>
    <w:rsid w:val="0004740C"/>
    <w:rsid w:val="00065A71"/>
    <w:rsid w:val="00076DF0"/>
    <w:rsid w:val="00085990"/>
    <w:rsid w:val="000A64D9"/>
    <w:rsid w:val="000C1645"/>
    <w:rsid w:val="000D6E6B"/>
    <w:rsid w:val="00107521"/>
    <w:rsid w:val="00127DF1"/>
    <w:rsid w:val="00137550"/>
    <w:rsid w:val="001518FB"/>
    <w:rsid w:val="00152675"/>
    <w:rsid w:val="00153D46"/>
    <w:rsid w:val="001655EA"/>
    <w:rsid w:val="00186287"/>
    <w:rsid w:val="001921F9"/>
    <w:rsid w:val="001A0137"/>
    <w:rsid w:val="001B174D"/>
    <w:rsid w:val="001D1BC1"/>
    <w:rsid w:val="001D5F0D"/>
    <w:rsid w:val="001E085C"/>
    <w:rsid w:val="001F3DCB"/>
    <w:rsid w:val="001F5B26"/>
    <w:rsid w:val="002040EE"/>
    <w:rsid w:val="00207A5F"/>
    <w:rsid w:val="002136CD"/>
    <w:rsid w:val="0026407C"/>
    <w:rsid w:val="002657B2"/>
    <w:rsid w:val="00270661"/>
    <w:rsid w:val="002B4654"/>
    <w:rsid w:val="002C51BD"/>
    <w:rsid w:val="002F2E95"/>
    <w:rsid w:val="002F67BB"/>
    <w:rsid w:val="00302216"/>
    <w:rsid w:val="00340B59"/>
    <w:rsid w:val="0034548F"/>
    <w:rsid w:val="00350ED4"/>
    <w:rsid w:val="0036174A"/>
    <w:rsid w:val="00392061"/>
    <w:rsid w:val="003946D9"/>
    <w:rsid w:val="00396C86"/>
    <w:rsid w:val="003B37E1"/>
    <w:rsid w:val="003B3A9A"/>
    <w:rsid w:val="003D5FE9"/>
    <w:rsid w:val="003E40CB"/>
    <w:rsid w:val="003F18EF"/>
    <w:rsid w:val="003F3D4F"/>
    <w:rsid w:val="003F60C6"/>
    <w:rsid w:val="00420355"/>
    <w:rsid w:val="00420E7C"/>
    <w:rsid w:val="00452E29"/>
    <w:rsid w:val="00453E86"/>
    <w:rsid w:val="00454050"/>
    <w:rsid w:val="00475339"/>
    <w:rsid w:val="00487C7B"/>
    <w:rsid w:val="004951B9"/>
    <w:rsid w:val="004D3E83"/>
    <w:rsid w:val="004E3BED"/>
    <w:rsid w:val="004E708E"/>
    <w:rsid w:val="005023CB"/>
    <w:rsid w:val="00535399"/>
    <w:rsid w:val="00560D66"/>
    <w:rsid w:val="005710EE"/>
    <w:rsid w:val="00577489"/>
    <w:rsid w:val="0058434D"/>
    <w:rsid w:val="005B4900"/>
    <w:rsid w:val="005B769D"/>
    <w:rsid w:val="005E398A"/>
    <w:rsid w:val="005E4578"/>
    <w:rsid w:val="005F5FB0"/>
    <w:rsid w:val="005F642C"/>
    <w:rsid w:val="0060279D"/>
    <w:rsid w:val="00603609"/>
    <w:rsid w:val="006071AF"/>
    <w:rsid w:val="00621384"/>
    <w:rsid w:val="0062350E"/>
    <w:rsid w:val="0062580D"/>
    <w:rsid w:val="00674078"/>
    <w:rsid w:val="006772C4"/>
    <w:rsid w:val="006813CC"/>
    <w:rsid w:val="006841B0"/>
    <w:rsid w:val="00684C3B"/>
    <w:rsid w:val="006A2100"/>
    <w:rsid w:val="006B1461"/>
    <w:rsid w:val="006B4019"/>
    <w:rsid w:val="006D4B8E"/>
    <w:rsid w:val="006D7A06"/>
    <w:rsid w:val="006E4117"/>
    <w:rsid w:val="00705B36"/>
    <w:rsid w:val="00732CA7"/>
    <w:rsid w:val="00741EDA"/>
    <w:rsid w:val="0076662F"/>
    <w:rsid w:val="00770D62"/>
    <w:rsid w:val="007862DC"/>
    <w:rsid w:val="0078696B"/>
    <w:rsid w:val="007910BC"/>
    <w:rsid w:val="007A58B3"/>
    <w:rsid w:val="007B652A"/>
    <w:rsid w:val="007C3C06"/>
    <w:rsid w:val="007C64E4"/>
    <w:rsid w:val="007E1E74"/>
    <w:rsid w:val="007E6AD2"/>
    <w:rsid w:val="007F0C4B"/>
    <w:rsid w:val="007F2685"/>
    <w:rsid w:val="00814A20"/>
    <w:rsid w:val="0081704C"/>
    <w:rsid w:val="00844B86"/>
    <w:rsid w:val="00846E44"/>
    <w:rsid w:val="00867AEC"/>
    <w:rsid w:val="008707FC"/>
    <w:rsid w:val="00872C8E"/>
    <w:rsid w:val="00881DD1"/>
    <w:rsid w:val="008A01D1"/>
    <w:rsid w:val="008A75EC"/>
    <w:rsid w:val="008B1AE6"/>
    <w:rsid w:val="008D7485"/>
    <w:rsid w:val="008F0D30"/>
    <w:rsid w:val="008F398A"/>
    <w:rsid w:val="008F7CAD"/>
    <w:rsid w:val="0090724E"/>
    <w:rsid w:val="00953460"/>
    <w:rsid w:val="009555EC"/>
    <w:rsid w:val="00955C78"/>
    <w:rsid w:val="0096071E"/>
    <w:rsid w:val="00963C8C"/>
    <w:rsid w:val="00975008"/>
    <w:rsid w:val="00976596"/>
    <w:rsid w:val="009B4442"/>
    <w:rsid w:val="00A20FF4"/>
    <w:rsid w:val="00A52D00"/>
    <w:rsid w:val="00A721E2"/>
    <w:rsid w:val="00A8482F"/>
    <w:rsid w:val="00A862DB"/>
    <w:rsid w:val="00AA2FAC"/>
    <w:rsid w:val="00AB3DBC"/>
    <w:rsid w:val="00AB6C6D"/>
    <w:rsid w:val="00AC7F21"/>
    <w:rsid w:val="00AD273B"/>
    <w:rsid w:val="00AD597E"/>
    <w:rsid w:val="00AD76F2"/>
    <w:rsid w:val="00AF4FD1"/>
    <w:rsid w:val="00AF774C"/>
    <w:rsid w:val="00AF7A5F"/>
    <w:rsid w:val="00B01193"/>
    <w:rsid w:val="00B15B70"/>
    <w:rsid w:val="00B312E3"/>
    <w:rsid w:val="00B4112D"/>
    <w:rsid w:val="00B530BF"/>
    <w:rsid w:val="00BD0F90"/>
    <w:rsid w:val="00BE6FF8"/>
    <w:rsid w:val="00C0033E"/>
    <w:rsid w:val="00C00715"/>
    <w:rsid w:val="00C00FBF"/>
    <w:rsid w:val="00C17DE4"/>
    <w:rsid w:val="00C20E84"/>
    <w:rsid w:val="00C2112F"/>
    <w:rsid w:val="00C25349"/>
    <w:rsid w:val="00C25F8E"/>
    <w:rsid w:val="00C3702F"/>
    <w:rsid w:val="00C56694"/>
    <w:rsid w:val="00C628F3"/>
    <w:rsid w:val="00C76D07"/>
    <w:rsid w:val="00CB000C"/>
    <w:rsid w:val="00CB62D6"/>
    <w:rsid w:val="00CC0E04"/>
    <w:rsid w:val="00CC1541"/>
    <w:rsid w:val="00CE3306"/>
    <w:rsid w:val="00CF457B"/>
    <w:rsid w:val="00D20A8A"/>
    <w:rsid w:val="00D22CEF"/>
    <w:rsid w:val="00D25983"/>
    <w:rsid w:val="00D32EA1"/>
    <w:rsid w:val="00D36BF5"/>
    <w:rsid w:val="00D42A9D"/>
    <w:rsid w:val="00D67510"/>
    <w:rsid w:val="00D756C5"/>
    <w:rsid w:val="00D83835"/>
    <w:rsid w:val="00D83954"/>
    <w:rsid w:val="00D930BD"/>
    <w:rsid w:val="00DB403B"/>
    <w:rsid w:val="00DF11F8"/>
    <w:rsid w:val="00DF2A19"/>
    <w:rsid w:val="00DF4920"/>
    <w:rsid w:val="00E018F8"/>
    <w:rsid w:val="00E07CD3"/>
    <w:rsid w:val="00E25416"/>
    <w:rsid w:val="00E40B0D"/>
    <w:rsid w:val="00E44AD4"/>
    <w:rsid w:val="00E55787"/>
    <w:rsid w:val="00E6184F"/>
    <w:rsid w:val="00E65F5B"/>
    <w:rsid w:val="00E6677D"/>
    <w:rsid w:val="00E66EB0"/>
    <w:rsid w:val="00E70FF3"/>
    <w:rsid w:val="00E7385D"/>
    <w:rsid w:val="00E768E3"/>
    <w:rsid w:val="00E80940"/>
    <w:rsid w:val="00EB2E3B"/>
    <w:rsid w:val="00EB556E"/>
    <w:rsid w:val="00ED7380"/>
    <w:rsid w:val="00EE7718"/>
    <w:rsid w:val="00EF79F6"/>
    <w:rsid w:val="00F02032"/>
    <w:rsid w:val="00F11CD8"/>
    <w:rsid w:val="00F12246"/>
    <w:rsid w:val="00F356E2"/>
    <w:rsid w:val="00F360EA"/>
    <w:rsid w:val="00F365AE"/>
    <w:rsid w:val="00F4397E"/>
    <w:rsid w:val="00F443FD"/>
    <w:rsid w:val="00F44BCA"/>
    <w:rsid w:val="00F5238C"/>
    <w:rsid w:val="00F56B2E"/>
    <w:rsid w:val="00F70028"/>
    <w:rsid w:val="00F715F6"/>
    <w:rsid w:val="00F72C24"/>
    <w:rsid w:val="00F73BCF"/>
    <w:rsid w:val="00F7425E"/>
    <w:rsid w:val="00F81869"/>
    <w:rsid w:val="00F81EAD"/>
    <w:rsid w:val="00FA13AC"/>
    <w:rsid w:val="00FA6A01"/>
    <w:rsid w:val="00FB0BD5"/>
    <w:rsid w:val="00FB4E9F"/>
    <w:rsid w:val="00FC3E8A"/>
    <w:rsid w:val="00FC65CE"/>
    <w:rsid w:val="00FD52AE"/>
    <w:rsid w:val="00FD5AAB"/>
    <w:rsid w:val="00FD6CEF"/>
    <w:rsid w:val="00FE3021"/>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D679"/>
  <w15:chartTrackingRefBased/>
  <w15:docId w15:val="{EC41E338-14C6-4B52-AC3D-CC79379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1D1"/>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7F2685"/>
    <w:pPr>
      <w:spacing w:before="40" w:after="40" w:line="240" w:lineRule="auto"/>
      <w:jc w:val="right"/>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rFonts w:asciiTheme="minorHAnsi" w:hAnsiTheme="minorHAnsi"/>
        <w:b/>
      </w:rPr>
    </w:tblStylePr>
    <w:tblStylePr w:type="firstCol">
      <w:pPr>
        <w:jc w:val="left"/>
      </w:pPr>
    </w:tblStylePr>
  </w:style>
  <w:style w:type="table" w:styleId="TableGrid">
    <w:name w:val="Table Grid"/>
    <w:basedOn w:val="TableNormal"/>
    <w:uiPriority w:val="39"/>
    <w:rsid w:val="002B4654"/>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Footer">
    <w:name w:val="footer"/>
    <w:basedOn w:val="Normal"/>
    <w:link w:val="FooterChar"/>
    <w:uiPriority w:val="99"/>
    <w:rsid w:val="00741EDA"/>
    <w:pPr>
      <w:tabs>
        <w:tab w:val="center" w:pos="4680"/>
        <w:tab w:val="right" w:pos="9360"/>
      </w:tabs>
      <w:spacing w:after="0" w:line="240" w:lineRule="auto"/>
    </w:pPr>
    <w:rPr>
      <w:rFonts w:ascii="Calibri" w:eastAsia="Times New Roman" w:hAnsi="Calibri" w:cs="Calibri"/>
      <w:sz w:val="24"/>
      <w:szCs w:val="24"/>
    </w:rPr>
  </w:style>
  <w:style w:type="character" w:customStyle="1" w:styleId="FooterChar">
    <w:name w:val="Footer Char"/>
    <w:basedOn w:val="DefaultParagraphFont"/>
    <w:link w:val="Footer"/>
    <w:uiPriority w:val="99"/>
    <w:rsid w:val="00741EDA"/>
    <w:rPr>
      <w:rFonts w:ascii="Calibri" w:eastAsia="Times New Roman" w:hAnsi="Calibri" w:cs="Calibri"/>
      <w:sz w:val="24"/>
      <w:szCs w:val="24"/>
    </w:rPr>
  </w:style>
  <w:style w:type="paragraph" w:styleId="ListParagraph">
    <w:name w:val="List Paragraph"/>
    <w:basedOn w:val="Normal"/>
    <w:uiPriority w:val="34"/>
    <w:qFormat/>
    <w:rsid w:val="00F365AE"/>
    <w:pPr>
      <w:ind w:left="720"/>
      <w:contextualSpacing/>
    </w:pPr>
  </w:style>
  <w:style w:type="paragraph" w:styleId="Header">
    <w:name w:val="header"/>
    <w:basedOn w:val="Normal"/>
    <w:link w:val="HeaderChar"/>
    <w:uiPriority w:val="99"/>
    <w:unhideWhenUsed/>
    <w:rsid w:val="00AF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D1"/>
    <w:rPr>
      <w:rFonts w:ascii="Cambria" w:hAnsi="Cambria"/>
    </w:rPr>
  </w:style>
  <w:style w:type="paragraph" w:styleId="BalloonText">
    <w:name w:val="Balloon Text"/>
    <w:basedOn w:val="Normal"/>
    <w:link w:val="BalloonTextChar"/>
    <w:uiPriority w:val="99"/>
    <w:semiHidden/>
    <w:unhideWhenUsed/>
    <w:rsid w:val="00F7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Evans PhD</dc:creator>
  <cp:keywords/>
  <dc:description/>
  <cp:lastModifiedBy>Jerome Evans PhD</cp:lastModifiedBy>
  <cp:revision>10</cp:revision>
  <cp:lastPrinted>2016-10-14T20:25:00Z</cp:lastPrinted>
  <dcterms:created xsi:type="dcterms:W3CDTF">2016-10-22T15:05:00Z</dcterms:created>
  <dcterms:modified xsi:type="dcterms:W3CDTF">2016-10-26T20:40:00Z</dcterms:modified>
</cp:coreProperties>
</file>