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85A0" w14:textId="1A06A38E" w:rsidR="00DD0EE5" w:rsidRDefault="00DD0EE5" w:rsidP="00DD0EE5">
      <w:pPr>
        <w:spacing w:line="240" w:lineRule="auto"/>
        <w:contextualSpacing/>
        <w:jc w:val="center"/>
        <w:rPr>
          <w:rFonts w:cstheme="minorHAnsi"/>
          <w:b/>
          <w:bCs/>
          <w:color w:val="44546A" w:themeColor="text2"/>
        </w:rPr>
      </w:pPr>
      <w:r>
        <w:rPr>
          <w:rFonts w:cstheme="minorHAnsi"/>
          <w:b/>
          <w:bCs/>
          <w:color w:val="44546A" w:themeColor="text2"/>
        </w:rPr>
        <w:t>State Evaluation of Nominee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48"/>
        <w:gridCol w:w="1402"/>
      </w:tblGrid>
      <w:tr w:rsidR="00DD0EE5" w14:paraId="62ED22AC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1B74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Reduced Environmental Impact and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31AC" w14:textId="77777777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 1-5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BA6D9D4" w14:textId="403C1966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indicate level of progress</w:t>
            </w:r>
          </w:p>
          <w:p w14:paraId="6AFF65B1" w14:textId="5779DB6B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3CE66AA4" w14:textId="77777777" w:rsidTr="00DD0EE5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0590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cstheme="minorHAnsi"/>
              </w:rPr>
            </w:pPr>
            <w:r>
              <w:rPr>
                <w:rFonts w:eastAsia="Times New Roman" w:cstheme="minorHAnsi"/>
                <w:color w:val="030A13"/>
              </w:rPr>
              <w:t>Reduced or eliminated greenhouse gas emissions, using an energy audit or emissions inventory and reduction plan, cost-effective energy efficiency improvements, conservation measures, and/or on-site renewable energy and/or purchase of green power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06D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53F8DBE2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5A2" w14:textId="77777777" w:rsidR="00DD0EE5" w:rsidRDefault="00DD0EE5">
            <w:pPr>
              <w:spacing w:after="255" w:line="240" w:lineRule="auto"/>
              <w:contextualSpacing/>
              <w:rPr>
                <w:rFonts w:cstheme="minorHAnsi"/>
              </w:rPr>
            </w:pPr>
            <w:r>
              <w:rPr>
                <w:rFonts w:eastAsia="Times New Roman" w:cstheme="minorHAnsi"/>
                <w:color w:val="030A13"/>
              </w:rPr>
              <w:t>Improved water quality, efficiency, and conservation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2D0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3C2B3080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6165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cstheme="minorHAnsi"/>
              </w:rPr>
            </w:pPr>
            <w:r>
              <w:rPr>
                <w:rFonts w:eastAsia="Times New Roman" w:cstheme="minorHAnsi"/>
                <w:color w:val="030A13"/>
              </w:rPr>
              <w:t>Reduced solid and hazardous waste production through increased recycling and composting, reduced consumption, and improved management, reduction, or elimination of hazardous waste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F91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6B4BB3DF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E08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cstheme="minorHAnsi"/>
              </w:rPr>
            </w:pPr>
            <w:r>
              <w:rPr>
                <w:rFonts w:eastAsia="Times New Roman" w:cstheme="minorHAnsi"/>
                <w:color w:val="030A13"/>
              </w:rPr>
              <w:t>Expanded use of alternative transportation, through active promotion of locally available, energy-efficient options and implementation of alternative transportation supportive projects and policies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973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4F71847B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5CB5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30A13"/>
              </w:rPr>
            </w:pPr>
            <w:r>
              <w:rPr>
                <w:rFonts w:eastAsia="Times New Roman" w:cstheme="minorHAnsi"/>
                <w:b/>
                <w:bCs/>
                <w:color w:val="030A13"/>
              </w:rPr>
              <w:t>Improving Health and Wellness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401A" w14:textId="77777777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Score 1-5 </w:t>
            </w:r>
          </w:p>
          <w:p w14:paraId="1AB80EA6" w14:textId="77777777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indicate level of progress</w:t>
            </w:r>
          </w:p>
          <w:p w14:paraId="27D91E70" w14:textId="051D3A3F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3F3A734A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3BB3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 xml:space="preserve">High standards of </w:t>
            </w:r>
            <w:hyperlink r:id="rId4" w:history="1">
              <w:r>
                <w:rPr>
                  <w:rStyle w:val="Hyperlink"/>
                  <w:rFonts w:eastAsia="Times New Roman" w:cstheme="minorHAnsi"/>
                </w:rPr>
                <w:t>Whole School Whole Community, Whole Child health</w:t>
              </w:r>
            </w:hyperlink>
            <w:r>
              <w:rPr>
                <w:rFonts w:eastAsia="Times New Roman" w:cstheme="minorHAnsi"/>
                <w:color w:val="030A13"/>
              </w:rPr>
              <w:t>, including health, nutrition, and outdoor physical education; health, counseling, and psychological services for both students and staff; and family and community involvement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C6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38998517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A7FD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eastAsia="Times New Roman" w:cstheme="minorHAnsi"/>
                <w:color w:val="030A13"/>
              </w:rPr>
            </w:pPr>
            <w:hyperlink r:id="rId5" w:history="1">
              <w:r>
                <w:rPr>
                  <w:rStyle w:val="Hyperlink"/>
                  <w:rFonts w:eastAsia="Times New Roman" w:cstheme="minorHAnsi"/>
                </w:rPr>
                <w:t>Integrated school environmental health program</w:t>
              </w:r>
            </w:hyperlink>
            <w:r>
              <w:rPr>
                <w:rFonts w:eastAsia="Times New Roman" w:cstheme="minorHAnsi"/>
                <w:color w:val="030A13"/>
              </w:rPr>
              <w:t xml:space="preserve"> that considers occupant health and safety in all design, construction, renovation, operations, and maintenance of facilities and grounds, including </w:t>
            </w:r>
            <w:r>
              <w:rPr>
                <w:rFonts w:cstheme="minorHAnsi"/>
              </w:rPr>
              <w:t>cleaning and maintenance; mold and moisture; chemical and environmental contaminants; ventilation; and pests and pesticide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10A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032288C0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8FA1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30A13"/>
              </w:rPr>
            </w:pPr>
            <w:r>
              <w:rPr>
                <w:rFonts w:cstheme="minorHAnsi"/>
                <w:b/>
                <w:bCs/>
              </w:rPr>
              <w:t>Effective</w:t>
            </w:r>
            <w:r>
              <w:rPr>
                <w:rFonts w:eastAsia="Times New Roman" w:cstheme="minorHAnsi"/>
                <w:b/>
                <w:bCs/>
                <w:color w:val="030A13"/>
              </w:rPr>
              <w:t xml:space="preserve"> Environmental and Sustainability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DC6" w14:textId="77777777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Score 1-5 </w:t>
            </w:r>
          </w:p>
          <w:p w14:paraId="147D7999" w14:textId="77777777" w:rsidR="00DD0EE5" w:rsidRDefault="00DD0EE5" w:rsidP="00DD0EE5">
            <w:pPr>
              <w:spacing w:after="255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indicate level of progress</w:t>
            </w:r>
          </w:p>
          <w:p w14:paraId="234E0500" w14:textId="2216AAAF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01E5148C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69E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Interdisciplinary learning about the key relationships between dynamic environmental, energy, and human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70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6D5A2637" w14:textId="77777777" w:rsidTr="00DD0E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F8A1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Use of the environment and sustainability to develop STEM content knowledge and thinking skills to prepare graduates for the 21</w:t>
            </w:r>
            <w:r>
              <w:rPr>
                <w:rFonts w:eastAsia="Times New Roman" w:cstheme="minorHAnsi"/>
                <w:color w:val="030A13"/>
                <w:vertAlign w:val="superscript"/>
              </w:rPr>
              <w:t>st</w:t>
            </w:r>
            <w:r>
              <w:rPr>
                <w:rFonts w:eastAsia="Times New Roman" w:cstheme="minorHAnsi"/>
                <w:color w:val="030A13"/>
              </w:rPr>
              <w:t>-century technology-driven economy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40D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D0EE5" w14:paraId="75B978E1" w14:textId="77777777" w:rsidTr="00DD0EE5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F09C" w14:textId="77777777" w:rsidR="00DD0EE5" w:rsidRDefault="00DD0EE5">
            <w:pPr>
              <w:shd w:val="clear" w:color="auto" w:fill="FFFFFF"/>
              <w:spacing w:after="255" w:line="240" w:lineRule="auto"/>
              <w:contextualSpacing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Development of civic engagement knowledge and skills and students' application of such knowledge and skills to address sustainability issues in their 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869" w14:textId="77777777" w:rsidR="00DD0EE5" w:rsidRDefault="00DD0EE5">
            <w:pPr>
              <w:spacing w:after="255" w:line="24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14:paraId="675F4FCA" w14:textId="77777777" w:rsidR="00DD0EE5" w:rsidRDefault="00DD0EE5" w:rsidP="00DD0EE5">
      <w:pPr>
        <w:tabs>
          <w:tab w:val="left" w:pos="5895"/>
        </w:tabs>
        <w:spacing w:line="240" w:lineRule="auto"/>
        <w:contextualSpacing/>
        <w:rPr>
          <w:rFonts w:cstheme="minorHAnsi"/>
        </w:rPr>
      </w:pPr>
    </w:p>
    <w:p w14:paraId="2C1A6170" w14:textId="77777777" w:rsidR="006F1179" w:rsidRDefault="006F1179"/>
    <w:sectPr w:rsidR="006F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E5"/>
    <w:rsid w:val="006F1179"/>
    <w:rsid w:val="00D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E952"/>
  <w15:chartTrackingRefBased/>
  <w15:docId w15:val="{44D24F94-DFC8-47A1-B966-57C807B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E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.gov/schools" TargetMode="External"/><Relationship Id="rId4" Type="http://schemas.openxmlformats.org/officeDocument/2006/relationships/hyperlink" Target="https://www.cdc.gov/healthyschools/wsc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Mulch</dc:creator>
  <cp:keywords/>
  <dc:description/>
  <cp:lastModifiedBy>Allison Mulch</cp:lastModifiedBy>
  <cp:revision>1</cp:revision>
  <dcterms:created xsi:type="dcterms:W3CDTF">2020-10-06T17:20:00Z</dcterms:created>
  <dcterms:modified xsi:type="dcterms:W3CDTF">2020-10-06T17:27:00Z</dcterms:modified>
</cp:coreProperties>
</file>