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03AB" w14:textId="43C4629F" w:rsidR="002F277B" w:rsidRPr="004128E8" w:rsidRDefault="00ED32DD" w:rsidP="684C24E4">
      <w:pPr>
        <w:pStyle w:val="NoSpacing"/>
        <w:spacing w:after="120"/>
        <w:jc w:val="center"/>
        <w:rPr>
          <w:b/>
          <w:bCs/>
          <w:color w:val="0070C0"/>
          <w:sz w:val="32"/>
          <w:szCs w:val="32"/>
        </w:rPr>
      </w:pPr>
      <w:bookmarkStart w:id="0" w:name="_Hlk70495071"/>
      <w:r w:rsidRPr="684C24E4">
        <w:rPr>
          <w:b/>
          <w:bCs/>
          <w:color w:val="0070C0"/>
          <w:sz w:val="32"/>
          <w:szCs w:val="32"/>
        </w:rPr>
        <w:t>20</w:t>
      </w:r>
      <w:r w:rsidR="000D55FF" w:rsidRPr="684C24E4">
        <w:rPr>
          <w:b/>
          <w:bCs/>
          <w:color w:val="0070C0"/>
          <w:sz w:val="32"/>
          <w:szCs w:val="32"/>
        </w:rPr>
        <w:t>2</w:t>
      </w:r>
      <w:r w:rsidR="008C67B5">
        <w:rPr>
          <w:b/>
          <w:bCs/>
          <w:color w:val="0070C0"/>
          <w:sz w:val="32"/>
          <w:szCs w:val="32"/>
        </w:rPr>
        <w:t>5</w:t>
      </w:r>
      <w:r w:rsidR="00410E2B" w:rsidRPr="684C24E4">
        <w:rPr>
          <w:b/>
          <w:bCs/>
          <w:color w:val="0070C0"/>
          <w:sz w:val="32"/>
          <w:szCs w:val="32"/>
        </w:rPr>
        <w:t xml:space="preserve"> </w:t>
      </w:r>
      <w:r w:rsidR="002F277B" w:rsidRPr="684C24E4">
        <w:rPr>
          <w:b/>
          <w:bCs/>
          <w:color w:val="0070C0"/>
          <w:sz w:val="32"/>
          <w:szCs w:val="32"/>
        </w:rPr>
        <w:t>Community Outreach Award</w:t>
      </w:r>
      <w:r w:rsidR="005C3BF1" w:rsidRPr="684C24E4">
        <w:rPr>
          <w:b/>
          <w:bCs/>
          <w:color w:val="0070C0"/>
          <w:sz w:val="32"/>
          <w:szCs w:val="32"/>
        </w:rPr>
        <w:t xml:space="preserve"> (COA)</w:t>
      </w:r>
      <w:r w:rsidR="002F277B" w:rsidRPr="684C24E4">
        <w:rPr>
          <w:b/>
          <w:bCs/>
          <w:color w:val="0070C0"/>
          <w:sz w:val="32"/>
          <w:szCs w:val="32"/>
        </w:rPr>
        <w:t xml:space="preserve"> Program</w:t>
      </w:r>
    </w:p>
    <w:p w14:paraId="1C19B886" w14:textId="0952743A" w:rsidR="003442ED" w:rsidRPr="004128E8" w:rsidRDefault="005C3BF1" w:rsidP="007E2839">
      <w:pPr>
        <w:pStyle w:val="NoSpacing"/>
        <w:spacing w:after="120"/>
        <w:jc w:val="center"/>
        <w:rPr>
          <w:b/>
          <w:color w:val="0070C0"/>
          <w:sz w:val="24"/>
          <w:u w:val="single"/>
        </w:rPr>
      </w:pPr>
      <w:r w:rsidRPr="004128E8">
        <w:rPr>
          <w:b/>
          <w:color w:val="0070C0"/>
          <w:sz w:val="28"/>
        </w:rPr>
        <w:t xml:space="preserve">Eligibility, </w:t>
      </w:r>
      <w:r w:rsidR="00C34FBD" w:rsidRPr="004128E8">
        <w:rPr>
          <w:b/>
          <w:color w:val="0070C0"/>
          <w:sz w:val="28"/>
        </w:rPr>
        <w:t>Project,</w:t>
      </w:r>
      <w:r w:rsidRPr="004128E8">
        <w:rPr>
          <w:b/>
          <w:color w:val="0070C0"/>
          <w:sz w:val="28"/>
        </w:rPr>
        <w:t xml:space="preserve"> and Budget</w:t>
      </w:r>
      <w:r w:rsidRPr="004128E8">
        <w:rPr>
          <w:color w:val="0070C0"/>
          <w:sz w:val="28"/>
        </w:rPr>
        <w:t xml:space="preserve"> </w:t>
      </w:r>
      <w:r w:rsidRPr="004128E8">
        <w:rPr>
          <w:b/>
          <w:color w:val="0070C0"/>
          <w:sz w:val="28"/>
          <w:szCs w:val="24"/>
        </w:rPr>
        <w:t>Requirements</w:t>
      </w:r>
      <w:bookmarkEnd w:id="0"/>
    </w:p>
    <w:p w14:paraId="2CB4422A" w14:textId="2CF2D64E" w:rsidR="00522C52" w:rsidRDefault="00100AA2" w:rsidP="007E2839">
      <w:pPr>
        <w:pStyle w:val="NoSpacing"/>
        <w:spacing w:after="120"/>
      </w:pPr>
      <w:r>
        <w:t>FARE’s</w:t>
      </w:r>
      <w:r w:rsidR="00A04745" w:rsidRPr="00522C52">
        <w:t xml:space="preserve"> Community Outreach Award (COA) Program is designed to empower volunteer leaders across the country to implement initiatives </w:t>
      </w:r>
      <w:r w:rsidR="009D1AED">
        <w:t>aimed at educating</w:t>
      </w:r>
      <w:r w:rsidR="00A04745" w:rsidRPr="00522C52">
        <w:t xml:space="preserve"> others about the se</w:t>
      </w:r>
      <w:r w:rsidR="009D1AED">
        <w:t xml:space="preserve">verity of food allergies, raising </w:t>
      </w:r>
      <w:r w:rsidR="00A04745" w:rsidRPr="00522C52">
        <w:t>awareness of food allergies as a serious public healt</w:t>
      </w:r>
      <w:r w:rsidR="009D1AED">
        <w:t>h issue and creating ever-lasting</w:t>
      </w:r>
      <w:r w:rsidR="00522C52" w:rsidRPr="009D1AED">
        <w:t xml:space="preserve"> </w:t>
      </w:r>
      <w:r w:rsidR="00A04745" w:rsidRPr="00522C52">
        <w:t xml:space="preserve">change within </w:t>
      </w:r>
      <w:r w:rsidR="009D1AED">
        <w:t>the local community.</w:t>
      </w:r>
    </w:p>
    <w:p w14:paraId="334F2491" w14:textId="07235358" w:rsidR="00344C78" w:rsidRPr="00DA3D83" w:rsidRDefault="000D55FF" w:rsidP="684C24E4">
      <w:pPr>
        <w:pStyle w:val="NoSpacing"/>
        <w:spacing w:after="120"/>
        <w:rPr>
          <w:b/>
          <w:bCs/>
        </w:rPr>
      </w:pPr>
      <w:r>
        <w:t>Researchers estimate that 3</w:t>
      </w:r>
      <w:r w:rsidR="28B5DCCE">
        <w:t>3</w:t>
      </w:r>
      <w:r>
        <w:t xml:space="preserve"> million Americans have food allergies</w:t>
      </w:r>
      <w:r w:rsidR="00DA3D83">
        <w:t xml:space="preserve">. </w:t>
      </w:r>
      <w:r w:rsidR="00686ECB">
        <w:t xml:space="preserve">Yet, a majority of the public still does not understand the </w:t>
      </w:r>
      <w:r w:rsidR="00BC7BC3">
        <w:t xml:space="preserve">prevalence and </w:t>
      </w:r>
      <w:r w:rsidR="0063430F">
        <w:t xml:space="preserve">seriousness </w:t>
      </w:r>
      <w:r w:rsidR="00686ECB">
        <w:t>of food allergie</w:t>
      </w:r>
      <w:r w:rsidR="00DA3D83">
        <w:t>s</w:t>
      </w:r>
      <w:r w:rsidR="00686ECB">
        <w:t>.</w:t>
      </w:r>
      <w:r w:rsidR="00DA3D83">
        <w:t xml:space="preserve"> </w:t>
      </w:r>
      <w:r w:rsidR="00A20D3C">
        <w:t xml:space="preserve">The </w:t>
      </w:r>
      <w:r w:rsidR="0063430F">
        <w:t>COA</w:t>
      </w:r>
      <w:r w:rsidR="00A20D3C">
        <w:t>s</w:t>
      </w:r>
      <w:r w:rsidR="0063430F">
        <w:t xml:space="preserve"> </w:t>
      </w:r>
      <w:r>
        <w:t>are intended to help</w:t>
      </w:r>
      <w:r w:rsidR="00BC7BC3">
        <w:t xml:space="preserve"> fill this </w:t>
      </w:r>
      <w:r w:rsidR="00671839">
        <w:t>knowledge-</w:t>
      </w:r>
      <w:r w:rsidR="00BC7BC3">
        <w:t xml:space="preserve">gap by </w:t>
      </w:r>
      <w:r w:rsidR="00A20D3C">
        <w:t xml:space="preserve">supporting volunteer-driven </w:t>
      </w:r>
      <w:r>
        <w:t>initiatives</w:t>
      </w:r>
      <w:r w:rsidR="00A20D3C">
        <w:t xml:space="preserve"> that </w:t>
      </w:r>
      <w:r w:rsidR="00BC7BC3">
        <w:t>expand FARE’s foo</w:t>
      </w:r>
      <w:r w:rsidR="00671839">
        <w:t>tprint nationwide</w:t>
      </w:r>
      <w:r w:rsidR="00A20D3C">
        <w:t xml:space="preserve">, focusing on activities and partnerships </w:t>
      </w:r>
      <w:r w:rsidR="001D556F">
        <w:t>that elevate</w:t>
      </w:r>
      <w:r w:rsidR="00AE7DC4">
        <w:t xml:space="preserve"> food allergies as a </w:t>
      </w:r>
      <w:r w:rsidR="004B4622">
        <w:t xml:space="preserve">serious </w:t>
      </w:r>
      <w:r w:rsidR="00AE7DC4">
        <w:t xml:space="preserve">public health issue. </w:t>
      </w:r>
    </w:p>
    <w:p w14:paraId="2B1AA4BB" w14:textId="0A2D3499" w:rsidR="005C3BF1" w:rsidRDefault="005C3BF1" w:rsidP="007E2839">
      <w:pPr>
        <w:pStyle w:val="NoSpacing"/>
        <w:spacing w:after="120"/>
      </w:pPr>
      <w:r>
        <w:t xml:space="preserve">The </w:t>
      </w:r>
      <w:r w:rsidR="000D55FF">
        <w:t>202</w:t>
      </w:r>
      <w:r w:rsidR="008C67B5">
        <w:t>5</w:t>
      </w:r>
      <w:r>
        <w:t xml:space="preserve"> COA funding cycle will run from</w:t>
      </w:r>
      <w:r w:rsidRPr="684C24E4">
        <w:rPr>
          <w:b/>
          <w:bCs/>
        </w:rPr>
        <w:t xml:space="preserve"> </w:t>
      </w:r>
      <w:r w:rsidR="008C67B5">
        <w:rPr>
          <w:b/>
          <w:bCs/>
        </w:rPr>
        <w:t>March</w:t>
      </w:r>
      <w:r w:rsidR="08242892" w:rsidRPr="684C24E4">
        <w:rPr>
          <w:b/>
          <w:bCs/>
        </w:rPr>
        <w:t xml:space="preserve"> 1</w:t>
      </w:r>
      <w:r w:rsidR="00AF68A0" w:rsidRPr="684C24E4">
        <w:rPr>
          <w:b/>
          <w:bCs/>
        </w:rPr>
        <w:t xml:space="preserve"> </w:t>
      </w:r>
      <w:r w:rsidR="000D55FF" w:rsidRPr="684C24E4">
        <w:rPr>
          <w:b/>
          <w:bCs/>
        </w:rPr>
        <w:t>to December 3</w:t>
      </w:r>
      <w:r w:rsidR="00AF68A0" w:rsidRPr="684C24E4">
        <w:rPr>
          <w:b/>
          <w:bCs/>
        </w:rPr>
        <w:t>1</w:t>
      </w:r>
      <w:r w:rsidR="004F5AD9" w:rsidRPr="684C24E4">
        <w:rPr>
          <w:b/>
          <w:bCs/>
        </w:rPr>
        <w:t>, 202</w:t>
      </w:r>
      <w:r w:rsidR="008C67B5">
        <w:rPr>
          <w:b/>
          <w:bCs/>
        </w:rPr>
        <w:t>5</w:t>
      </w:r>
      <w:r w:rsidR="00AF68A0" w:rsidRPr="684C24E4">
        <w:rPr>
          <w:b/>
          <w:bCs/>
        </w:rPr>
        <w:t>.</w:t>
      </w:r>
    </w:p>
    <w:p w14:paraId="66A3E10D" w14:textId="04502B15" w:rsidR="005C3BF1" w:rsidRPr="004128E8" w:rsidRDefault="005C3BF1" w:rsidP="007E2839">
      <w:pPr>
        <w:pStyle w:val="Heading1"/>
        <w:spacing w:before="0" w:after="120" w:line="240" w:lineRule="auto"/>
      </w:pPr>
      <w:bookmarkStart w:id="1" w:name="_Toc94531546"/>
      <w:r w:rsidRPr="004128E8">
        <w:t>Eligibility Requirements</w:t>
      </w:r>
      <w:bookmarkEnd w:id="1"/>
    </w:p>
    <w:p w14:paraId="182541DD" w14:textId="1D9E5772" w:rsidR="005C3BF1" w:rsidRDefault="00A20D3C" w:rsidP="007E2839">
      <w:pPr>
        <w:pStyle w:val="NoSpacing"/>
        <w:numPr>
          <w:ilvl w:val="0"/>
          <w:numId w:val="36"/>
        </w:numPr>
        <w:spacing w:after="120"/>
        <w:ind w:left="360"/>
      </w:pPr>
      <w:r>
        <w:t>Completed p</w:t>
      </w:r>
      <w:r w:rsidR="005C3BF1">
        <w:t xml:space="preserve">roject proposals must be received by FARE by </w:t>
      </w:r>
      <w:r w:rsidR="008C67B5">
        <w:rPr>
          <w:b/>
          <w:bCs/>
        </w:rPr>
        <w:t xml:space="preserve">February 14, </w:t>
      </w:r>
      <w:proofErr w:type="gramStart"/>
      <w:r w:rsidR="008C67B5">
        <w:rPr>
          <w:b/>
          <w:bCs/>
        </w:rPr>
        <w:t>2025</w:t>
      </w:r>
      <w:proofErr w:type="gramEnd"/>
      <w:r w:rsidR="004F5AD9" w:rsidRPr="684C24E4">
        <w:rPr>
          <w:b/>
          <w:bCs/>
        </w:rPr>
        <w:t xml:space="preserve"> </w:t>
      </w:r>
      <w:r w:rsidR="005C3BF1">
        <w:t>to be considered.</w:t>
      </w:r>
    </w:p>
    <w:p w14:paraId="3C150BE5" w14:textId="6FA4C579" w:rsidR="005C3BF1" w:rsidRDefault="005C3BF1" w:rsidP="007E2839">
      <w:pPr>
        <w:pStyle w:val="NoSpacing"/>
        <w:numPr>
          <w:ilvl w:val="0"/>
          <w:numId w:val="36"/>
        </w:numPr>
        <w:spacing w:after="120"/>
        <w:ind w:left="360"/>
      </w:pPr>
      <w:r w:rsidRPr="005C3BF1">
        <w:t xml:space="preserve">Project proposals </w:t>
      </w:r>
      <w:r w:rsidR="00A20D3C">
        <w:t>are</w:t>
      </w:r>
      <w:r w:rsidR="00A20D3C" w:rsidRPr="005C3BF1">
        <w:t xml:space="preserve"> </w:t>
      </w:r>
      <w:r w:rsidRPr="005C3BF1">
        <w:t>only accepted from FARE-</w:t>
      </w:r>
      <w:r w:rsidR="00175390">
        <w:t>R</w:t>
      </w:r>
      <w:r w:rsidRPr="005C3BF1">
        <w:t>ecognized Support Group Leaders</w:t>
      </w:r>
      <w:r w:rsidR="004A41EF">
        <w:t>.</w:t>
      </w:r>
      <w:r w:rsidR="00B5144F">
        <w:t xml:space="preserve"> </w:t>
      </w:r>
    </w:p>
    <w:p w14:paraId="63012B90" w14:textId="77777777" w:rsidR="004128E8" w:rsidRPr="004128E8" w:rsidRDefault="005C3BF1" w:rsidP="007E2839">
      <w:pPr>
        <w:pStyle w:val="NoSpacing"/>
        <w:numPr>
          <w:ilvl w:val="0"/>
          <w:numId w:val="36"/>
        </w:numPr>
        <w:spacing w:after="120"/>
        <w:ind w:left="360"/>
      </w:pPr>
      <w:r w:rsidRPr="005C3BF1">
        <w:t>No more than one proposal per applicant will be accepted. However, multiple projects may be included as part of a single proposal.</w:t>
      </w:r>
    </w:p>
    <w:p w14:paraId="44A8B3C4" w14:textId="4EFD9852" w:rsidR="005C3BF1" w:rsidRPr="004128E8" w:rsidRDefault="005C3BF1" w:rsidP="007E2839">
      <w:pPr>
        <w:pStyle w:val="Heading1"/>
        <w:spacing w:before="0" w:after="120" w:line="240" w:lineRule="auto"/>
      </w:pPr>
      <w:bookmarkStart w:id="2" w:name="_Toc94531547"/>
      <w:r w:rsidRPr="004128E8">
        <w:t>Project Requirements</w:t>
      </w:r>
      <w:r w:rsidR="00175390">
        <w:t xml:space="preserve"> &amp; Considerations</w:t>
      </w:r>
      <w:bookmarkEnd w:id="2"/>
    </w:p>
    <w:p w14:paraId="14D40863" w14:textId="34257ECD" w:rsidR="00DA24CF" w:rsidRDefault="0062568C" w:rsidP="007E2839">
      <w:pPr>
        <w:pStyle w:val="NoSpacing"/>
        <w:numPr>
          <w:ilvl w:val="0"/>
          <w:numId w:val="37"/>
        </w:numPr>
        <w:spacing w:after="120"/>
        <w:ind w:left="360"/>
      </w:pPr>
      <w:r w:rsidRPr="6C105FC8">
        <w:rPr>
          <w:rFonts w:eastAsia="Times New Roman"/>
        </w:rPr>
        <w:t xml:space="preserve">If you wish to include an in-person event as part of your proposal, you must </w:t>
      </w:r>
      <w:r w:rsidR="1BB8D5DD" w:rsidRPr="6C105FC8">
        <w:rPr>
          <w:rFonts w:eastAsia="Times New Roman"/>
        </w:rPr>
        <w:t xml:space="preserve">plan to </w:t>
      </w:r>
      <w:r w:rsidRPr="6C105FC8">
        <w:rPr>
          <w:rFonts w:eastAsia="Times New Roman"/>
        </w:rPr>
        <w:t xml:space="preserve">follow the </w:t>
      </w:r>
      <w:r w:rsidRPr="00261869">
        <w:rPr>
          <w:rFonts w:eastAsia="Times New Roman"/>
        </w:rPr>
        <w:t>CDC’s (most current) guidance on events and gatherings</w:t>
      </w:r>
      <w:r w:rsidRPr="6C105FC8">
        <w:rPr>
          <w:rFonts w:eastAsia="Times New Roman"/>
        </w:rPr>
        <w:t xml:space="preserve"> and </w:t>
      </w:r>
      <w:r>
        <w:t xml:space="preserve">work with </w:t>
      </w:r>
      <w:r w:rsidRPr="00261869">
        <w:t>state and local health officials</w:t>
      </w:r>
      <w:r>
        <w:t xml:space="preserve"> to meet the unique needs and circumstances of your local </w:t>
      </w:r>
      <w:r w:rsidR="00E661D5">
        <w:t>community.</w:t>
      </w:r>
    </w:p>
    <w:p w14:paraId="41947DAB" w14:textId="1000E9EA" w:rsidR="00EE45E7" w:rsidRDefault="005C3BF1" w:rsidP="007E2839">
      <w:pPr>
        <w:pStyle w:val="NoSpacing"/>
        <w:numPr>
          <w:ilvl w:val="0"/>
          <w:numId w:val="37"/>
        </w:numPr>
        <w:spacing w:after="120"/>
        <w:ind w:left="360"/>
      </w:pPr>
      <w:r w:rsidRPr="005C3BF1">
        <w:t xml:space="preserve">All project proposals must be submitted to FARE electronically via our online application link and must include a </w:t>
      </w:r>
      <w:r w:rsidRPr="005C3BF1">
        <w:rPr>
          <w:b/>
        </w:rPr>
        <w:t>Budget Plan</w:t>
      </w:r>
      <w:r w:rsidR="00E661D5" w:rsidRPr="005C3BF1">
        <w:t xml:space="preserve">. </w:t>
      </w:r>
      <w:r w:rsidRPr="005C3BF1">
        <w:rPr>
          <w:i/>
        </w:rPr>
        <w:t xml:space="preserve">A budget plan template </w:t>
      </w:r>
      <w:r w:rsidR="00261869">
        <w:rPr>
          <w:i/>
        </w:rPr>
        <w:t>is</w:t>
      </w:r>
      <w:r w:rsidRPr="005C3BF1">
        <w:rPr>
          <w:i/>
        </w:rPr>
        <w:t xml:space="preserve"> provided by FARE.</w:t>
      </w:r>
    </w:p>
    <w:p w14:paraId="7116E80D" w14:textId="7BC360D2" w:rsidR="009B3AFB" w:rsidRDefault="009B3AFB" w:rsidP="007E2839">
      <w:pPr>
        <w:pStyle w:val="NoSpacing"/>
        <w:numPr>
          <w:ilvl w:val="0"/>
          <w:numId w:val="37"/>
        </w:numPr>
        <w:spacing w:after="120"/>
        <w:ind w:left="360"/>
      </w:pPr>
      <w:r>
        <w:t xml:space="preserve">Projects </w:t>
      </w:r>
      <w:r w:rsidR="00175390">
        <w:t>should</w:t>
      </w:r>
      <w:r w:rsidR="004E7239">
        <w:t xml:space="preserve"> </w:t>
      </w:r>
      <w:r w:rsidR="006563AE">
        <w:t xml:space="preserve">elevate food allergy as a serious public health issue and raise food allergy awareness among diverse populations </w:t>
      </w:r>
      <w:r w:rsidR="00243B41">
        <w:t xml:space="preserve">by </w:t>
      </w:r>
      <w:r>
        <w:t>bridging the gaps within one</w:t>
      </w:r>
      <w:r w:rsidR="00175390">
        <w:t xml:space="preserve"> (or more)</w:t>
      </w:r>
      <w:r>
        <w:t xml:space="preserve"> of the following </w:t>
      </w:r>
      <w:r w:rsidR="0077202A">
        <w:t>categories</w:t>
      </w:r>
      <w:r w:rsidR="00FF4A31">
        <w:t>. (</w:t>
      </w:r>
      <w:r w:rsidR="00FF4A31" w:rsidRPr="00EE45E7">
        <w:rPr>
          <w:i/>
        </w:rPr>
        <w:t>See Appendix A: Project Categories &amp; Activities</w:t>
      </w:r>
      <w:r w:rsidR="00FF4A31">
        <w:t>)</w:t>
      </w:r>
    </w:p>
    <w:p w14:paraId="16D13948" w14:textId="6FC58041" w:rsidR="009B3AFB" w:rsidRDefault="009B3AFB" w:rsidP="007E2839">
      <w:pPr>
        <w:pStyle w:val="NoSpacing"/>
        <w:numPr>
          <w:ilvl w:val="1"/>
          <w:numId w:val="45"/>
        </w:numPr>
        <w:spacing w:after="120"/>
        <w:ind w:left="1080"/>
      </w:pPr>
      <w:r>
        <w:t xml:space="preserve">Schools: </w:t>
      </w:r>
      <w:r w:rsidR="0079671A">
        <w:t>Pre-K and K-12 (i</w:t>
      </w:r>
      <w:r w:rsidRPr="003442ED">
        <w:t>ncluding before and after school activities)</w:t>
      </w:r>
    </w:p>
    <w:p w14:paraId="738F2AB0" w14:textId="5F5702FD" w:rsidR="009B3AFB" w:rsidRDefault="009B3AFB" w:rsidP="007E2839">
      <w:pPr>
        <w:pStyle w:val="NoSpacing"/>
        <w:numPr>
          <w:ilvl w:val="1"/>
          <w:numId w:val="45"/>
        </w:numPr>
        <w:spacing w:after="120"/>
        <w:ind w:left="1080"/>
      </w:pPr>
      <w:r>
        <w:t xml:space="preserve">Communities </w:t>
      </w:r>
      <w:r w:rsidR="001D63BE">
        <w:t>(</w:t>
      </w:r>
      <w:r w:rsidR="0079671A">
        <w:t>i</w:t>
      </w:r>
      <w:r w:rsidR="001D63BE">
        <w:t xml:space="preserve">ncluding food allergy families and/or </w:t>
      </w:r>
      <w:proofErr w:type="gramStart"/>
      <w:r w:rsidR="001D63BE">
        <w:t>general public</w:t>
      </w:r>
      <w:proofErr w:type="gramEnd"/>
      <w:r w:rsidR="001D63BE">
        <w:t>)</w:t>
      </w:r>
    </w:p>
    <w:p w14:paraId="5665903B" w14:textId="0DDC40AE" w:rsidR="009B3AFB" w:rsidRDefault="009B3AFB" w:rsidP="007E2839">
      <w:pPr>
        <w:pStyle w:val="NoSpacing"/>
        <w:numPr>
          <w:ilvl w:val="1"/>
          <w:numId w:val="45"/>
        </w:numPr>
        <w:spacing w:after="120"/>
        <w:ind w:left="1080"/>
      </w:pPr>
      <w:r>
        <w:t>Workplace</w:t>
      </w:r>
      <w:r w:rsidR="00410E2B">
        <w:t xml:space="preserve"> (including adults w/food allergy)</w:t>
      </w:r>
    </w:p>
    <w:p w14:paraId="3FD049A9" w14:textId="1F3898B6" w:rsidR="00942F77" w:rsidRDefault="00942F77" w:rsidP="007E2839">
      <w:pPr>
        <w:pStyle w:val="NoSpacing"/>
        <w:numPr>
          <w:ilvl w:val="0"/>
          <w:numId w:val="37"/>
        </w:numPr>
        <w:spacing w:after="120"/>
        <w:ind w:left="360"/>
      </w:pPr>
      <w:r>
        <w:t>Projects should consider</w:t>
      </w:r>
      <w:r w:rsidR="00EE45E7">
        <w:t xml:space="preserve"> </w:t>
      </w:r>
      <w:r>
        <w:t>focusing on activities that increase access to care and resources within underrepresented and under-resourced communities.</w:t>
      </w:r>
      <w:r w:rsidR="00EE45E7">
        <w:t xml:space="preserve"> (</w:t>
      </w:r>
      <w:r w:rsidR="00EE45E7" w:rsidRPr="00EE45E7">
        <w:rPr>
          <w:i/>
        </w:rPr>
        <w:t>See Appendix A: Project Categories &amp; Activities</w:t>
      </w:r>
      <w:r w:rsidR="00EE45E7">
        <w:t>)</w:t>
      </w:r>
    </w:p>
    <w:p w14:paraId="6D749345" w14:textId="1F95C00A" w:rsidR="009B3AFB" w:rsidRDefault="009B3AFB" w:rsidP="007E2839">
      <w:pPr>
        <w:pStyle w:val="NoSpacing"/>
        <w:numPr>
          <w:ilvl w:val="0"/>
          <w:numId w:val="37"/>
        </w:numPr>
        <w:spacing w:after="120"/>
        <w:ind w:left="360"/>
      </w:pPr>
      <w:r>
        <w:t xml:space="preserve">Projects </w:t>
      </w:r>
      <w:r w:rsidR="00B5144F" w:rsidRPr="00B5144F">
        <w:t>should</w:t>
      </w:r>
      <w:r w:rsidR="00B5144F">
        <w:t xml:space="preserve"> consider</w:t>
      </w:r>
      <w:r w:rsidR="004E7239">
        <w:t xml:space="preserve"> </w:t>
      </w:r>
      <w:r w:rsidR="00B5144F">
        <w:t>including</w:t>
      </w:r>
      <w:r>
        <w:t xml:space="preserve"> partnerships and/or collaborations with </w:t>
      </w:r>
      <w:r w:rsidR="00B5144F">
        <w:t>either local</w:t>
      </w:r>
      <w:r w:rsidR="002D128D">
        <w:t xml:space="preserve"> (community-based)</w:t>
      </w:r>
      <w:r w:rsidR="00BA31A4">
        <w:t xml:space="preserve"> or national group</w:t>
      </w:r>
      <w:r w:rsidR="00CD4639">
        <w:t xml:space="preserve">s, </w:t>
      </w:r>
      <w:r w:rsidR="00243B41">
        <w:t>companies,</w:t>
      </w:r>
      <w:r w:rsidR="00B5144F">
        <w:t xml:space="preserve"> or organizations. </w:t>
      </w:r>
      <w:r w:rsidR="001D63BE">
        <w:t>Th</w:t>
      </w:r>
      <w:r w:rsidR="000F3586">
        <w:t>r</w:t>
      </w:r>
      <w:r w:rsidR="001D63BE">
        <w:t xml:space="preserve">ough FARE’s </w:t>
      </w:r>
      <w:r w:rsidR="00510C0E">
        <w:t xml:space="preserve">Collaborator Program, we may be able to match you with a participant in your area. </w:t>
      </w:r>
    </w:p>
    <w:p w14:paraId="13E118FA" w14:textId="77777777" w:rsidR="00322473" w:rsidRDefault="009B3AFB" w:rsidP="007E2839">
      <w:pPr>
        <w:pStyle w:val="NoSpacing"/>
        <w:numPr>
          <w:ilvl w:val="0"/>
          <w:numId w:val="37"/>
        </w:numPr>
        <w:spacing w:after="120"/>
        <w:ind w:left="360"/>
      </w:pPr>
      <w:r>
        <w:t xml:space="preserve">Projects </w:t>
      </w:r>
      <w:r w:rsidR="001D63BE" w:rsidRPr="00B5144F">
        <w:t xml:space="preserve">should </w:t>
      </w:r>
      <w:r w:rsidR="001D63BE">
        <w:t>consider reaching</w:t>
      </w:r>
      <w:r>
        <w:t xml:space="preserve"> new audiences beyond the food allergy community, including people and families who are </w:t>
      </w:r>
      <w:r w:rsidRPr="0077202A">
        <w:rPr>
          <w:u w:val="single"/>
        </w:rPr>
        <w:t>not</w:t>
      </w:r>
      <w:r w:rsidRPr="0096168E">
        <w:t xml:space="preserve"> </w:t>
      </w:r>
      <w:r>
        <w:t xml:space="preserve">living with the disease. </w:t>
      </w:r>
    </w:p>
    <w:p w14:paraId="221822BD" w14:textId="77777777" w:rsidR="0077202A" w:rsidRDefault="005356DD" w:rsidP="007E2839">
      <w:pPr>
        <w:pStyle w:val="NoSpacing"/>
        <w:numPr>
          <w:ilvl w:val="0"/>
          <w:numId w:val="37"/>
        </w:numPr>
        <w:spacing w:after="120"/>
        <w:ind w:left="360"/>
      </w:pPr>
      <w:r>
        <w:lastRenderedPageBreak/>
        <w:t>P</w:t>
      </w:r>
      <w:r w:rsidR="00F710DD">
        <w:t xml:space="preserve">roject activities </w:t>
      </w:r>
      <w:r w:rsidR="00322473">
        <w:t xml:space="preserve">should be designed </w:t>
      </w:r>
      <w:r>
        <w:t xml:space="preserve">to have long-term impact, keeping in mind how </w:t>
      </w:r>
      <w:r w:rsidR="00F710DD">
        <w:t>might the project</w:t>
      </w:r>
      <w:r>
        <w:t xml:space="preserve"> continue to grow or be integrated into other programs or partnerships. </w:t>
      </w:r>
    </w:p>
    <w:p w14:paraId="072E6AC2" w14:textId="4BF841C2" w:rsidR="0077202A" w:rsidRDefault="005C3BF1" w:rsidP="007E2839">
      <w:pPr>
        <w:pStyle w:val="NoSpacing"/>
        <w:numPr>
          <w:ilvl w:val="0"/>
          <w:numId w:val="37"/>
        </w:numPr>
        <w:spacing w:after="120"/>
        <w:ind w:left="360"/>
      </w:pPr>
      <w:r w:rsidRPr="005C3BF1">
        <w:t xml:space="preserve">Any changes to the project and/or budget must be approved by FARE prior to being implemented. Requests to change project activities should be sent to </w:t>
      </w:r>
      <w:r w:rsidR="00F51966">
        <w:t>education@foodallergy.org</w:t>
      </w:r>
      <w:r w:rsidR="00D72146">
        <w:t xml:space="preserve">. </w:t>
      </w:r>
    </w:p>
    <w:p w14:paraId="28BF9F4A" w14:textId="1DC56B4D" w:rsidR="0077202A" w:rsidRDefault="005C3BF1" w:rsidP="007E2839">
      <w:pPr>
        <w:pStyle w:val="NoSpacing"/>
        <w:numPr>
          <w:ilvl w:val="0"/>
          <w:numId w:val="37"/>
        </w:numPr>
        <w:spacing w:after="120"/>
        <w:ind w:left="360"/>
      </w:pPr>
      <w:r w:rsidRPr="005C3BF1">
        <w:t>Promotions of the project, including presentation and dissemination of its materials, must acknowledge FARE support with the FARE logo (</w:t>
      </w:r>
      <w:r w:rsidRPr="00FF4A31">
        <w:rPr>
          <w:i/>
        </w:rPr>
        <w:t>see Appendix B: Logo Usage Guidelines</w:t>
      </w:r>
      <w:r w:rsidRPr="005C3BF1">
        <w:t xml:space="preserve">) accompanied by the phrase: </w:t>
      </w:r>
      <w:r w:rsidRPr="0077202A">
        <w:rPr>
          <w:i/>
        </w:rPr>
        <w:t xml:space="preserve">This project was made possible through a community </w:t>
      </w:r>
      <w:r w:rsidR="004E7239">
        <w:rPr>
          <w:i/>
        </w:rPr>
        <w:t xml:space="preserve">outreach </w:t>
      </w:r>
      <w:r w:rsidRPr="0077202A">
        <w:rPr>
          <w:i/>
        </w:rPr>
        <w:t>award from Food Allergy Research &amp; Education (FARE)</w:t>
      </w:r>
      <w:r w:rsidR="00D72146" w:rsidRPr="0077202A">
        <w:rPr>
          <w:i/>
        </w:rPr>
        <w:t xml:space="preserve">. </w:t>
      </w:r>
    </w:p>
    <w:p w14:paraId="20C1F99B" w14:textId="28ED45F7" w:rsidR="0077202A" w:rsidRDefault="00410E2B" w:rsidP="007E2839">
      <w:pPr>
        <w:pStyle w:val="NoSpacing"/>
        <w:numPr>
          <w:ilvl w:val="0"/>
          <w:numId w:val="37"/>
        </w:numPr>
        <w:spacing w:after="120"/>
        <w:ind w:left="360"/>
      </w:pPr>
      <w:r>
        <w:t>If applicable, F</w:t>
      </w:r>
      <w:r w:rsidR="0077202A">
        <w:t xml:space="preserve">ARE requests that </w:t>
      </w:r>
      <w:r w:rsidR="005C3BF1">
        <w:t xml:space="preserve">photos </w:t>
      </w:r>
      <w:r w:rsidR="0007146E">
        <w:t>of events be shared</w:t>
      </w:r>
      <w:r w:rsidR="00AE1235">
        <w:t xml:space="preserve"> with us</w:t>
      </w:r>
      <w:r w:rsidR="0007146E">
        <w:t xml:space="preserve"> </w:t>
      </w:r>
      <w:r w:rsidR="00AE1235">
        <w:t xml:space="preserve">at </w:t>
      </w:r>
      <w:hyperlink r:id="rId11">
        <w:r w:rsidR="5219D9A6" w:rsidRPr="684C24E4">
          <w:rPr>
            <w:rStyle w:val="Hyperlink"/>
          </w:rPr>
          <w:t>kcleary@foodallergy.org</w:t>
        </w:r>
      </w:hyperlink>
      <w:r w:rsidR="5219D9A6">
        <w:t xml:space="preserve"> </w:t>
      </w:r>
      <w:r w:rsidR="005C3BF1">
        <w:t xml:space="preserve">at the earliest opportunity following the event. These photos may be used </w:t>
      </w:r>
      <w:r w:rsidR="0077202A">
        <w:t>on FARE’s social media channels so please ensure you have permission to share.</w:t>
      </w:r>
    </w:p>
    <w:p w14:paraId="03D850BD" w14:textId="334D1D29" w:rsidR="00686627" w:rsidRDefault="0077202A" w:rsidP="007E2839">
      <w:pPr>
        <w:pStyle w:val="Heading1"/>
        <w:spacing w:before="0" w:after="120" w:line="240" w:lineRule="auto"/>
      </w:pPr>
      <w:bookmarkStart w:id="3" w:name="_Toc94531548"/>
      <w:r w:rsidRPr="004128E8">
        <w:t>Budget Requirements</w:t>
      </w:r>
      <w:bookmarkEnd w:id="3"/>
    </w:p>
    <w:p w14:paraId="77C12E83" w14:textId="77777777" w:rsidR="0077202A" w:rsidRDefault="0077202A" w:rsidP="007E2839">
      <w:pPr>
        <w:pStyle w:val="NoSpacing"/>
        <w:numPr>
          <w:ilvl w:val="0"/>
          <w:numId w:val="38"/>
        </w:numPr>
        <w:spacing w:after="120"/>
      </w:pPr>
      <w:r>
        <w:t xml:space="preserve">A </w:t>
      </w:r>
      <w:r w:rsidRPr="0077202A">
        <w:rPr>
          <w:b/>
        </w:rPr>
        <w:t>Budget Plan</w:t>
      </w:r>
      <w:r>
        <w:t xml:space="preserve"> must be included in each project proposal application.</w:t>
      </w:r>
    </w:p>
    <w:p w14:paraId="461BB215" w14:textId="028F8738" w:rsidR="0077202A" w:rsidRDefault="0077202A" w:rsidP="007E2839">
      <w:pPr>
        <w:pStyle w:val="NoSpacing"/>
        <w:numPr>
          <w:ilvl w:val="0"/>
          <w:numId w:val="38"/>
        </w:numPr>
        <w:spacing w:after="120"/>
      </w:pPr>
      <w:r>
        <w:t xml:space="preserve">Awards are </w:t>
      </w:r>
      <w:r w:rsidR="00410E2B">
        <w:t xml:space="preserve">available </w:t>
      </w:r>
      <w:r w:rsidR="00410E2B" w:rsidRPr="008B1362">
        <w:rPr>
          <w:b/>
          <w:bCs/>
        </w:rPr>
        <w:t>up to $</w:t>
      </w:r>
      <w:r w:rsidR="0043320A">
        <w:rPr>
          <w:b/>
          <w:bCs/>
        </w:rPr>
        <w:t>3</w:t>
      </w:r>
      <w:r w:rsidR="00410E2B" w:rsidRPr="008B1362">
        <w:rPr>
          <w:b/>
          <w:bCs/>
        </w:rPr>
        <w:t>,</w:t>
      </w:r>
      <w:r w:rsidR="0093375D">
        <w:rPr>
          <w:b/>
          <w:bCs/>
        </w:rPr>
        <w:t>0</w:t>
      </w:r>
      <w:r w:rsidR="00410E2B" w:rsidRPr="008B1362">
        <w:rPr>
          <w:b/>
          <w:bCs/>
        </w:rPr>
        <w:t>00</w:t>
      </w:r>
      <w:r>
        <w:t>. Your proposed budget should have an estimated total that adds up to the entire award amount being requested</w:t>
      </w:r>
      <w:r w:rsidR="004E7239">
        <w:t xml:space="preserve"> </w:t>
      </w:r>
      <w:r>
        <w:t>and may include multiple projects</w:t>
      </w:r>
      <w:r w:rsidR="00D72146">
        <w:t xml:space="preserve">. </w:t>
      </w:r>
      <w:r>
        <w:t xml:space="preserve">(See </w:t>
      </w:r>
      <w:r w:rsidRPr="0077202A">
        <w:rPr>
          <w:i/>
        </w:rPr>
        <w:t>Appendix C: Award Amounts</w:t>
      </w:r>
      <w:r>
        <w:t>)</w:t>
      </w:r>
    </w:p>
    <w:p w14:paraId="1A5BE481" w14:textId="77777777" w:rsidR="0077202A" w:rsidRDefault="0077202A" w:rsidP="007E2839">
      <w:pPr>
        <w:pStyle w:val="NoSpacing"/>
        <w:numPr>
          <w:ilvl w:val="0"/>
          <w:numId w:val="38"/>
        </w:numPr>
        <w:spacing w:after="120"/>
      </w:pPr>
      <w:r>
        <w:t xml:space="preserve">FARE will award project funds to the project </w:t>
      </w:r>
      <w:r w:rsidR="001D556F">
        <w:t>manager or</w:t>
      </w:r>
      <w:r>
        <w:t xml:space="preserve"> a designated organization carrying out the project (for example, if your support group is a 501(c)3 organization, the organization may receive the project funding award).</w:t>
      </w:r>
    </w:p>
    <w:p w14:paraId="26F252A4" w14:textId="2CEBA5B6" w:rsidR="0077202A" w:rsidRDefault="0077202A" w:rsidP="007E2839">
      <w:pPr>
        <w:pStyle w:val="NoSpacing"/>
        <w:numPr>
          <w:ilvl w:val="0"/>
          <w:numId w:val="38"/>
        </w:numPr>
        <w:spacing w:after="120"/>
      </w:pPr>
      <w:r>
        <w:t xml:space="preserve">As our funding pool for this program is limited, cost efficiency is strongly encouraged. In the budgeting process, please be sure to inquire about donated/discounted space and services from vendors, venues, speakers, etc., wherever possible. </w:t>
      </w:r>
    </w:p>
    <w:p w14:paraId="39591F4A" w14:textId="77777777" w:rsidR="0077202A" w:rsidRDefault="0077202A" w:rsidP="007E2839">
      <w:pPr>
        <w:pStyle w:val="NoSpacing"/>
        <w:numPr>
          <w:ilvl w:val="0"/>
          <w:numId w:val="38"/>
        </w:numPr>
        <w:spacing w:after="120"/>
      </w:pPr>
      <w:r>
        <w:t xml:space="preserve">FARE does not cover salaries as part of the program. </w:t>
      </w:r>
    </w:p>
    <w:p w14:paraId="5D9A83BD" w14:textId="26F40147" w:rsidR="0077202A" w:rsidRDefault="0077202A" w:rsidP="007E2839">
      <w:pPr>
        <w:pStyle w:val="NoSpacing"/>
        <w:numPr>
          <w:ilvl w:val="0"/>
          <w:numId w:val="38"/>
        </w:numPr>
        <w:spacing w:after="120"/>
      </w:pPr>
      <w:r>
        <w:t xml:space="preserve">Awardees are required to submit an expense reconciliation report, including copies of all project receipts, </w:t>
      </w:r>
      <w:r w:rsidR="0062568C">
        <w:t>scanned,</w:t>
      </w:r>
      <w:r>
        <w:t xml:space="preserve"> and sent via email </w:t>
      </w:r>
      <w:r w:rsidR="004E7239">
        <w:t xml:space="preserve">by </w:t>
      </w:r>
      <w:r w:rsidRPr="684C24E4">
        <w:rPr>
          <w:b/>
          <w:bCs/>
        </w:rPr>
        <w:t xml:space="preserve">December </w:t>
      </w:r>
      <w:r w:rsidR="004A41EF" w:rsidRPr="684C24E4">
        <w:rPr>
          <w:b/>
          <w:bCs/>
        </w:rPr>
        <w:t>3</w:t>
      </w:r>
      <w:r w:rsidR="00423DA8" w:rsidRPr="684C24E4">
        <w:rPr>
          <w:b/>
          <w:bCs/>
        </w:rPr>
        <w:t>1, 202</w:t>
      </w:r>
      <w:r w:rsidR="008C67B5">
        <w:rPr>
          <w:b/>
          <w:bCs/>
        </w:rPr>
        <w:t>5</w:t>
      </w:r>
      <w:r w:rsidR="00423DA8" w:rsidRPr="684C24E4">
        <w:rPr>
          <w:b/>
          <w:bCs/>
        </w:rPr>
        <w:t>.</w:t>
      </w:r>
    </w:p>
    <w:p w14:paraId="1DF1230F" w14:textId="63070A26" w:rsidR="0077202A" w:rsidRDefault="0077202A" w:rsidP="684C24E4">
      <w:pPr>
        <w:pStyle w:val="NoSpacing"/>
        <w:numPr>
          <w:ilvl w:val="0"/>
          <w:numId w:val="38"/>
        </w:numPr>
        <w:spacing w:after="120"/>
      </w:pPr>
      <w:r>
        <w:t xml:space="preserve">Awarded funds may not be returned to FARE. FARE strongly recommends that all awarded funding be spent within the project period. However, if needed, the option to request a no-cost extension will be available to complete the project within a reasonable timeframe. All no-cost extension requests must be submitted via email to </w:t>
      </w:r>
      <w:hyperlink r:id="rId12">
        <w:r w:rsidR="43AD149F" w:rsidRPr="684C24E4">
          <w:rPr>
            <w:rStyle w:val="Hyperlink"/>
          </w:rPr>
          <w:t>kcleary@foodallergy.org</w:t>
        </w:r>
      </w:hyperlink>
      <w:r w:rsidR="43AD149F">
        <w:t xml:space="preserve"> </w:t>
      </w:r>
      <w:r w:rsidR="00423DA8">
        <w:t xml:space="preserve">by </w:t>
      </w:r>
      <w:r w:rsidRPr="684C24E4">
        <w:rPr>
          <w:b/>
          <w:bCs/>
        </w:rPr>
        <w:t xml:space="preserve">November </w:t>
      </w:r>
      <w:r w:rsidR="004128E8" w:rsidRPr="684C24E4">
        <w:rPr>
          <w:b/>
          <w:bCs/>
        </w:rPr>
        <w:t>1</w:t>
      </w:r>
      <w:r w:rsidR="00423DA8" w:rsidRPr="684C24E4">
        <w:rPr>
          <w:b/>
          <w:bCs/>
        </w:rPr>
        <w:t>,</w:t>
      </w:r>
      <w:r w:rsidR="0079671A" w:rsidRPr="684C24E4">
        <w:rPr>
          <w:b/>
          <w:bCs/>
        </w:rPr>
        <w:t xml:space="preserve"> 202</w:t>
      </w:r>
      <w:r w:rsidR="008C67B5">
        <w:rPr>
          <w:b/>
          <w:bCs/>
        </w:rPr>
        <w:t>5</w:t>
      </w:r>
      <w:r>
        <w:t xml:space="preserve">. </w:t>
      </w:r>
    </w:p>
    <w:p w14:paraId="4D7F1D3A" w14:textId="77777777" w:rsidR="0077202A" w:rsidRDefault="0077202A" w:rsidP="007E2839">
      <w:pPr>
        <w:pStyle w:val="NoSpacing"/>
        <w:numPr>
          <w:ilvl w:val="0"/>
          <w:numId w:val="38"/>
        </w:numPr>
        <w:spacing w:after="120"/>
      </w:pPr>
      <w:r>
        <w:t xml:space="preserve">Failure to reconcile project expenses will subject the funding award to taxable income rules of the IRS. Additionally, FARE is required by law to issue a Form 1099-MISC (Miscellaneous Income) at the end of the year for unreconciled projects funded </w:t>
      </w:r>
      <w:proofErr w:type="gramStart"/>
      <w:r>
        <w:t>in excess of</w:t>
      </w:r>
      <w:proofErr w:type="gramEnd"/>
      <w:r>
        <w:t xml:space="preserve"> $599.99.</w:t>
      </w:r>
    </w:p>
    <w:p w14:paraId="57145A31" w14:textId="665A303E" w:rsidR="00FF4A31" w:rsidRPr="0062568C" w:rsidRDefault="0077202A" w:rsidP="684C24E4">
      <w:pPr>
        <w:pStyle w:val="Heading1"/>
        <w:spacing w:before="0" w:after="120" w:line="240" w:lineRule="auto"/>
        <w:jc w:val="center"/>
        <w:rPr>
          <w:sz w:val="28"/>
          <w:szCs w:val="28"/>
        </w:rPr>
      </w:pPr>
      <w:bookmarkStart w:id="4" w:name="_Toc94531549"/>
      <w:r>
        <w:t>Appendi</w:t>
      </w:r>
      <w:r w:rsidR="22FF8738">
        <w:t>c</w:t>
      </w:r>
      <w:r>
        <w:t>es</w:t>
      </w:r>
      <w:bookmarkEnd w:id="4"/>
    </w:p>
    <w:p w14:paraId="42D4ED75" w14:textId="77777777" w:rsidR="0077202A" w:rsidRPr="004128E8" w:rsidRDefault="0077202A" w:rsidP="007E2839">
      <w:pPr>
        <w:pStyle w:val="Heading2"/>
        <w:spacing w:before="0" w:after="120" w:line="240" w:lineRule="auto"/>
        <w:rPr>
          <w:sz w:val="28"/>
        </w:rPr>
      </w:pPr>
      <w:bookmarkStart w:id="5" w:name="_Toc94531550"/>
      <w:r w:rsidRPr="004128E8">
        <w:rPr>
          <w:sz w:val="28"/>
        </w:rPr>
        <w:t xml:space="preserve">Appendix A: </w:t>
      </w:r>
      <w:r w:rsidR="00FF4A31" w:rsidRPr="004128E8">
        <w:rPr>
          <w:sz w:val="28"/>
        </w:rPr>
        <w:t>Project Categories &amp; Activities</w:t>
      </w:r>
      <w:bookmarkEnd w:id="5"/>
    </w:p>
    <w:p w14:paraId="6203AB6D" w14:textId="57035077" w:rsidR="004A41EF" w:rsidRDefault="004A41EF" w:rsidP="007E2839">
      <w:pPr>
        <w:pStyle w:val="NoSpacing"/>
        <w:spacing w:after="120"/>
      </w:pPr>
      <w:bookmarkStart w:id="6" w:name="_Hlk65740595"/>
      <w:r w:rsidRPr="004A41EF">
        <w:rPr>
          <w:b/>
          <w:bCs/>
        </w:rPr>
        <w:t>For Your Consideration</w:t>
      </w:r>
      <w:r>
        <w:t xml:space="preserve">: </w:t>
      </w:r>
      <w:r w:rsidR="000F2E8C">
        <w:t xml:space="preserve">FARE is committed to </w:t>
      </w:r>
      <w:hyperlink r:id="rId13" w:history="1">
        <w:r w:rsidR="000F2E8C" w:rsidRPr="000F2E8C">
          <w:rPr>
            <w:rStyle w:val="Hyperlink"/>
          </w:rPr>
          <w:t>Diversity, Equity, Inclusion and Access (DEIA)</w:t>
        </w:r>
      </w:hyperlink>
      <w:r w:rsidR="000F2E8C">
        <w:t xml:space="preserve">, making sure that Black, Indigenous and People of Color (BIPOC) and/or lower-income communities are included and represented in the work </w:t>
      </w:r>
      <w:r w:rsidR="00EE45E7">
        <w:t xml:space="preserve">that </w:t>
      </w:r>
      <w:r w:rsidR="000F2E8C">
        <w:t xml:space="preserve">we do. Please consider focusing your proposal on a project or activity that </w:t>
      </w:r>
      <w:r w:rsidR="000F2E8C">
        <w:lastRenderedPageBreak/>
        <w:t>increases access to care and resources within underrepresented, underserved, or under-resourced communities.</w:t>
      </w:r>
    </w:p>
    <w:p w14:paraId="45AD1478" w14:textId="16974636" w:rsidR="000F2E8C" w:rsidRDefault="000F2E8C" w:rsidP="007E2839">
      <w:pPr>
        <w:pStyle w:val="NoSpacing"/>
        <w:spacing w:after="120"/>
      </w:pPr>
      <w:r>
        <w:t xml:space="preserve">The menu below outlines examples of project initiatives and activities for which volunteers can request funding. </w:t>
      </w:r>
    </w:p>
    <w:bookmarkEnd w:id="6"/>
    <w:p w14:paraId="62875900" w14:textId="77777777" w:rsidR="00686627" w:rsidRPr="00FF4A31" w:rsidRDefault="00686627" w:rsidP="007E2839">
      <w:pPr>
        <w:pStyle w:val="NoSpacing"/>
        <w:spacing w:after="120"/>
        <w:rPr>
          <w:b/>
          <w:sz w:val="24"/>
        </w:rPr>
      </w:pPr>
      <w:r w:rsidRPr="00FF4A31">
        <w:rPr>
          <w:b/>
          <w:sz w:val="24"/>
        </w:rPr>
        <w:t>Schools</w:t>
      </w:r>
      <w:r w:rsidR="00FF295A" w:rsidRPr="00FF4A31">
        <w:rPr>
          <w:b/>
          <w:sz w:val="24"/>
        </w:rPr>
        <w:t xml:space="preserve">: </w:t>
      </w:r>
      <w:r w:rsidR="001401C0" w:rsidRPr="00FF4A31">
        <w:rPr>
          <w:b/>
          <w:sz w:val="24"/>
        </w:rPr>
        <w:t>Pre-K and</w:t>
      </w:r>
      <w:r w:rsidRPr="00FF4A31">
        <w:rPr>
          <w:b/>
          <w:sz w:val="24"/>
        </w:rPr>
        <w:t xml:space="preserve"> K-12</w:t>
      </w:r>
      <w:r w:rsidR="00FF295A" w:rsidRPr="00FF4A31">
        <w:rPr>
          <w:b/>
          <w:sz w:val="24"/>
        </w:rPr>
        <w:t xml:space="preserve"> (</w:t>
      </w:r>
      <w:r w:rsidR="007F61DC">
        <w:rPr>
          <w:b/>
          <w:sz w:val="24"/>
        </w:rPr>
        <w:t>i</w:t>
      </w:r>
      <w:r w:rsidR="00FF295A" w:rsidRPr="00FF4A31">
        <w:rPr>
          <w:b/>
          <w:sz w:val="24"/>
        </w:rPr>
        <w:t>ncluding before and after school activities)</w:t>
      </w:r>
    </w:p>
    <w:p w14:paraId="7D6E4085" w14:textId="629F805A" w:rsidR="00686627" w:rsidRPr="00B97C45" w:rsidRDefault="003D2042" w:rsidP="007E2839">
      <w:pPr>
        <w:pStyle w:val="ListParagraph"/>
        <w:numPr>
          <w:ilvl w:val="0"/>
          <w:numId w:val="17"/>
        </w:numPr>
        <w:spacing w:after="120"/>
        <w:rPr>
          <w:rFonts w:eastAsia="Times New Roman"/>
        </w:rPr>
      </w:pPr>
      <w:r>
        <w:rPr>
          <w:rFonts w:eastAsia="Times New Roman"/>
        </w:rPr>
        <w:t>Increase access to safe and affordable foods by working</w:t>
      </w:r>
      <w:r w:rsidR="003D6DDA">
        <w:rPr>
          <w:rFonts w:eastAsia="Times New Roman"/>
        </w:rPr>
        <w:t xml:space="preserve"> with local community partners (</w:t>
      </w:r>
      <w:r w:rsidR="00E75926">
        <w:rPr>
          <w:rFonts w:eastAsia="Times New Roman"/>
        </w:rPr>
        <w:t>e.g.,</w:t>
      </w:r>
      <w:r w:rsidR="003D6DDA">
        <w:rPr>
          <w:rFonts w:eastAsia="Times New Roman"/>
        </w:rPr>
        <w:t xml:space="preserve"> school administrators, the PTA, local food banks) to set up School Food Pantr</w:t>
      </w:r>
      <w:r w:rsidR="009B4CC3">
        <w:rPr>
          <w:rFonts w:eastAsia="Times New Roman"/>
        </w:rPr>
        <w:t xml:space="preserve">ies </w:t>
      </w:r>
      <w:r w:rsidR="003D6DDA">
        <w:rPr>
          <w:rFonts w:eastAsia="Times New Roman"/>
        </w:rPr>
        <w:t xml:space="preserve">that </w:t>
      </w:r>
      <w:r w:rsidR="000F3586">
        <w:rPr>
          <w:rFonts w:eastAsia="Times New Roman"/>
        </w:rPr>
        <w:t xml:space="preserve">can </w:t>
      </w:r>
      <w:r w:rsidR="004A41EF">
        <w:rPr>
          <w:rFonts w:eastAsia="Times New Roman"/>
        </w:rPr>
        <w:t>accommodate students</w:t>
      </w:r>
      <w:r w:rsidR="000F3586">
        <w:rPr>
          <w:rFonts w:eastAsia="Times New Roman"/>
        </w:rPr>
        <w:t xml:space="preserve"> </w:t>
      </w:r>
      <w:r w:rsidR="003D6DDA">
        <w:rPr>
          <w:rFonts w:eastAsia="Times New Roman"/>
        </w:rPr>
        <w:t xml:space="preserve">with food </w:t>
      </w:r>
      <w:proofErr w:type="gramStart"/>
      <w:r w:rsidR="003D6DDA">
        <w:rPr>
          <w:rFonts w:eastAsia="Times New Roman"/>
        </w:rPr>
        <w:t>allergy</w:t>
      </w:r>
      <w:proofErr w:type="gramEnd"/>
      <w:r w:rsidR="003D6DDA">
        <w:rPr>
          <w:rFonts w:eastAsia="Times New Roman"/>
        </w:rPr>
        <w:t xml:space="preserve">. </w:t>
      </w:r>
    </w:p>
    <w:p w14:paraId="02158E1D" w14:textId="51199D27" w:rsidR="003D6DDA" w:rsidRDefault="003D2042" w:rsidP="007E2839">
      <w:pPr>
        <w:pStyle w:val="ListParagraph"/>
        <w:numPr>
          <w:ilvl w:val="0"/>
          <w:numId w:val="17"/>
        </w:numPr>
        <w:spacing w:after="120"/>
        <w:rPr>
          <w:rFonts w:eastAsia="Times New Roman"/>
        </w:rPr>
      </w:pPr>
      <w:r>
        <w:rPr>
          <w:rFonts w:eastAsia="Times New Roman"/>
        </w:rPr>
        <w:t>Increase access to information within under-resourced communities by p</w:t>
      </w:r>
      <w:r w:rsidR="003D6DDA">
        <w:rPr>
          <w:rFonts w:eastAsia="Times New Roman"/>
        </w:rPr>
        <w:t>rovid</w:t>
      </w:r>
      <w:r>
        <w:rPr>
          <w:rFonts w:eastAsia="Times New Roman"/>
        </w:rPr>
        <w:t>ing</w:t>
      </w:r>
      <w:r w:rsidR="003D6DDA">
        <w:rPr>
          <w:rFonts w:eastAsia="Times New Roman"/>
        </w:rPr>
        <w:t xml:space="preserve"> food allergy awareness training </w:t>
      </w:r>
      <w:r w:rsidR="009B4CC3">
        <w:rPr>
          <w:rFonts w:eastAsia="Times New Roman"/>
        </w:rPr>
        <w:t>and resources to high-needs schools (</w:t>
      </w:r>
      <w:r w:rsidR="00E75926">
        <w:rPr>
          <w:rFonts w:eastAsia="Times New Roman"/>
        </w:rPr>
        <w:t>e.g.,</w:t>
      </w:r>
      <w:r w:rsidR="009B4CC3">
        <w:rPr>
          <w:rFonts w:eastAsia="Times New Roman"/>
        </w:rPr>
        <w:t xml:space="preserve"> Title 1 and Title-1 eligible K-12 schools and Head Start programs).</w:t>
      </w:r>
    </w:p>
    <w:p w14:paraId="0AE1821E" w14:textId="3FFCE641" w:rsidR="003D2042" w:rsidRDefault="00726C3D" w:rsidP="007E2839">
      <w:pPr>
        <w:pStyle w:val="ListParagraph"/>
        <w:numPr>
          <w:ilvl w:val="0"/>
          <w:numId w:val="17"/>
        </w:numPr>
        <w:spacing w:after="120"/>
        <w:rPr>
          <w:rFonts w:eastAsia="Times New Roman"/>
        </w:rPr>
      </w:pPr>
      <w:r>
        <w:rPr>
          <w:rFonts w:eastAsia="Times New Roman"/>
        </w:rPr>
        <w:t>Improve a school’s ability to provide a safe and inclusive environment for students with food allergy by working with them to integrate</w:t>
      </w:r>
      <w:r w:rsidR="003D2042" w:rsidRPr="003D2042">
        <w:rPr>
          <w:rFonts w:eastAsia="Times New Roman"/>
        </w:rPr>
        <w:t xml:space="preserve"> the Be A PAL program, Keeping Students Safe and Included or other food allergy training as part of the</w:t>
      </w:r>
      <w:r>
        <w:rPr>
          <w:rFonts w:eastAsia="Times New Roman"/>
        </w:rPr>
        <w:t>ir</w:t>
      </w:r>
      <w:r w:rsidR="003D2042" w:rsidRPr="003D2042">
        <w:rPr>
          <w:rFonts w:eastAsia="Times New Roman"/>
        </w:rPr>
        <w:t xml:space="preserve"> school’s annual curriculum for students and/or staff.</w:t>
      </w:r>
      <w:r w:rsidR="003D2042">
        <w:rPr>
          <w:rFonts w:eastAsia="Times New Roman"/>
        </w:rPr>
        <w:t xml:space="preserve"> </w:t>
      </w:r>
    </w:p>
    <w:p w14:paraId="11C43B84" w14:textId="375AF325" w:rsidR="00686627" w:rsidRPr="00FF4A31" w:rsidRDefault="00D1418E" w:rsidP="007E2839">
      <w:pPr>
        <w:pStyle w:val="NoSpacing"/>
        <w:spacing w:after="120"/>
        <w:rPr>
          <w:rFonts w:eastAsia="Times New Roman"/>
          <w:b/>
          <w:sz w:val="24"/>
        </w:rPr>
      </w:pPr>
      <w:r w:rsidRPr="00FF4A31">
        <w:rPr>
          <w:rFonts w:eastAsia="Times New Roman"/>
          <w:b/>
          <w:sz w:val="24"/>
        </w:rPr>
        <w:t>Communities</w:t>
      </w:r>
      <w:r w:rsidR="00D00B49">
        <w:rPr>
          <w:rFonts w:eastAsia="Times New Roman"/>
          <w:b/>
          <w:sz w:val="24"/>
        </w:rPr>
        <w:t xml:space="preserve"> </w:t>
      </w:r>
      <w:r w:rsidR="00D00B49" w:rsidRPr="00D00B49">
        <w:rPr>
          <w:b/>
          <w:sz w:val="24"/>
        </w:rPr>
        <w:t xml:space="preserve">(including food allergy families and/or </w:t>
      </w:r>
      <w:proofErr w:type="gramStart"/>
      <w:r w:rsidR="00D00B49" w:rsidRPr="00D00B49">
        <w:rPr>
          <w:b/>
          <w:sz w:val="24"/>
        </w:rPr>
        <w:t>general public</w:t>
      </w:r>
      <w:proofErr w:type="gramEnd"/>
      <w:r w:rsidR="00D00B49" w:rsidRPr="00D00B49">
        <w:rPr>
          <w:b/>
          <w:sz w:val="24"/>
        </w:rPr>
        <w:t>)</w:t>
      </w:r>
      <w:r w:rsidR="00F710DD" w:rsidRPr="00D00B49">
        <w:rPr>
          <w:rFonts w:eastAsia="Times New Roman"/>
          <w:b/>
          <w:sz w:val="28"/>
        </w:rPr>
        <w:t xml:space="preserve"> </w:t>
      </w:r>
    </w:p>
    <w:p w14:paraId="1906092E" w14:textId="77777777" w:rsidR="003D2042" w:rsidRPr="003D2042" w:rsidRDefault="003D2042" w:rsidP="007E2839">
      <w:pPr>
        <w:pStyle w:val="NoSpacing"/>
        <w:numPr>
          <w:ilvl w:val="0"/>
          <w:numId w:val="20"/>
        </w:numPr>
        <w:spacing w:after="120"/>
        <w:ind w:left="360"/>
        <w:rPr>
          <w:rFonts w:eastAsia="Times New Roman"/>
        </w:rPr>
      </w:pPr>
      <w:r>
        <w:rPr>
          <w:rFonts w:eastAsia="Times New Roman"/>
        </w:rPr>
        <w:t xml:space="preserve">Increase food bank and food pantry preparedness to serve clients with food allergy by providing </w:t>
      </w:r>
      <w:r w:rsidR="00AC3941">
        <w:t xml:space="preserve">food allergy awareness training and resources to local food assistance programs, educating food banks and food pantries on the need to procure and sort foods that are free from the </w:t>
      </w:r>
      <w:proofErr w:type="gramStart"/>
      <w:r w:rsidR="00AC3941">
        <w:t>Top-9</w:t>
      </w:r>
      <w:proofErr w:type="gramEnd"/>
      <w:r w:rsidR="00AC3941">
        <w:t xml:space="preserve">. </w:t>
      </w:r>
    </w:p>
    <w:p w14:paraId="28D4EA09" w14:textId="726D4420" w:rsidR="003D2042" w:rsidRPr="003D2042" w:rsidRDefault="003D2042" w:rsidP="007E2839">
      <w:pPr>
        <w:pStyle w:val="ListParagraph"/>
        <w:numPr>
          <w:ilvl w:val="0"/>
          <w:numId w:val="18"/>
        </w:numPr>
        <w:spacing w:after="120"/>
        <w:ind w:left="360"/>
        <w:rPr>
          <w:rFonts w:eastAsia="Times New Roman"/>
        </w:rPr>
      </w:pPr>
      <w:r>
        <w:rPr>
          <w:rStyle w:val="acopre"/>
        </w:rPr>
        <w:t>Identify gaps in community engagement and awareness around food allerg</w:t>
      </w:r>
      <w:r w:rsidR="00EE45E7">
        <w:rPr>
          <w:rStyle w:val="acopre"/>
        </w:rPr>
        <w:t xml:space="preserve">ies </w:t>
      </w:r>
      <w:r>
        <w:rPr>
          <w:rStyle w:val="acopre"/>
        </w:rPr>
        <w:t xml:space="preserve">by </w:t>
      </w:r>
      <w:r>
        <w:rPr>
          <w:rFonts w:eastAsia="Times New Roman"/>
        </w:rPr>
        <w:t>h</w:t>
      </w:r>
      <w:r w:rsidR="00646A21">
        <w:rPr>
          <w:rFonts w:eastAsia="Times New Roman"/>
        </w:rPr>
        <w:t>ost</w:t>
      </w:r>
      <w:r>
        <w:rPr>
          <w:rFonts w:eastAsia="Times New Roman"/>
        </w:rPr>
        <w:t>ing</w:t>
      </w:r>
      <w:r w:rsidR="00646A21">
        <w:rPr>
          <w:rFonts w:eastAsia="Times New Roman"/>
        </w:rPr>
        <w:t xml:space="preserve"> a</w:t>
      </w:r>
      <w:r w:rsidR="00636E2F">
        <w:rPr>
          <w:rFonts w:eastAsia="Times New Roman"/>
        </w:rPr>
        <w:t xml:space="preserve"> virtual </w:t>
      </w:r>
      <w:r>
        <w:rPr>
          <w:rFonts w:eastAsia="Times New Roman"/>
        </w:rPr>
        <w:t>event</w:t>
      </w:r>
      <w:r w:rsidR="00636E2F">
        <w:rPr>
          <w:rFonts w:eastAsia="Times New Roman"/>
        </w:rPr>
        <w:t xml:space="preserve"> </w:t>
      </w:r>
      <w:r>
        <w:rPr>
          <w:rFonts w:eastAsia="Times New Roman"/>
        </w:rPr>
        <w:t xml:space="preserve">or information session </w:t>
      </w:r>
      <w:r w:rsidR="00686627">
        <w:rPr>
          <w:rFonts w:eastAsia="Times New Roman"/>
        </w:rPr>
        <w:t xml:space="preserve">with </w:t>
      </w:r>
      <w:r w:rsidR="00646A21">
        <w:rPr>
          <w:rFonts w:eastAsia="Times New Roman"/>
        </w:rPr>
        <w:t xml:space="preserve">your </w:t>
      </w:r>
      <w:r w:rsidR="00686627">
        <w:rPr>
          <w:rFonts w:eastAsia="Times New Roman"/>
        </w:rPr>
        <w:t>local community/civic/religious organization with the goal of</w:t>
      </w:r>
      <w:r>
        <w:rPr>
          <w:rFonts w:eastAsia="Times New Roman"/>
        </w:rPr>
        <w:t xml:space="preserve"> engaging and</w:t>
      </w:r>
      <w:r w:rsidR="00686627">
        <w:rPr>
          <w:rFonts w:eastAsia="Times New Roman"/>
        </w:rPr>
        <w:t xml:space="preserve"> </w:t>
      </w:r>
      <w:r w:rsidR="00646A21">
        <w:rPr>
          <w:rFonts w:eastAsia="Times New Roman"/>
        </w:rPr>
        <w:t>educating the non-food allergy community about what they can do t</w:t>
      </w:r>
      <w:r w:rsidR="00636E2F">
        <w:rPr>
          <w:rFonts w:eastAsia="Times New Roman"/>
        </w:rPr>
        <w:t>o</w:t>
      </w:r>
      <w:r w:rsidR="00646A21">
        <w:rPr>
          <w:rFonts w:eastAsia="Times New Roman"/>
        </w:rPr>
        <w:t xml:space="preserve"> “take food out of the mix</w:t>
      </w:r>
      <w:r w:rsidR="00636E2F">
        <w:rPr>
          <w:rFonts w:eastAsia="Times New Roman"/>
        </w:rPr>
        <w:t>” and to help keep those with food allergy safe.</w:t>
      </w:r>
    </w:p>
    <w:p w14:paraId="49849A05" w14:textId="267E1E03" w:rsidR="00027F98" w:rsidRDefault="00726C3D" w:rsidP="007E2839">
      <w:pPr>
        <w:pStyle w:val="ListParagraph"/>
        <w:numPr>
          <w:ilvl w:val="0"/>
          <w:numId w:val="17"/>
        </w:numPr>
        <w:spacing w:after="120"/>
        <w:rPr>
          <w:rFonts w:eastAsia="Times New Roman"/>
        </w:rPr>
      </w:pPr>
      <w:r>
        <w:rPr>
          <w:rFonts w:eastAsia="Times New Roman"/>
        </w:rPr>
        <w:t>Increase food allergy awareness by creating</w:t>
      </w:r>
      <w:r w:rsidR="00027F98">
        <w:rPr>
          <w:rFonts w:eastAsia="Times New Roman"/>
        </w:rPr>
        <w:t xml:space="preserve"> a program for high school students with food </w:t>
      </w:r>
      <w:proofErr w:type="gramStart"/>
      <w:r w:rsidR="00027F98">
        <w:rPr>
          <w:rFonts w:eastAsia="Times New Roman"/>
        </w:rPr>
        <w:t>allergy</w:t>
      </w:r>
      <w:proofErr w:type="gramEnd"/>
      <w:r w:rsidR="00027F98">
        <w:rPr>
          <w:rFonts w:eastAsia="Times New Roman"/>
        </w:rPr>
        <w:t xml:space="preserve"> to use their voice to educate the </w:t>
      </w:r>
      <w:r>
        <w:rPr>
          <w:rFonts w:eastAsia="Times New Roman"/>
        </w:rPr>
        <w:t xml:space="preserve">non-food </w:t>
      </w:r>
      <w:r w:rsidR="00027F98">
        <w:rPr>
          <w:rFonts w:eastAsia="Times New Roman"/>
        </w:rPr>
        <w:t xml:space="preserve">community through public service, relationships, and partnerships. </w:t>
      </w:r>
    </w:p>
    <w:p w14:paraId="68A5D3C3" w14:textId="3D4BFF1B" w:rsidR="003433FA" w:rsidRPr="00FF4A31" w:rsidRDefault="003433FA" w:rsidP="007E2839">
      <w:pPr>
        <w:pStyle w:val="NoSpacing"/>
        <w:spacing w:after="120"/>
        <w:rPr>
          <w:b/>
          <w:sz w:val="24"/>
        </w:rPr>
      </w:pPr>
      <w:r w:rsidRPr="00FF4A31">
        <w:rPr>
          <w:b/>
          <w:sz w:val="24"/>
        </w:rPr>
        <w:t>Workplace</w:t>
      </w:r>
      <w:r w:rsidR="00726C3D">
        <w:rPr>
          <w:b/>
          <w:sz w:val="24"/>
        </w:rPr>
        <w:t xml:space="preserve"> </w:t>
      </w:r>
      <w:r w:rsidR="00726C3D" w:rsidRPr="00726C3D">
        <w:rPr>
          <w:b/>
          <w:sz w:val="24"/>
        </w:rPr>
        <w:t>(including adults w/food allergy)</w:t>
      </w:r>
    </w:p>
    <w:p w14:paraId="249E6896" w14:textId="2B959733" w:rsidR="009423A9" w:rsidRDefault="009423A9" w:rsidP="007E2839">
      <w:pPr>
        <w:pStyle w:val="NoSpacing"/>
        <w:numPr>
          <w:ilvl w:val="0"/>
          <w:numId w:val="25"/>
        </w:numPr>
        <w:spacing w:after="120"/>
        <w:ind w:left="360"/>
      </w:pPr>
      <w:r>
        <w:t>Create a safe working environment by partnering with your employer</w:t>
      </w:r>
      <w:r w:rsidR="00266161">
        <w:t xml:space="preserve"> to</w:t>
      </w:r>
      <w:r>
        <w:t xml:space="preserve"> </w:t>
      </w:r>
      <w:r w:rsidR="00266161">
        <w:t>incorporate food allergy awareness training into your company’s onboarding process for new employees.</w:t>
      </w:r>
      <w:r>
        <w:t xml:space="preserve"> </w:t>
      </w:r>
    </w:p>
    <w:p w14:paraId="582BC888" w14:textId="186546CE" w:rsidR="009423A9" w:rsidRDefault="00266161" w:rsidP="007E2839">
      <w:pPr>
        <w:pStyle w:val="NoSpacing"/>
        <w:numPr>
          <w:ilvl w:val="0"/>
          <w:numId w:val="25"/>
        </w:numPr>
        <w:spacing w:after="120"/>
        <w:ind w:left="360"/>
      </w:pPr>
      <w:r>
        <w:t>Raise food allergy awareness in your workplace by hosting quarterly</w:t>
      </w:r>
      <w:r w:rsidR="00317946">
        <w:t xml:space="preserve"> </w:t>
      </w:r>
      <w:r>
        <w:t>Lunch ‘n Learns so all employees understand what their co-workers with food allergies face daily at work</w:t>
      </w:r>
      <w:r w:rsidR="00F534F7">
        <w:t>.</w:t>
      </w:r>
      <w:r>
        <w:t xml:space="preserve"> </w:t>
      </w:r>
    </w:p>
    <w:p w14:paraId="47654932" w14:textId="2C943B37" w:rsidR="00FF4A31" w:rsidRPr="005D5CB9" w:rsidRDefault="00266161" w:rsidP="00B968CC">
      <w:pPr>
        <w:pStyle w:val="NoSpacing"/>
        <w:numPr>
          <w:ilvl w:val="0"/>
          <w:numId w:val="25"/>
        </w:numPr>
        <w:spacing w:after="120"/>
        <w:ind w:left="360"/>
      </w:pPr>
      <w:r>
        <w:t>Establish an annual</w:t>
      </w:r>
      <w:r w:rsidR="00B12062">
        <w:t xml:space="preserve"> </w:t>
      </w:r>
      <w:r w:rsidR="00686627" w:rsidRPr="00B97C45">
        <w:t>Teal Pumpkin Project activity</w:t>
      </w:r>
      <w:r w:rsidR="00686627">
        <w:t xml:space="preserve"> </w:t>
      </w:r>
      <w:r w:rsidR="00B12062">
        <w:t>(</w:t>
      </w:r>
      <w:r w:rsidR="00E75926">
        <w:t>e.g.,</w:t>
      </w:r>
      <w:r>
        <w:t xml:space="preserve"> teal pumpkin </w:t>
      </w:r>
      <w:r w:rsidR="00B12062">
        <w:t xml:space="preserve">decorating </w:t>
      </w:r>
      <w:r>
        <w:t>contest</w:t>
      </w:r>
      <w:r w:rsidR="00B12062">
        <w:t xml:space="preserve">) </w:t>
      </w:r>
      <w:r>
        <w:t>with the goal of having employees take the message back to their homes and neighborhoods.</w:t>
      </w:r>
    </w:p>
    <w:p w14:paraId="45986241" w14:textId="77777777" w:rsidR="00FF4A31" w:rsidRPr="004128E8" w:rsidRDefault="00FF4A31" w:rsidP="007E2839">
      <w:pPr>
        <w:pStyle w:val="Heading2"/>
        <w:spacing w:before="0" w:after="120" w:line="240" w:lineRule="auto"/>
      </w:pPr>
      <w:bookmarkStart w:id="7" w:name="_Toc94531551"/>
      <w:r w:rsidRPr="004128E8">
        <w:t>Appendix B: FARE Logo Usage Guidelines</w:t>
      </w:r>
      <w:bookmarkEnd w:id="7"/>
    </w:p>
    <w:p w14:paraId="1228E4E2" w14:textId="441EAFF6" w:rsidR="00FF4A31" w:rsidRDefault="00FF4A31" w:rsidP="007E2839">
      <w:pPr>
        <w:pStyle w:val="NoSpacing"/>
        <w:numPr>
          <w:ilvl w:val="0"/>
          <w:numId w:val="17"/>
        </w:numPr>
        <w:spacing w:after="120"/>
      </w:pPr>
      <w:r w:rsidRPr="00FF4A31">
        <w:t xml:space="preserve">FARE’s logo may not be altered or modified with elements that are not present in the original (such as drop shadows, </w:t>
      </w:r>
      <w:r w:rsidR="0062568C" w:rsidRPr="00FF4A31">
        <w:t>borders,</w:t>
      </w:r>
      <w:r w:rsidRPr="00FF4A31">
        <w:t xml:space="preserve"> or frames).</w:t>
      </w:r>
    </w:p>
    <w:p w14:paraId="45E15D56" w14:textId="77777777" w:rsidR="00FF4A31" w:rsidRDefault="00FF4A31" w:rsidP="007E2839">
      <w:pPr>
        <w:pStyle w:val="NoSpacing"/>
        <w:numPr>
          <w:ilvl w:val="0"/>
          <w:numId w:val="17"/>
        </w:numPr>
        <w:spacing w:after="120"/>
      </w:pPr>
      <w:r w:rsidRPr="00FF4A31">
        <w:t>The logo may appear in black</w:t>
      </w:r>
      <w:r w:rsidR="00F4318A">
        <w:t xml:space="preserve"> </w:t>
      </w:r>
      <w:r w:rsidRPr="00FF4A31">
        <w:t>or, if materials are in color, in its original blue.</w:t>
      </w:r>
    </w:p>
    <w:p w14:paraId="71C695AA" w14:textId="5DE76084" w:rsidR="00FF4A31" w:rsidRDefault="00FF4A31" w:rsidP="007E2839">
      <w:pPr>
        <w:pStyle w:val="NoSpacing"/>
        <w:numPr>
          <w:ilvl w:val="0"/>
          <w:numId w:val="17"/>
        </w:numPr>
        <w:spacing w:after="120"/>
      </w:pPr>
      <w:r w:rsidRPr="00FF4A31">
        <w:t>The logo must not be resized disproportionately</w:t>
      </w:r>
      <w:r w:rsidR="00E661D5" w:rsidRPr="00FF4A31">
        <w:t xml:space="preserve">. </w:t>
      </w:r>
    </w:p>
    <w:p w14:paraId="6A688A66" w14:textId="77777777" w:rsidR="00FF4A31" w:rsidRDefault="00FF4A31" w:rsidP="007E2839">
      <w:pPr>
        <w:pStyle w:val="NoSpacing"/>
        <w:numPr>
          <w:ilvl w:val="0"/>
          <w:numId w:val="17"/>
        </w:numPr>
        <w:spacing w:after="120"/>
      </w:pPr>
      <w:r w:rsidRPr="00FF4A31">
        <w:t xml:space="preserve">Only high-resolution logo files, </w:t>
      </w:r>
      <w:r w:rsidRPr="00FF4A31">
        <w:rPr>
          <w:u w:val="single"/>
        </w:rPr>
        <w:t>which will be furnished by FARE</w:t>
      </w:r>
      <w:r w:rsidRPr="00FF4A31">
        <w:t>, may be used.</w:t>
      </w:r>
    </w:p>
    <w:p w14:paraId="55242BED" w14:textId="77777777" w:rsidR="00FF4A31" w:rsidRDefault="00000000" w:rsidP="007E2839">
      <w:pPr>
        <w:pStyle w:val="NoSpacing"/>
        <w:spacing w:after="120"/>
        <w:rPr>
          <w:b/>
          <w:sz w:val="28"/>
        </w:rPr>
      </w:pPr>
      <w:r>
        <w:lastRenderedPageBreak/>
        <w:pict w14:anchorId="28E086B0">
          <v:rect id="_x0000_i1025" style="width:0;height:1.5pt" o:hralign="center" o:hrstd="t" o:hr="t" fillcolor="#a0a0a0" stroked="f"/>
        </w:pict>
      </w:r>
    </w:p>
    <w:p w14:paraId="4D927F64" w14:textId="77777777" w:rsidR="00FF4A31" w:rsidRPr="004128E8" w:rsidRDefault="00FF4A31" w:rsidP="007E2839">
      <w:pPr>
        <w:pStyle w:val="Heading2"/>
        <w:spacing w:before="0" w:after="120" w:line="240" w:lineRule="auto"/>
        <w:rPr>
          <w:color w:val="0070C0"/>
          <w:sz w:val="28"/>
        </w:rPr>
      </w:pPr>
      <w:bookmarkStart w:id="8" w:name="_Toc94531552"/>
      <w:r w:rsidRPr="004128E8">
        <w:rPr>
          <w:color w:val="0070C0"/>
          <w:sz w:val="28"/>
        </w:rPr>
        <w:t>Appendix C: Award Amounts</w:t>
      </w:r>
      <w:bookmarkEnd w:id="8"/>
    </w:p>
    <w:p w14:paraId="67A2ADF2" w14:textId="10FDF0F7" w:rsidR="00FF4A31" w:rsidRDefault="00FF4A31" w:rsidP="003D3843">
      <w:pPr>
        <w:pStyle w:val="NoSpacing"/>
        <w:spacing w:after="120"/>
      </w:pPr>
      <w:r w:rsidRPr="00FF4A31">
        <w:t xml:space="preserve">FARE will provide awards </w:t>
      </w:r>
      <w:r w:rsidR="0011483B" w:rsidRPr="008B1362">
        <w:rPr>
          <w:b/>
          <w:bCs/>
        </w:rPr>
        <w:t>up to</w:t>
      </w:r>
      <w:r w:rsidR="0011483B">
        <w:t xml:space="preserve"> </w:t>
      </w:r>
      <w:r w:rsidR="0011483B" w:rsidRPr="0011483B">
        <w:rPr>
          <w:b/>
          <w:bCs/>
        </w:rPr>
        <w:t>$</w:t>
      </w:r>
      <w:r w:rsidR="0043320A">
        <w:rPr>
          <w:b/>
          <w:bCs/>
        </w:rPr>
        <w:t>3</w:t>
      </w:r>
      <w:r w:rsidR="0011483B" w:rsidRPr="0011483B">
        <w:rPr>
          <w:b/>
          <w:bCs/>
        </w:rPr>
        <w:t>,</w:t>
      </w:r>
      <w:r w:rsidR="0034693B">
        <w:rPr>
          <w:b/>
          <w:bCs/>
        </w:rPr>
        <w:t>0</w:t>
      </w:r>
      <w:r w:rsidR="0011483B" w:rsidRPr="0011483B">
        <w:rPr>
          <w:b/>
          <w:bCs/>
        </w:rPr>
        <w:t>00</w:t>
      </w:r>
      <w:r w:rsidRPr="00FF4A31">
        <w:t xml:space="preserve">. </w:t>
      </w:r>
    </w:p>
    <w:p w14:paraId="66F805E3" w14:textId="77777777" w:rsidR="00FF4A31" w:rsidRDefault="00FF4A31" w:rsidP="003D3843">
      <w:pPr>
        <w:pStyle w:val="NoSpacing"/>
        <w:numPr>
          <w:ilvl w:val="0"/>
          <w:numId w:val="39"/>
        </w:numPr>
        <w:spacing w:after="120"/>
      </w:pPr>
      <w:r w:rsidRPr="00FF4A31">
        <w:t xml:space="preserve">Budget Plans are required for ALL award requests. </w:t>
      </w:r>
    </w:p>
    <w:p w14:paraId="5406C1A9" w14:textId="77777777" w:rsidR="00FF4A31" w:rsidRDefault="00FF4A31" w:rsidP="003D3843">
      <w:pPr>
        <w:pStyle w:val="NoSpacing"/>
        <w:numPr>
          <w:ilvl w:val="0"/>
          <w:numId w:val="39"/>
        </w:numPr>
        <w:spacing w:after="120"/>
      </w:pPr>
      <w:r w:rsidRPr="00FF4A31">
        <w:t>Partial awards may be issued to allow FARE to provide a greater</w:t>
      </w:r>
      <w:r>
        <w:t xml:space="preserve"> number of awards to applicants.</w:t>
      </w:r>
    </w:p>
    <w:p w14:paraId="19161E55" w14:textId="77777777" w:rsidR="00FF4A31" w:rsidRPr="00FF4A31" w:rsidRDefault="00000000" w:rsidP="007E2839">
      <w:pPr>
        <w:pStyle w:val="NoSpacing"/>
        <w:spacing w:after="120"/>
      </w:pPr>
      <w:r>
        <w:pict w14:anchorId="489BDC9D">
          <v:rect id="_x0000_i1026" style="width:0;height:1.5pt" o:hralign="center" o:hrstd="t" o:hr="t" fillcolor="#a0a0a0" stroked="f"/>
        </w:pict>
      </w:r>
    </w:p>
    <w:p w14:paraId="12325B3D" w14:textId="0E811C88" w:rsidR="00FF4A31" w:rsidRPr="004128E8" w:rsidRDefault="00FF4A31" w:rsidP="007E2839">
      <w:pPr>
        <w:pStyle w:val="Heading2"/>
        <w:spacing w:before="0" w:after="120" w:line="240" w:lineRule="auto"/>
      </w:pPr>
      <w:bookmarkStart w:id="9" w:name="_Toc94531554"/>
      <w:r w:rsidRPr="004128E8">
        <w:t xml:space="preserve">Appendix </w:t>
      </w:r>
      <w:r w:rsidR="0034693B">
        <w:t>D</w:t>
      </w:r>
      <w:r w:rsidRPr="004128E8">
        <w:t>: Tax Implications for Funded Projects</w:t>
      </w:r>
      <w:bookmarkEnd w:id="9"/>
    </w:p>
    <w:p w14:paraId="0B7D4F7A" w14:textId="77777777" w:rsidR="00FF4A31" w:rsidRPr="00FF4A31" w:rsidRDefault="00FF4A31" w:rsidP="007E2839">
      <w:pPr>
        <w:pStyle w:val="NoSpacing"/>
        <w:spacing w:after="120"/>
      </w:pPr>
      <w:r w:rsidRPr="00FF4A31">
        <w:t xml:space="preserve">FARE regularly receives questions about the tax implications for funds dispersed for community outreach projects. This section is intended to address the importance of tracking all expenses related to your </w:t>
      </w:r>
      <w:r w:rsidR="001D556F" w:rsidRPr="00FF4A31">
        <w:t>project and</w:t>
      </w:r>
      <w:r w:rsidRPr="00FF4A31">
        <w:t xml:space="preserve"> submitting all necessary documentation to FARE in a timely manner. </w:t>
      </w:r>
    </w:p>
    <w:p w14:paraId="092DD0BB" w14:textId="3BD71065" w:rsidR="00FF4A31" w:rsidRPr="00FF4A31" w:rsidRDefault="00FF4A31" w:rsidP="007E2839">
      <w:pPr>
        <w:pStyle w:val="NoSpacing"/>
        <w:spacing w:after="120"/>
      </w:pPr>
      <w:r w:rsidRPr="00FF4A31">
        <w:t xml:space="preserve">Community Outreach Awards are part of FARE’s mission, and oversight of projects are fully executed and monitored by FARE. It is critical that the project manager </w:t>
      </w:r>
      <w:r w:rsidR="00D72146" w:rsidRPr="00FF4A31">
        <w:t>submits</w:t>
      </w:r>
      <w:r w:rsidRPr="00FF4A31">
        <w:t xml:space="preserve"> appropriate supporting documentation to verify that awarded funds are spent solely to support the approved community outreach project.</w:t>
      </w:r>
    </w:p>
    <w:p w14:paraId="3E97F3C7" w14:textId="1F46ACBF" w:rsidR="00FF4A31" w:rsidRDefault="00FF4A31" w:rsidP="007E2839">
      <w:pPr>
        <w:pStyle w:val="NoSpacing"/>
        <w:spacing w:after="120"/>
      </w:pPr>
      <w:r>
        <w:t xml:space="preserve">Upon completion of a community outreach project, the project manager is required to submit an expense reconciliation form (to be provided by FARE) and copies of all project receipts, scanned and sent via email by </w:t>
      </w:r>
      <w:r w:rsidRPr="684C24E4">
        <w:rPr>
          <w:b/>
          <w:bCs/>
        </w:rPr>
        <w:t xml:space="preserve">December </w:t>
      </w:r>
      <w:r w:rsidR="005A2723" w:rsidRPr="684C24E4">
        <w:rPr>
          <w:b/>
          <w:bCs/>
        </w:rPr>
        <w:t>3</w:t>
      </w:r>
      <w:r w:rsidR="00BC6C90" w:rsidRPr="684C24E4">
        <w:rPr>
          <w:b/>
          <w:bCs/>
        </w:rPr>
        <w:t>1</w:t>
      </w:r>
      <w:r w:rsidRPr="684C24E4">
        <w:rPr>
          <w:b/>
          <w:bCs/>
        </w:rPr>
        <w:t>, 20</w:t>
      </w:r>
      <w:r w:rsidR="0079671A" w:rsidRPr="684C24E4">
        <w:rPr>
          <w:b/>
          <w:bCs/>
        </w:rPr>
        <w:t>2</w:t>
      </w:r>
      <w:r w:rsidR="008C67B5">
        <w:rPr>
          <w:b/>
          <w:bCs/>
        </w:rPr>
        <w:t>5</w:t>
      </w:r>
      <w:r>
        <w:t>.</w:t>
      </w:r>
    </w:p>
    <w:p w14:paraId="30688871" w14:textId="45E45EAE" w:rsidR="00FF4A31" w:rsidRPr="004515F7" w:rsidRDefault="00FF4A31" w:rsidP="007E2839">
      <w:pPr>
        <w:pStyle w:val="NoSpacing"/>
        <w:spacing w:after="120"/>
      </w:pPr>
      <w:r w:rsidRPr="00FF4A31">
        <w:t xml:space="preserve">Failure to reconcile project expenses will subject the funding award to taxable income rules of the IRS. Additionally, FARE is required by law to issue a Form 1099-MISC (Miscellaneous Income) at the end of the year for unreconciled projects funded </w:t>
      </w:r>
      <w:proofErr w:type="gramStart"/>
      <w:r w:rsidRPr="00FF4A31">
        <w:t>in excess of</w:t>
      </w:r>
      <w:proofErr w:type="gramEnd"/>
      <w:r w:rsidRPr="00FF4A31">
        <w:t xml:space="preserve"> $599.99.</w:t>
      </w:r>
    </w:p>
    <w:p w14:paraId="04DB4725" w14:textId="77777777" w:rsidR="00FF4A31" w:rsidRDefault="00FF4A31" w:rsidP="007E2839">
      <w:pPr>
        <w:pStyle w:val="NoSpacing"/>
        <w:spacing w:after="120"/>
      </w:pPr>
    </w:p>
    <w:sectPr w:rsidR="00FF4A31" w:rsidSect="00136CEB">
      <w:headerReference w:type="default" r:id="rId14"/>
      <w:footerReference w:type="default" r:id="rId15"/>
      <w:headerReference w:type="first" r:id="rId16"/>
      <w:pgSz w:w="12240" w:h="15840"/>
      <w:pgMar w:top="21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0AB0" w14:textId="77777777" w:rsidR="002562F4" w:rsidRDefault="002562F4" w:rsidP="004128E8">
      <w:pPr>
        <w:spacing w:after="0" w:line="240" w:lineRule="auto"/>
      </w:pPr>
      <w:r>
        <w:separator/>
      </w:r>
    </w:p>
  </w:endnote>
  <w:endnote w:type="continuationSeparator" w:id="0">
    <w:p w14:paraId="3740A2DF" w14:textId="77777777" w:rsidR="002562F4" w:rsidRDefault="002562F4" w:rsidP="0041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44373"/>
      <w:docPartObj>
        <w:docPartGallery w:val="Page Numbers (Bottom of Page)"/>
        <w:docPartUnique/>
      </w:docPartObj>
    </w:sdtPr>
    <w:sdtEndPr>
      <w:rPr>
        <w:noProof/>
      </w:rPr>
    </w:sdtEndPr>
    <w:sdtContent>
      <w:p w14:paraId="0490BA29" w14:textId="77777777" w:rsidR="003E6270" w:rsidRDefault="003E6270">
        <w:pPr>
          <w:pStyle w:val="Footer"/>
          <w:jc w:val="right"/>
        </w:pPr>
        <w:r>
          <w:fldChar w:fldCharType="begin"/>
        </w:r>
        <w:r>
          <w:instrText xml:space="preserve"> PAGE   \* MERGEFORMAT </w:instrText>
        </w:r>
        <w:r>
          <w:fldChar w:fldCharType="separate"/>
        </w:r>
        <w:r w:rsidR="000116B3">
          <w:rPr>
            <w:noProof/>
          </w:rPr>
          <w:t>1</w:t>
        </w:r>
        <w:r>
          <w:rPr>
            <w:noProof/>
          </w:rPr>
          <w:fldChar w:fldCharType="end"/>
        </w:r>
      </w:p>
    </w:sdtContent>
  </w:sdt>
  <w:p w14:paraId="3F426700" w14:textId="77777777" w:rsidR="003E6270" w:rsidRDefault="003E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8D63" w14:textId="77777777" w:rsidR="002562F4" w:rsidRDefault="002562F4" w:rsidP="004128E8">
      <w:pPr>
        <w:spacing w:after="0" w:line="240" w:lineRule="auto"/>
      </w:pPr>
      <w:r>
        <w:separator/>
      </w:r>
    </w:p>
  </w:footnote>
  <w:footnote w:type="continuationSeparator" w:id="0">
    <w:p w14:paraId="62F3E617" w14:textId="77777777" w:rsidR="002562F4" w:rsidRDefault="002562F4" w:rsidP="0041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FED8" w14:textId="04C1726C" w:rsidR="004128E8" w:rsidRDefault="004128E8">
    <w:pPr>
      <w:pStyle w:val="Header"/>
    </w:pPr>
  </w:p>
  <w:p w14:paraId="799C9EE6" w14:textId="77777777" w:rsidR="004128E8" w:rsidRDefault="00412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B88" w14:textId="42735E81" w:rsidR="00136CEB" w:rsidRDefault="004F5AD9">
    <w:pPr>
      <w:pStyle w:val="Header"/>
    </w:pPr>
    <w:r>
      <w:rPr>
        <w:noProof/>
      </w:rPr>
      <w:drawing>
        <wp:anchor distT="0" distB="0" distL="114300" distR="114300" simplePos="0" relativeHeight="251658240" behindDoc="0" locked="0" layoutInCell="1" allowOverlap="1" wp14:anchorId="5EFD5F91" wp14:editId="211D6BE6">
          <wp:simplePos x="0" y="0"/>
          <wp:positionH relativeFrom="column">
            <wp:posOffset>-254000</wp:posOffset>
          </wp:positionH>
          <wp:positionV relativeFrom="paragraph">
            <wp:posOffset>-387350</wp:posOffset>
          </wp:positionV>
          <wp:extent cx="2393950" cy="966276"/>
          <wp:effectExtent l="0" t="0" r="0" b="0"/>
          <wp:wrapSquare wrapText="bothSides"/>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950" cy="9662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56"/>
    <w:multiLevelType w:val="hybridMultilevel"/>
    <w:tmpl w:val="4B2E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05E4"/>
    <w:multiLevelType w:val="hybridMultilevel"/>
    <w:tmpl w:val="008AE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6EF1"/>
    <w:multiLevelType w:val="hybridMultilevel"/>
    <w:tmpl w:val="F8768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F7D82"/>
    <w:multiLevelType w:val="hybridMultilevel"/>
    <w:tmpl w:val="5F7C7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75DBD"/>
    <w:multiLevelType w:val="hybridMultilevel"/>
    <w:tmpl w:val="FE2C7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C7B46"/>
    <w:multiLevelType w:val="hybridMultilevel"/>
    <w:tmpl w:val="99A8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A675F"/>
    <w:multiLevelType w:val="hybridMultilevel"/>
    <w:tmpl w:val="25A2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6176B"/>
    <w:multiLevelType w:val="hybridMultilevel"/>
    <w:tmpl w:val="5614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E24CD"/>
    <w:multiLevelType w:val="hybridMultilevel"/>
    <w:tmpl w:val="2A8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677A1"/>
    <w:multiLevelType w:val="hybridMultilevel"/>
    <w:tmpl w:val="37669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16B42"/>
    <w:multiLevelType w:val="multilevel"/>
    <w:tmpl w:val="2D34A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E1FD3"/>
    <w:multiLevelType w:val="hybridMultilevel"/>
    <w:tmpl w:val="783A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62BD0"/>
    <w:multiLevelType w:val="hybridMultilevel"/>
    <w:tmpl w:val="6990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D37EA"/>
    <w:multiLevelType w:val="hybridMultilevel"/>
    <w:tmpl w:val="B806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5B35"/>
    <w:multiLevelType w:val="hybridMultilevel"/>
    <w:tmpl w:val="8CF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837BF"/>
    <w:multiLevelType w:val="hybridMultilevel"/>
    <w:tmpl w:val="BB30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03CDD"/>
    <w:multiLevelType w:val="hybridMultilevel"/>
    <w:tmpl w:val="670A74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7741E4E"/>
    <w:multiLevelType w:val="hybridMultilevel"/>
    <w:tmpl w:val="9E98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146FF"/>
    <w:multiLevelType w:val="hybridMultilevel"/>
    <w:tmpl w:val="E1F6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F123C"/>
    <w:multiLevelType w:val="hybridMultilevel"/>
    <w:tmpl w:val="FACE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C6337"/>
    <w:multiLevelType w:val="hybridMultilevel"/>
    <w:tmpl w:val="0B48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14A79"/>
    <w:multiLevelType w:val="hybridMultilevel"/>
    <w:tmpl w:val="A2E845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D7BC9"/>
    <w:multiLevelType w:val="hybridMultilevel"/>
    <w:tmpl w:val="474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B6044"/>
    <w:multiLevelType w:val="hybridMultilevel"/>
    <w:tmpl w:val="E32C9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83A38"/>
    <w:multiLevelType w:val="hybridMultilevel"/>
    <w:tmpl w:val="8BE435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25281"/>
    <w:multiLevelType w:val="hybridMultilevel"/>
    <w:tmpl w:val="0198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7170E"/>
    <w:multiLevelType w:val="hybridMultilevel"/>
    <w:tmpl w:val="698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15892"/>
    <w:multiLevelType w:val="hybridMultilevel"/>
    <w:tmpl w:val="43A0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F37F7"/>
    <w:multiLevelType w:val="hybridMultilevel"/>
    <w:tmpl w:val="DEE4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A47B3"/>
    <w:multiLevelType w:val="hybridMultilevel"/>
    <w:tmpl w:val="7B22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362FC"/>
    <w:multiLevelType w:val="hybridMultilevel"/>
    <w:tmpl w:val="6F20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41ABE"/>
    <w:multiLevelType w:val="hybridMultilevel"/>
    <w:tmpl w:val="2EDE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22ABB"/>
    <w:multiLevelType w:val="hybridMultilevel"/>
    <w:tmpl w:val="5F8C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126E7"/>
    <w:multiLevelType w:val="hybridMultilevel"/>
    <w:tmpl w:val="24BA5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16613"/>
    <w:multiLevelType w:val="hybridMultilevel"/>
    <w:tmpl w:val="7538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64579"/>
    <w:multiLevelType w:val="hybridMultilevel"/>
    <w:tmpl w:val="EA52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71979"/>
    <w:multiLevelType w:val="hybridMultilevel"/>
    <w:tmpl w:val="D822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75507"/>
    <w:multiLevelType w:val="hybridMultilevel"/>
    <w:tmpl w:val="645A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64060"/>
    <w:multiLevelType w:val="hybridMultilevel"/>
    <w:tmpl w:val="D30E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63486"/>
    <w:multiLevelType w:val="hybridMultilevel"/>
    <w:tmpl w:val="778C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C17166"/>
    <w:multiLevelType w:val="hybridMultilevel"/>
    <w:tmpl w:val="43C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D7388"/>
    <w:multiLevelType w:val="hybridMultilevel"/>
    <w:tmpl w:val="25463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E5D76"/>
    <w:multiLevelType w:val="hybridMultilevel"/>
    <w:tmpl w:val="37D2C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A469B"/>
    <w:multiLevelType w:val="hybridMultilevel"/>
    <w:tmpl w:val="D536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D10A6"/>
    <w:multiLevelType w:val="hybridMultilevel"/>
    <w:tmpl w:val="EB8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B090A"/>
    <w:multiLevelType w:val="hybridMultilevel"/>
    <w:tmpl w:val="E06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74754">
    <w:abstractNumId w:val="10"/>
  </w:num>
  <w:num w:numId="2" w16cid:durableId="196746739">
    <w:abstractNumId w:val="36"/>
  </w:num>
  <w:num w:numId="3" w16cid:durableId="1697270762">
    <w:abstractNumId w:val="13"/>
  </w:num>
  <w:num w:numId="4" w16cid:durableId="1363943055">
    <w:abstractNumId w:val="40"/>
  </w:num>
  <w:num w:numId="5" w16cid:durableId="1628900532">
    <w:abstractNumId w:val="29"/>
  </w:num>
  <w:num w:numId="6" w16cid:durableId="837889721">
    <w:abstractNumId w:val="32"/>
  </w:num>
  <w:num w:numId="7" w16cid:durableId="1023358752">
    <w:abstractNumId w:val="0"/>
  </w:num>
  <w:num w:numId="8" w16cid:durableId="845367652">
    <w:abstractNumId w:val="2"/>
  </w:num>
  <w:num w:numId="9" w16cid:durableId="1859588102">
    <w:abstractNumId w:val="44"/>
  </w:num>
  <w:num w:numId="10" w16cid:durableId="1457289265">
    <w:abstractNumId w:val="41"/>
  </w:num>
  <w:num w:numId="11" w16cid:durableId="1019232449">
    <w:abstractNumId w:val="17"/>
  </w:num>
  <w:num w:numId="12" w16cid:durableId="533732471">
    <w:abstractNumId w:val="18"/>
  </w:num>
  <w:num w:numId="13" w16cid:durableId="2088769129">
    <w:abstractNumId w:val="9"/>
  </w:num>
  <w:num w:numId="14" w16cid:durableId="1619557259">
    <w:abstractNumId w:val="19"/>
  </w:num>
  <w:num w:numId="15" w16cid:durableId="848132363">
    <w:abstractNumId w:val="45"/>
  </w:num>
  <w:num w:numId="16" w16cid:durableId="1671566002">
    <w:abstractNumId w:val="21"/>
  </w:num>
  <w:num w:numId="17" w16cid:durableId="66926832">
    <w:abstractNumId w:val="4"/>
  </w:num>
  <w:num w:numId="18" w16cid:durableId="850609068">
    <w:abstractNumId w:val="43"/>
  </w:num>
  <w:num w:numId="19" w16cid:durableId="1930697885">
    <w:abstractNumId w:val="12"/>
  </w:num>
  <w:num w:numId="20" w16cid:durableId="2067757762">
    <w:abstractNumId w:val="37"/>
  </w:num>
  <w:num w:numId="21" w16cid:durableId="1118836400">
    <w:abstractNumId w:val="26"/>
  </w:num>
  <w:num w:numId="22" w16cid:durableId="997075975">
    <w:abstractNumId w:val="23"/>
  </w:num>
  <w:num w:numId="23" w16cid:durableId="1535532280">
    <w:abstractNumId w:val="7"/>
  </w:num>
  <w:num w:numId="24" w16cid:durableId="529338507">
    <w:abstractNumId w:val="6"/>
  </w:num>
  <w:num w:numId="25" w16cid:durableId="266812736">
    <w:abstractNumId w:val="38"/>
  </w:num>
  <w:num w:numId="26" w16cid:durableId="1990867185">
    <w:abstractNumId w:val="1"/>
  </w:num>
  <w:num w:numId="27" w16cid:durableId="1798258184">
    <w:abstractNumId w:val="30"/>
  </w:num>
  <w:num w:numId="28" w16cid:durableId="1773743555">
    <w:abstractNumId w:val="22"/>
  </w:num>
  <w:num w:numId="29" w16cid:durableId="1626154685">
    <w:abstractNumId w:val="20"/>
  </w:num>
  <w:num w:numId="30" w16cid:durableId="769550551">
    <w:abstractNumId w:val="31"/>
  </w:num>
  <w:num w:numId="31" w16cid:durableId="1680427877">
    <w:abstractNumId w:val="27"/>
  </w:num>
  <w:num w:numId="32" w16cid:durableId="650327275">
    <w:abstractNumId w:val="34"/>
  </w:num>
  <w:num w:numId="33" w16cid:durableId="1710914775">
    <w:abstractNumId w:val="15"/>
  </w:num>
  <w:num w:numId="34" w16cid:durableId="268854693">
    <w:abstractNumId w:val="16"/>
  </w:num>
  <w:num w:numId="35" w16cid:durableId="1507597780">
    <w:abstractNumId w:val="14"/>
  </w:num>
  <w:num w:numId="36" w16cid:durableId="762383814">
    <w:abstractNumId w:val="42"/>
  </w:num>
  <w:num w:numId="37" w16cid:durableId="2089841322">
    <w:abstractNumId w:val="33"/>
  </w:num>
  <w:num w:numId="38" w16cid:durableId="604653006">
    <w:abstractNumId w:val="25"/>
  </w:num>
  <w:num w:numId="39" w16cid:durableId="2068717994">
    <w:abstractNumId w:val="35"/>
  </w:num>
  <w:num w:numId="40" w16cid:durableId="1764256619">
    <w:abstractNumId w:val="3"/>
  </w:num>
  <w:num w:numId="41" w16cid:durableId="2083789226">
    <w:abstractNumId w:val="11"/>
  </w:num>
  <w:num w:numId="42" w16cid:durableId="2086873720">
    <w:abstractNumId w:val="39"/>
  </w:num>
  <w:num w:numId="43" w16cid:durableId="1199850860">
    <w:abstractNumId w:val="28"/>
  </w:num>
  <w:num w:numId="44" w16cid:durableId="742996080">
    <w:abstractNumId w:val="5"/>
  </w:num>
  <w:num w:numId="45" w16cid:durableId="696734444">
    <w:abstractNumId w:val="24"/>
  </w:num>
  <w:num w:numId="46" w16cid:durableId="665062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7B"/>
    <w:rsid w:val="000116B3"/>
    <w:rsid w:val="00020F2E"/>
    <w:rsid w:val="00027D5A"/>
    <w:rsid w:val="00027F98"/>
    <w:rsid w:val="00040B67"/>
    <w:rsid w:val="000632DB"/>
    <w:rsid w:val="0007146E"/>
    <w:rsid w:val="000B4739"/>
    <w:rsid w:val="000B4ECB"/>
    <w:rsid w:val="000C6273"/>
    <w:rsid w:val="000D55FF"/>
    <w:rsid w:val="000E7B3B"/>
    <w:rsid w:val="000F2E8C"/>
    <w:rsid w:val="000F3586"/>
    <w:rsid w:val="00100AA2"/>
    <w:rsid w:val="0011483B"/>
    <w:rsid w:val="00132D68"/>
    <w:rsid w:val="00136CEB"/>
    <w:rsid w:val="001401C0"/>
    <w:rsid w:val="001440C7"/>
    <w:rsid w:val="001578C6"/>
    <w:rsid w:val="00175390"/>
    <w:rsid w:val="001A3251"/>
    <w:rsid w:val="001D556F"/>
    <w:rsid w:val="001D63BE"/>
    <w:rsid w:val="00201F0D"/>
    <w:rsid w:val="00203A3D"/>
    <w:rsid w:val="002125D8"/>
    <w:rsid w:val="0022409C"/>
    <w:rsid w:val="0023394C"/>
    <w:rsid w:val="00234B45"/>
    <w:rsid w:val="00243B41"/>
    <w:rsid w:val="002505C7"/>
    <w:rsid w:val="00255950"/>
    <w:rsid w:val="002562F4"/>
    <w:rsid w:val="00256E49"/>
    <w:rsid w:val="00261869"/>
    <w:rsid w:val="00266161"/>
    <w:rsid w:val="002B2DA1"/>
    <w:rsid w:val="002D128D"/>
    <w:rsid w:val="002E5102"/>
    <w:rsid w:val="002F277B"/>
    <w:rsid w:val="00317946"/>
    <w:rsid w:val="00322473"/>
    <w:rsid w:val="00325B34"/>
    <w:rsid w:val="003433FA"/>
    <w:rsid w:val="003442ED"/>
    <w:rsid w:val="00344C78"/>
    <w:rsid w:val="0034693B"/>
    <w:rsid w:val="003535AB"/>
    <w:rsid w:val="00385262"/>
    <w:rsid w:val="00386A00"/>
    <w:rsid w:val="003D2042"/>
    <w:rsid w:val="003D3142"/>
    <w:rsid w:val="003D3843"/>
    <w:rsid w:val="003D6DDA"/>
    <w:rsid w:val="003E567C"/>
    <w:rsid w:val="003E6270"/>
    <w:rsid w:val="00402C16"/>
    <w:rsid w:val="00410E2B"/>
    <w:rsid w:val="004128E8"/>
    <w:rsid w:val="00415AF4"/>
    <w:rsid w:val="00417026"/>
    <w:rsid w:val="00423DA8"/>
    <w:rsid w:val="0043320A"/>
    <w:rsid w:val="00433681"/>
    <w:rsid w:val="00446032"/>
    <w:rsid w:val="004515F7"/>
    <w:rsid w:val="00464D6F"/>
    <w:rsid w:val="004824E2"/>
    <w:rsid w:val="004A37CC"/>
    <w:rsid w:val="004A41EF"/>
    <w:rsid w:val="004A637B"/>
    <w:rsid w:val="004B4622"/>
    <w:rsid w:val="004E7239"/>
    <w:rsid w:val="004F5AD9"/>
    <w:rsid w:val="00503579"/>
    <w:rsid w:val="005048B0"/>
    <w:rsid w:val="00510C0E"/>
    <w:rsid w:val="00522C52"/>
    <w:rsid w:val="0052596E"/>
    <w:rsid w:val="005356DD"/>
    <w:rsid w:val="00541060"/>
    <w:rsid w:val="005447B4"/>
    <w:rsid w:val="00555EB6"/>
    <w:rsid w:val="00557352"/>
    <w:rsid w:val="00590A55"/>
    <w:rsid w:val="005A2723"/>
    <w:rsid w:val="005C3BF1"/>
    <w:rsid w:val="005D5CB9"/>
    <w:rsid w:val="005E0AAE"/>
    <w:rsid w:val="00605481"/>
    <w:rsid w:val="0062250E"/>
    <w:rsid w:val="0062568C"/>
    <w:rsid w:val="0063430F"/>
    <w:rsid w:val="00636E2F"/>
    <w:rsid w:val="00641F47"/>
    <w:rsid w:val="00646A21"/>
    <w:rsid w:val="00646B3E"/>
    <w:rsid w:val="006563AE"/>
    <w:rsid w:val="00656413"/>
    <w:rsid w:val="00671839"/>
    <w:rsid w:val="00686627"/>
    <w:rsid w:val="00686ECB"/>
    <w:rsid w:val="006C2E62"/>
    <w:rsid w:val="006E1287"/>
    <w:rsid w:val="006E49FD"/>
    <w:rsid w:val="00726C3D"/>
    <w:rsid w:val="0075208D"/>
    <w:rsid w:val="0077202A"/>
    <w:rsid w:val="00786AE0"/>
    <w:rsid w:val="0079310A"/>
    <w:rsid w:val="0079671A"/>
    <w:rsid w:val="007E2839"/>
    <w:rsid w:val="007E4295"/>
    <w:rsid w:val="007F61DC"/>
    <w:rsid w:val="007F711E"/>
    <w:rsid w:val="008052DF"/>
    <w:rsid w:val="00820CA9"/>
    <w:rsid w:val="00840935"/>
    <w:rsid w:val="008772CC"/>
    <w:rsid w:val="008A5BA8"/>
    <w:rsid w:val="008B1362"/>
    <w:rsid w:val="008B715E"/>
    <w:rsid w:val="008C67B5"/>
    <w:rsid w:val="008E6CE0"/>
    <w:rsid w:val="0093375D"/>
    <w:rsid w:val="009423A9"/>
    <w:rsid w:val="00942F77"/>
    <w:rsid w:val="0096168E"/>
    <w:rsid w:val="00970C96"/>
    <w:rsid w:val="009B3AFB"/>
    <w:rsid w:val="009B4781"/>
    <w:rsid w:val="009B4CC3"/>
    <w:rsid w:val="009D1AED"/>
    <w:rsid w:val="009D51D3"/>
    <w:rsid w:val="009D6E12"/>
    <w:rsid w:val="009F0052"/>
    <w:rsid w:val="00A02DCF"/>
    <w:rsid w:val="00A04745"/>
    <w:rsid w:val="00A1045F"/>
    <w:rsid w:val="00A20D3C"/>
    <w:rsid w:val="00A3439C"/>
    <w:rsid w:val="00A64675"/>
    <w:rsid w:val="00A90A67"/>
    <w:rsid w:val="00AC3941"/>
    <w:rsid w:val="00AE1235"/>
    <w:rsid w:val="00AE155A"/>
    <w:rsid w:val="00AE2433"/>
    <w:rsid w:val="00AE7DC4"/>
    <w:rsid w:val="00AF68A0"/>
    <w:rsid w:val="00B02138"/>
    <w:rsid w:val="00B12062"/>
    <w:rsid w:val="00B1354D"/>
    <w:rsid w:val="00B5144F"/>
    <w:rsid w:val="00BA31A4"/>
    <w:rsid w:val="00BB11B1"/>
    <w:rsid w:val="00BC6C90"/>
    <w:rsid w:val="00BC7BC3"/>
    <w:rsid w:val="00C25A49"/>
    <w:rsid w:val="00C34FBD"/>
    <w:rsid w:val="00C814B8"/>
    <w:rsid w:val="00C85F35"/>
    <w:rsid w:val="00CB19F0"/>
    <w:rsid w:val="00CB212E"/>
    <w:rsid w:val="00CB2C04"/>
    <w:rsid w:val="00CD4104"/>
    <w:rsid w:val="00CD4639"/>
    <w:rsid w:val="00D00B49"/>
    <w:rsid w:val="00D1418E"/>
    <w:rsid w:val="00D1753B"/>
    <w:rsid w:val="00D72146"/>
    <w:rsid w:val="00DA24CF"/>
    <w:rsid w:val="00DA3D83"/>
    <w:rsid w:val="00E22578"/>
    <w:rsid w:val="00E331D4"/>
    <w:rsid w:val="00E661D5"/>
    <w:rsid w:val="00E75926"/>
    <w:rsid w:val="00EA1B31"/>
    <w:rsid w:val="00EC4083"/>
    <w:rsid w:val="00ED32DD"/>
    <w:rsid w:val="00EE45E7"/>
    <w:rsid w:val="00F057FF"/>
    <w:rsid w:val="00F419EC"/>
    <w:rsid w:val="00F4318A"/>
    <w:rsid w:val="00F51966"/>
    <w:rsid w:val="00F534F7"/>
    <w:rsid w:val="00F56C5F"/>
    <w:rsid w:val="00F708BD"/>
    <w:rsid w:val="00F710DD"/>
    <w:rsid w:val="00F75D66"/>
    <w:rsid w:val="00F91186"/>
    <w:rsid w:val="00FF295A"/>
    <w:rsid w:val="00FF4A31"/>
    <w:rsid w:val="03C3FFEA"/>
    <w:rsid w:val="08242892"/>
    <w:rsid w:val="0C62C1B6"/>
    <w:rsid w:val="0DB0E5A4"/>
    <w:rsid w:val="1BB8D5DD"/>
    <w:rsid w:val="1DE7BC03"/>
    <w:rsid w:val="200ADC8B"/>
    <w:rsid w:val="20CF3F58"/>
    <w:rsid w:val="22FF8738"/>
    <w:rsid w:val="275E4DC8"/>
    <w:rsid w:val="28B5DCCE"/>
    <w:rsid w:val="28EAD773"/>
    <w:rsid w:val="2C34BD37"/>
    <w:rsid w:val="2C645F4B"/>
    <w:rsid w:val="3CABFF42"/>
    <w:rsid w:val="43AD149F"/>
    <w:rsid w:val="4D58F5A3"/>
    <w:rsid w:val="5219D9A6"/>
    <w:rsid w:val="530EF34C"/>
    <w:rsid w:val="5F0C9241"/>
    <w:rsid w:val="622F3D49"/>
    <w:rsid w:val="643EAEE9"/>
    <w:rsid w:val="65DA7F4A"/>
    <w:rsid w:val="679176E9"/>
    <w:rsid w:val="684C24E4"/>
    <w:rsid w:val="6C105FC8"/>
    <w:rsid w:val="703F702D"/>
    <w:rsid w:val="7600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E00A"/>
  <w15:chartTrackingRefBased/>
  <w15:docId w15:val="{FB304517-DD1E-4F78-922A-C0748D30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7B"/>
  </w:style>
  <w:style w:type="paragraph" w:styleId="Heading1">
    <w:name w:val="heading 1"/>
    <w:basedOn w:val="Normal"/>
    <w:next w:val="Normal"/>
    <w:link w:val="Heading1Char"/>
    <w:uiPriority w:val="9"/>
    <w:qFormat/>
    <w:rsid w:val="00590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0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77B"/>
    <w:pPr>
      <w:spacing w:after="0" w:line="240" w:lineRule="auto"/>
    </w:pPr>
  </w:style>
  <w:style w:type="character" w:styleId="Hyperlink">
    <w:name w:val="Hyperlink"/>
    <w:basedOn w:val="DefaultParagraphFont"/>
    <w:uiPriority w:val="99"/>
    <w:unhideWhenUsed/>
    <w:rsid w:val="002F277B"/>
    <w:rPr>
      <w:color w:val="0563C1" w:themeColor="hyperlink"/>
      <w:u w:val="single"/>
    </w:rPr>
  </w:style>
  <w:style w:type="paragraph" w:styleId="ListParagraph">
    <w:name w:val="List Paragraph"/>
    <w:basedOn w:val="Normal"/>
    <w:uiPriority w:val="34"/>
    <w:qFormat/>
    <w:rsid w:val="00522C52"/>
    <w:pPr>
      <w:spacing w:after="0" w:line="240" w:lineRule="auto"/>
      <w:ind w:left="720"/>
      <w:contextualSpacing/>
    </w:pPr>
    <w:rPr>
      <w:rFonts w:ascii="Calibri" w:hAnsi="Calibri" w:cs="Calibri"/>
    </w:rPr>
  </w:style>
  <w:style w:type="character" w:styleId="Strong">
    <w:name w:val="Strong"/>
    <w:basedOn w:val="DefaultParagraphFont"/>
    <w:uiPriority w:val="22"/>
    <w:qFormat/>
    <w:rsid w:val="00522C52"/>
    <w:rPr>
      <w:b/>
      <w:bCs/>
    </w:rPr>
  </w:style>
  <w:style w:type="paragraph" w:customStyle="1" w:styleId="Default">
    <w:name w:val="Default"/>
    <w:rsid w:val="00522C52"/>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unhideWhenUsed/>
    <w:rsid w:val="00686627"/>
    <w:rPr>
      <w:sz w:val="16"/>
      <w:szCs w:val="16"/>
    </w:rPr>
  </w:style>
  <w:style w:type="paragraph" w:styleId="CommentText">
    <w:name w:val="annotation text"/>
    <w:basedOn w:val="Normal"/>
    <w:link w:val="CommentTextChar"/>
    <w:uiPriority w:val="99"/>
    <w:semiHidden/>
    <w:unhideWhenUsed/>
    <w:rsid w:val="00686627"/>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686627"/>
    <w:rPr>
      <w:rFonts w:ascii="Calibri" w:hAnsi="Calibri" w:cs="Calibri"/>
      <w:sz w:val="20"/>
      <w:szCs w:val="20"/>
    </w:rPr>
  </w:style>
  <w:style w:type="paragraph" w:styleId="BalloonText">
    <w:name w:val="Balloon Text"/>
    <w:basedOn w:val="Normal"/>
    <w:link w:val="BalloonTextChar"/>
    <w:uiPriority w:val="99"/>
    <w:semiHidden/>
    <w:unhideWhenUsed/>
    <w:rsid w:val="00686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627"/>
    <w:rPr>
      <w:rFonts w:ascii="Segoe UI" w:hAnsi="Segoe UI" w:cs="Segoe UI"/>
      <w:sz w:val="18"/>
      <w:szCs w:val="18"/>
    </w:rPr>
  </w:style>
  <w:style w:type="table" w:styleId="TableGrid">
    <w:name w:val="Table Grid"/>
    <w:basedOn w:val="TableNormal"/>
    <w:uiPriority w:val="39"/>
    <w:rsid w:val="00FF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E8"/>
  </w:style>
  <w:style w:type="paragraph" w:styleId="Footer">
    <w:name w:val="footer"/>
    <w:basedOn w:val="Normal"/>
    <w:link w:val="FooterChar"/>
    <w:uiPriority w:val="99"/>
    <w:unhideWhenUsed/>
    <w:rsid w:val="0041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E8"/>
  </w:style>
  <w:style w:type="paragraph" w:styleId="CommentSubject">
    <w:name w:val="annotation subject"/>
    <w:basedOn w:val="CommentText"/>
    <w:next w:val="CommentText"/>
    <w:link w:val="CommentSubjectChar"/>
    <w:uiPriority w:val="99"/>
    <w:semiHidden/>
    <w:unhideWhenUsed/>
    <w:rsid w:val="00A20D3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20D3C"/>
    <w:rPr>
      <w:rFonts w:ascii="Calibri" w:hAnsi="Calibri" w:cs="Calibri"/>
      <w:b/>
      <w:bCs/>
      <w:sz w:val="20"/>
      <w:szCs w:val="20"/>
    </w:rPr>
  </w:style>
  <w:style w:type="character" w:customStyle="1" w:styleId="UnresolvedMention1">
    <w:name w:val="Unresolved Mention1"/>
    <w:basedOn w:val="DefaultParagraphFont"/>
    <w:uiPriority w:val="99"/>
    <w:semiHidden/>
    <w:unhideWhenUsed/>
    <w:rsid w:val="00510C0E"/>
    <w:rPr>
      <w:color w:val="808080"/>
      <w:shd w:val="clear" w:color="auto" w:fill="E6E6E6"/>
    </w:rPr>
  </w:style>
  <w:style w:type="character" w:customStyle="1" w:styleId="acopre">
    <w:name w:val="acopre"/>
    <w:basedOn w:val="DefaultParagraphFont"/>
    <w:rsid w:val="00AC3941"/>
  </w:style>
  <w:style w:type="character" w:styleId="Emphasis">
    <w:name w:val="Emphasis"/>
    <w:basedOn w:val="DefaultParagraphFont"/>
    <w:uiPriority w:val="20"/>
    <w:qFormat/>
    <w:rsid w:val="00AC3941"/>
    <w:rPr>
      <w:i/>
      <w:iCs/>
    </w:rPr>
  </w:style>
  <w:style w:type="character" w:styleId="UnresolvedMention">
    <w:name w:val="Unresolved Mention"/>
    <w:basedOn w:val="DefaultParagraphFont"/>
    <w:uiPriority w:val="99"/>
    <w:semiHidden/>
    <w:unhideWhenUsed/>
    <w:rsid w:val="000F2E8C"/>
    <w:rPr>
      <w:color w:val="605E5C"/>
      <w:shd w:val="clear" w:color="auto" w:fill="E1DFDD"/>
    </w:rPr>
  </w:style>
  <w:style w:type="character" w:customStyle="1" w:styleId="Heading1Char">
    <w:name w:val="Heading 1 Char"/>
    <w:basedOn w:val="DefaultParagraphFont"/>
    <w:link w:val="Heading1"/>
    <w:uiPriority w:val="9"/>
    <w:rsid w:val="00590A5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90A55"/>
    <w:pPr>
      <w:outlineLvl w:val="9"/>
    </w:pPr>
  </w:style>
  <w:style w:type="paragraph" w:styleId="TOC1">
    <w:name w:val="toc 1"/>
    <w:basedOn w:val="Normal"/>
    <w:next w:val="Normal"/>
    <w:autoRedefine/>
    <w:uiPriority w:val="39"/>
    <w:unhideWhenUsed/>
    <w:rsid w:val="00590A55"/>
    <w:pPr>
      <w:spacing w:after="100"/>
    </w:pPr>
  </w:style>
  <w:style w:type="character" w:customStyle="1" w:styleId="Heading2Char">
    <w:name w:val="Heading 2 Char"/>
    <w:basedOn w:val="DefaultParagraphFont"/>
    <w:link w:val="Heading2"/>
    <w:uiPriority w:val="9"/>
    <w:rsid w:val="00590A5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90A55"/>
    <w:pPr>
      <w:spacing w:after="100"/>
      <w:ind w:left="220"/>
    </w:pPr>
  </w:style>
  <w:style w:type="character" w:styleId="FollowedHyperlink">
    <w:name w:val="FollowedHyperlink"/>
    <w:basedOn w:val="DefaultParagraphFont"/>
    <w:uiPriority w:val="99"/>
    <w:semiHidden/>
    <w:unhideWhenUsed/>
    <w:rsid w:val="00423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230913">
      <w:bodyDiv w:val="1"/>
      <w:marLeft w:val="0"/>
      <w:marRight w:val="0"/>
      <w:marTop w:val="0"/>
      <w:marBottom w:val="0"/>
      <w:divBdr>
        <w:top w:val="none" w:sz="0" w:space="0" w:color="auto"/>
        <w:left w:val="none" w:sz="0" w:space="0" w:color="auto"/>
        <w:bottom w:val="none" w:sz="0" w:space="0" w:color="auto"/>
        <w:right w:val="none" w:sz="0" w:space="0" w:color="auto"/>
      </w:divBdr>
    </w:div>
    <w:div w:id="18415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llergy.org/our-initiatives/awareness-campaigns/fares-commitment-diversity-equity-and-inclu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leary@foodallerg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leary@foodallergy.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f2a86-f4b0-498e-9a78-59bee144fdfd">
      <Terms xmlns="http://schemas.microsoft.com/office/infopath/2007/PartnerControls"/>
    </lcf76f155ced4ddcb4097134ff3c332f>
    <TaxCatchAll xmlns="89034230-b3e4-495d-a686-c19188f4dbd7" xsi:nil="true"/>
    <DateTime xmlns="d9bf2a86-f4b0-498e-9a78-59bee144fd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93D341D52E948B1D9733A39C3D1BE" ma:contentTypeVersion="19" ma:contentTypeDescription="Create a new document." ma:contentTypeScope="" ma:versionID="a52dd647bdea06b9bb46fdb003a06d42">
  <xsd:schema xmlns:xsd="http://www.w3.org/2001/XMLSchema" xmlns:xs="http://www.w3.org/2001/XMLSchema" xmlns:p="http://schemas.microsoft.com/office/2006/metadata/properties" xmlns:ns2="d9bf2a86-f4b0-498e-9a78-59bee144fdfd" xmlns:ns3="89034230-b3e4-495d-a686-c19188f4dbd7" targetNamespace="http://schemas.microsoft.com/office/2006/metadata/properties" ma:root="true" ma:fieldsID="cefd9cf71c16e6f8768eaee5178ad3ec" ns2:_="" ns3:_="">
    <xsd:import namespace="d9bf2a86-f4b0-498e-9a78-59bee144fdfd"/>
    <xsd:import namespace="89034230-b3e4-495d-a686-c19188f4db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2a86-f4b0-498e-9a78-59bee144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eTime" ma:index="20" nillable="true" ma:displayName="Date Time" ma:format="DateTime" ma:internalName="Date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1fb441-0fbc-490f-ad0e-787f167459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34230-b3e4-495d-a686-c19188f4d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694891-532c-45e4-9bf4-4ef7ecb15921}" ma:internalName="TaxCatchAll" ma:showField="CatchAllData" ma:web="89034230-b3e4-495d-a686-c19188f4d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C64B-2F63-4D41-9DC8-22C46BCEDC61}">
  <ds:schemaRefs>
    <ds:schemaRef ds:uri="http://schemas.microsoft.com/office/2006/metadata/properties"/>
    <ds:schemaRef ds:uri="http://schemas.microsoft.com/office/infopath/2007/PartnerControls"/>
    <ds:schemaRef ds:uri="d9bf2a86-f4b0-498e-9a78-59bee144fdfd"/>
    <ds:schemaRef ds:uri="89034230-b3e4-495d-a686-c19188f4dbd7"/>
  </ds:schemaRefs>
</ds:datastoreItem>
</file>

<file path=customXml/itemProps2.xml><?xml version="1.0" encoding="utf-8"?>
<ds:datastoreItem xmlns:ds="http://schemas.openxmlformats.org/officeDocument/2006/customXml" ds:itemID="{B92928FA-3A0A-45F5-BE79-16D2A25A4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2a86-f4b0-498e-9a78-59bee144fdfd"/>
    <ds:schemaRef ds:uri="89034230-b3e4-495d-a686-c19188f4d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297BA-2B23-4EFB-A352-C516B3F9AE98}">
  <ds:schemaRefs>
    <ds:schemaRef ds:uri="http://schemas.microsoft.com/sharepoint/v3/contenttype/forms"/>
  </ds:schemaRefs>
</ds:datastoreItem>
</file>

<file path=customXml/itemProps4.xml><?xml version="1.0" encoding="utf-8"?>
<ds:datastoreItem xmlns:ds="http://schemas.openxmlformats.org/officeDocument/2006/customXml" ds:itemID="{61976974-906A-4560-B048-2621092B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Mulkowsky</dc:creator>
  <cp:keywords/>
  <dc:description/>
  <cp:lastModifiedBy>Kelly Cleary</cp:lastModifiedBy>
  <cp:revision>2</cp:revision>
  <cp:lastPrinted>2021-04-29T16:56:00Z</cp:lastPrinted>
  <dcterms:created xsi:type="dcterms:W3CDTF">2025-01-30T16:04:00Z</dcterms:created>
  <dcterms:modified xsi:type="dcterms:W3CDTF">2025-01-30T16:04:00Z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0x0101005CF93D341D52E948B1D9733A39C3D1BE</vt:lpwstr>
  </property>
  <property fmtid="{D5CDD505-2E9C-101B-9397-08002B2CF9AE}" pid="3" name="MediaServiceImageTags">
    <vt:lpwstr/>
  </property>
</Properties>
</file>