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54A0" w14:textId="6DBA0DFE" w:rsidR="009E0DBA" w:rsidRPr="009E0DBA" w:rsidRDefault="009E0DBA" w:rsidP="009E0DBA">
      <w:pPr>
        <w:spacing w:before="100" w:beforeAutospacing="1" w:after="100" w:afterAutospacing="1"/>
        <w:rPr>
          <w:rFonts w:ascii="Helvetica" w:eastAsia="Times New Roman" w:hAnsi="Helvetica" w:cs="Arial"/>
          <w:color w:val="000000"/>
          <w:sz w:val="18"/>
          <w:szCs w:val="18"/>
        </w:rPr>
      </w:pPr>
      <w:bookmarkStart w:id="0" w:name="_GoBack"/>
      <w:bookmarkEnd w:id="0"/>
      <w:r w:rsidRPr="009E0DBA">
        <w:rPr>
          <w:rFonts w:ascii="Helvetica" w:eastAsia="Times New Roman" w:hAnsi="Helvetica" w:cs="Arial"/>
          <w:color w:val="000000"/>
          <w:sz w:val="18"/>
          <w:szCs w:val="18"/>
        </w:rPr>
        <w:t xml:space="preserve">Over the last two years, Iowa lawmakers have added 27 new services to the regional Mental Health and Disabilities Service system, including new services for adults with complex needs and a continuum of services for children.  The result was a comprehensive, uniform set of services available to Iowans no matter where they live, no matter what their age.  Missing was a plan to pay for these new services, as well as provide sustainable funding for the base services available before the expansion.   Governor Kim Reynolds </w:t>
      </w:r>
      <w:r w:rsidR="00A21657">
        <w:rPr>
          <w:rFonts w:ascii="Helvetica" w:eastAsia="Times New Roman" w:hAnsi="Helvetica" w:cs="Arial"/>
          <w:color w:val="000000"/>
          <w:sz w:val="18"/>
          <w:szCs w:val="18"/>
        </w:rPr>
        <w:t>proposed the following changes to the MH/DS regional services system effective for the next fiscal year (FY21):</w:t>
      </w:r>
    </w:p>
    <w:p w14:paraId="1C6F4BFA" w14:textId="381C65A3" w:rsidR="009E0DBA" w:rsidRPr="009E0DBA" w:rsidRDefault="009E0DBA" w:rsidP="009E0DBA">
      <w:pPr>
        <w:numPr>
          <w:ilvl w:val="0"/>
          <w:numId w:val="1"/>
        </w:numPr>
        <w:spacing w:before="100" w:beforeAutospacing="1" w:after="240"/>
        <w:rPr>
          <w:rFonts w:ascii="Helvetica" w:eastAsia="Times New Roman" w:hAnsi="Helvetica" w:cs="Arial"/>
          <w:color w:val="000000"/>
          <w:sz w:val="18"/>
          <w:szCs w:val="18"/>
        </w:rPr>
      </w:pPr>
      <w:r w:rsidRPr="009E0DBA">
        <w:rPr>
          <w:rFonts w:ascii="Helvetica" w:eastAsia="Times New Roman" w:hAnsi="Helvetica" w:cs="Arial"/>
          <w:b/>
          <w:bCs/>
          <w:color w:val="000000"/>
          <w:sz w:val="18"/>
          <w:szCs w:val="18"/>
        </w:rPr>
        <w:t>Counties will be able to collect $12.50 per person</w:t>
      </w:r>
      <w:r w:rsidR="00A21657">
        <w:rPr>
          <w:rFonts w:ascii="Helvetica" w:eastAsia="Times New Roman" w:hAnsi="Helvetica" w:cs="Arial"/>
          <w:b/>
          <w:bCs/>
          <w:color w:val="000000"/>
          <w:sz w:val="18"/>
          <w:szCs w:val="18"/>
        </w:rPr>
        <w:t xml:space="preserve"> (per capita)</w:t>
      </w:r>
      <w:r w:rsidRPr="009E0DBA">
        <w:rPr>
          <w:rFonts w:ascii="Helvetica" w:eastAsia="Times New Roman" w:hAnsi="Helvetica" w:cs="Arial"/>
          <w:b/>
          <w:bCs/>
          <w:color w:val="000000"/>
          <w:sz w:val="18"/>
          <w:szCs w:val="18"/>
        </w:rPr>
        <w:t xml:space="preserve"> living in the county from property taxes. </w:t>
      </w:r>
      <w:r w:rsidRPr="009E0DBA">
        <w:rPr>
          <w:rFonts w:ascii="Helvetica" w:eastAsia="Times New Roman" w:hAnsi="Helvetica" w:cs="Arial"/>
          <w:color w:val="000000"/>
          <w:sz w:val="18"/>
          <w:szCs w:val="18"/>
        </w:rPr>
        <w:t xml:space="preserve"> Right now, counties collect between $25 and $47.28 per capita, so this is a significant cut in property taxes (about $77 million). The $12.50 per capita tax will bring in about $40 million to the system.</w:t>
      </w:r>
    </w:p>
    <w:p w14:paraId="74C28517" w14:textId="7B226DBF" w:rsidR="009E0DBA" w:rsidRPr="009E0DBA" w:rsidRDefault="009E0DBA" w:rsidP="009E0DBA">
      <w:pPr>
        <w:numPr>
          <w:ilvl w:val="0"/>
          <w:numId w:val="1"/>
        </w:numPr>
        <w:spacing w:before="100" w:beforeAutospacing="1" w:after="240"/>
        <w:rPr>
          <w:rFonts w:ascii="Helvetica" w:eastAsia="Times New Roman" w:hAnsi="Helvetica" w:cs="Arial"/>
          <w:color w:val="000000"/>
          <w:sz w:val="18"/>
          <w:szCs w:val="18"/>
        </w:rPr>
      </w:pPr>
      <w:r w:rsidRPr="009E0DBA">
        <w:rPr>
          <w:rFonts w:ascii="Helvetica" w:eastAsia="Times New Roman" w:hAnsi="Helvetica" w:cs="Arial"/>
          <w:b/>
          <w:bCs/>
          <w:color w:val="000000"/>
          <w:sz w:val="18"/>
          <w:szCs w:val="18"/>
        </w:rPr>
        <w:t>The State will give the MH/DS Regions $80 million of the money collected from the new sales tax.</w:t>
      </w:r>
      <w:r w:rsidRPr="009E0DBA">
        <w:rPr>
          <w:rFonts w:ascii="Helvetica" w:eastAsia="Times New Roman" w:hAnsi="Helvetica" w:cs="Arial"/>
          <w:color w:val="000000"/>
          <w:sz w:val="18"/>
          <w:szCs w:val="18"/>
        </w:rPr>
        <w:t xml:space="preserve">  This would be distributed by population, so regions would receive about $25.43 per capita.  The Governor plans to increase this base amount by $15 million over the next two years ($10 million more in </w:t>
      </w:r>
      <w:r w:rsidR="00A21657">
        <w:rPr>
          <w:rFonts w:ascii="Helvetica" w:eastAsia="Times New Roman" w:hAnsi="Helvetica" w:cs="Arial"/>
          <w:color w:val="000000"/>
          <w:sz w:val="18"/>
          <w:szCs w:val="18"/>
        </w:rPr>
        <w:t xml:space="preserve">FY </w:t>
      </w:r>
      <w:r w:rsidRPr="009E0DBA">
        <w:rPr>
          <w:rFonts w:ascii="Helvetica" w:eastAsia="Times New Roman" w:hAnsi="Helvetica" w:cs="Arial"/>
          <w:color w:val="000000"/>
          <w:sz w:val="18"/>
          <w:szCs w:val="18"/>
        </w:rPr>
        <w:t xml:space="preserve">2022, $5 million more in </w:t>
      </w:r>
      <w:r w:rsidR="00A21657">
        <w:rPr>
          <w:rFonts w:ascii="Helvetica" w:eastAsia="Times New Roman" w:hAnsi="Helvetica" w:cs="Arial"/>
          <w:color w:val="000000"/>
          <w:sz w:val="18"/>
          <w:szCs w:val="18"/>
        </w:rPr>
        <w:t xml:space="preserve">FY </w:t>
      </w:r>
      <w:r w:rsidRPr="009E0DBA">
        <w:rPr>
          <w:rFonts w:ascii="Helvetica" w:eastAsia="Times New Roman" w:hAnsi="Helvetica" w:cs="Arial"/>
          <w:color w:val="000000"/>
          <w:sz w:val="18"/>
          <w:szCs w:val="18"/>
        </w:rPr>
        <w:t>2023) to help pay for the new services that must be started in those years.</w:t>
      </w:r>
    </w:p>
    <w:p w14:paraId="6578CA4D" w14:textId="43E1FFE1" w:rsidR="009E0DBA" w:rsidRPr="009E0DBA" w:rsidRDefault="009E0DBA" w:rsidP="009E0DBA">
      <w:pPr>
        <w:numPr>
          <w:ilvl w:val="0"/>
          <w:numId w:val="1"/>
        </w:numPr>
        <w:pBdr>
          <w:bottom w:val="single" w:sz="12" w:space="1" w:color="auto"/>
        </w:pBdr>
        <w:spacing w:before="100" w:beforeAutospacing="1" w:after="100" w:afterAutospacing="1"/>
        <w:rPr>
          <w:rFonts w:ascii="Helvetica" w:eastAsia="Times New Roman" w:hAnsi="Helvetica" w:cs="Arial"/>
          <w:color w:val="000000"/>
          <w:sz w:val="18"/>
          <w:szCs w:val="18"/>
        </w:rPr>
      </w:pPr>
      <w:r w:rsidRPr="009E0DBA">
        <w:rPr>
          <w:rFonts w:ascii="Helvetica" w:eastAsia="Times New Roman" w:hAnsi="Helvetica" w:cs="Arial"/>
          <w:b/>
          <w:bCs/>
          <w:color w:val="000000"/>
          <w:sz w:val="18"/>
          <w:szCs w:val="18"/>
        </w:rPr>
        <w:t>Regions are currently spending $112 million on services</w:t>
      </w:r>
      <w:r w:rsidRPr="009E0DBA">
        <w:rPr>
          <w:rFonts w:ascii="Helvetica" w:eastAsia="Times New Roman" w:hAnsi="Helvetica" w:cs="Arial"/>
          <w:color w:val="000000"/>
          <w:sz w:val="18"/>
          <w:szCs w:val="18"/>
        </w:rPr>
        <w:t>. This plan will bring in about $40 million in local property taxes and $80 million in state funds, for a total of $120 million. That amount increases to $130 million next year, and $135 million the following year.</w:t>
      </w:r>
    </w:p>
    <w:p w14:paraId="50223BD8" w14:textId="77777777" w:rsidR="009E0DBA" w:rsidRPr="009E0DBA" w:rsidRDefault="009E0DBA" w:rsidP="009E0DBA">
      <w:pPr>
        <w:pBdr>
          <w:bottom w:val="single" w:sz="12" w:space="1" w:color="auto"/>
        </w:pBdr>
        <w:spacing w:before="100" w:beforeAutospacing="1" w:after="100" w:afterAutospacing="1"/>
        <w:ind w:left="360"/>
        <w:rPr>
          <w:rFonts w:ascii="Helvetica" w:eastAsia="Times New Roman" w:hAnsi="Helvetica" w:cs="Arial"/>
          <w:color w:val="000000"/>
          <w:sz w:val="18"/>
          <w:szCs w:val="18"/>
        </w:rPr>
      </w:pPr>
    </w:p>
    <w:p w14:paraId="0520A14D" w14:textId="77777777" w:rsidR="009E0DBA" w:rsidRPr="009E0DBA" w:rsidRDefault="009E0DBA" w:rsidP="009E0DBA">
      <w:pPr>
        <w:jc w:val="center"/>
        <w:rPr>
          <w:rFonts w:ascii="Helvetica" w:hAnsi="Helvetica"/>
          <w:b/>
          <w:bCs/>
        </w:rPr>
      </w:pPr>
      <w:r w:rsidRPr="009E0DBA">
        <w:rPr>
          <w:rFonts w:ascii="Helvetica" w:hAnsi="Helvetica"/>
          <w:b/>
          <w:bCs/>
        </w:rPr>
        <w:t>Invest in Iowa Act</w:t>
      </w:r>
    </w:p>
    <w:p w14:paraId="70DB22C2" w14:textId="1FB9408A" w:rsidR="009E0DBA" w:rsidRPr="009E0DBA" w:rsidRDefault="009E0DBA" w:rsidP="009E0DBA">
      <w:pPr>
        <w:jc w:val="center"/>
        <w:rPr>
          <w:rFonts w:ascii="Helvetica" w:hAnsi="Helvetica"/>
          <w:sz w:val="22"/>
          <w:szCs w:val="22"/>
        </w:rPr>
      </w:pPr>
      <w:r w:rsidRPr="009E0DBA">
        <w:rPr>
          <w:rFonts w:ascii="Helvetica" w:hAnsi="Helvetica"/>
          <w:sz w:val="22"/>
          <w:szCs w:val="22"/>
        </w:rPr>
        <w:t>Senate Study Bill 3116/House Study Bill 657</w:t>
      </w:r>
    </w:p>
    <w:p w14:paraId="20EDA7AE" w14:textId="24B62D43" w:rsidR="009E0DBA" w:rsidRPr="009E0DBA" w:rsidRDefault="009E0DBA" w:rsidP="009E0DBA">
      <w:pPr>
        <w:jc w:val="center"/>
        <w:rPr>
          <w:rFonts w:ascii="Helvetica" w:hAnsi="Helvetica"/>
          <w:b/>
          <w:bCs/>
        </w:rPr>
      </w:pPr>
      <w:r w:rsidRPr="009E0DBA">
        <w:rPr>
          <w:rFonts w:ascii="Helvetica" w:hAnsi="Helvetica"/>
          <w:sz w:val="22"/>
          <w:szCs w:val="22"/>
        </w:rPr>
        <w:t>Division X: Mental Health Region Funding</w:t>
      </w:r>
    </w:p>
    <w:p w14:paraId="0E5DE9E0" w14:textId="7BF3177D" w:rsidR="009E0DBA" w:rsidRDefault="009E0DBA">
      <w:pPr>
        <w:rPr>
          <w:rFonts w:ascii="Helvetica" w:hAnsi="Helvetica"/>
        </w:rPr>
      </w:pPr>
    </w:p>
    <w:tbl>
      <w:tblPr>
        <w:tblStyle w:val="TableGrid"/>
        <w:tblW w:w="10440" w:type="dxa"/>
        <w:tblInd w:w="-185" w:type="dxa"/>
        <w:tblLook w:val="04A0" w:firstRow="1" w:lastRow="0" w:firstColumn="1" w:lastColumn="0" w:noHBand="0" w:noVBand="1"/>
      </w:tblPr>
      <w:tblGrid>
        <w:gridCol w:w="1083"/>
        <w:gridCol w:w="9357"/>
      </w:tblGrid>
      <w:tr w:rsidR="008A6C50" w14:paraId="587428F3" w14:textId="77777777" w:rsidTr="00342914">
        <w:tc>
          <w:tcPr>
            <w:tcW w:w="1083" w:type="dxa"/>
          </w:tcPr>
          <w:p w14:paraId="29F88218" w14:textId="2524D26D" w:rsidR="008A6C50" w:rsidRPr="00342914" w:rsidRDefault="008A6C50" w:rsidP="008A6C50">
            <w:pPr>
              <w:snapToGrid w:val="0"/>
              <w:spacing w:before="120" w:after="120"/>
              <w:jc w:val="center"/>
              <w:rPr>
                <w:rFonts w:ascii="Helvetica" w:hAnsi="Helvetica"/>
                <w:b/>
                <w:bCs/>
              </w:rPr>
            </w:pPr>
            <w:r w:rsidRPr="00342914">
              <w:rPr>
                <w:rFonts w:ascii="Helvetica" w:hAnsi="Helvetica"/>
                <w:b/>
                <w:bCs/>
              </w:rPr>
              <w:t>Section</w:t>
            </w:r>
          </w:p>
        </w:tc>
        <w:tc>
          <w:tcPr>
            <w:tcW w:w="9357" w:type="dxa"/>
          </w:tcPr>
          <w:p w14:paraId="4B3F5A33" w14:textId="51CB0531" w:rsidR="008A6C50" w:rsidRPr="00342914" w:rsidRDefault="008A6C50" w:rsidP="008A6C50">
            <w:pPr>
              <w:snapToGrid w:val="0"/>
              <w:spacing w:before="120" w:after="120"/>
              <w:jc w:val="center"/>
              <w:rPr>
                <w:rFonts w:ascii="Helvetica" w:hAnsi="Helvetica"/>
                <w:b/>
                <w:bCs/>
              </w:rPr>
            </w:pPr>
            <w:r w:rsidRPr="00342914">
              <w:rPr>
                <w:rFonts w:ascii="Helvetica" w:hAnsi="Helvetica"/>
                <w:b/>
                <w:bCs/>
              </w:rPr>
              <w:t>SSB 3116/HSB 657</w:t>
            </w:r>
          </w:p>
        </w:tc>
      </w:tr>
      <w:tr w:rsidR="008A6C50" w14:paraId="113813A7" w14:textId="77777777" w:rsidTr="00342914">
        <w:tc>
          <w:tcPr>
            <w:tcW w:w="1083" w:type="dxa"/>
          </w:tcPr>
          <w:p w14:paraId="7B53C49F" w14:textId="492F045A"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43</w:t>
            </w:r>
          </w:p>
        </w:tc>
        <w:tc>
          <w:tcPr>
            <w:tcW w:w="9357" w:type="dxa"/>
          </w:tcPr>
          <w:p w14:paraId="55329983" w14:textId="2AF4C78F" w:rsidR="008A6C50" w:rsidRPr="0029667D" w:rsidRDefault="0029667D" w:rsidP="008A6C50">
            <w:pPr>
              <w:snapToGrid w:val="0"/>
              <w:spacing w:before="120" w:after="120"/>
              <w:rPr>
                <w:rFonts w:ascii="Helvetica" w:hAnsi="Helvetica"/>
                <w:sz w:val="20"/>
                <w:szCs w:val="20"/>
              </w:rPr>
            </w:pPr>
            <w:r w:rsidRPr="0029667D">
              <w:rPr>
                <w:rFonts w:ascii="Helvetica" w:hAnsi="Helvetica"/>
                <w:sz w:val="20"/>
                <w:szCs w:val="20"/>
              </w:rPr>
              <w:t>Strikes references to MH/DS Regional Services Fund, which is eliminated in Section 44. (Eliminates language requiring the MH/DS Division Administrator to administer &amp; distribute the funds)</w:t>
            </w:r>
          </w:p>
        </w:tc>
      </w:tr>
      <w:tr w:rsidR="008A6C50" w14:paraId="6F7A275E" w14:textId="77777777" w:rsidTr="00342914">
        <w:tc>
          <w:tcPr>
            <w:tcW w:w="1083" w:type="dxa"/>
          </w:tcPr>
          <w:p w14:paraId="2F56B813" w14:textId="024F52B9"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44</w:t>
            </w:r>
          </w:p>
        </w:tc>
        <w:tc>
          <w:tcPr>
            <w:tcW w:w="9357" w:type="dxa"/>
          </w:tcPr>
          <w:p w14:paraId="2B198865" w14:textId="77777777" w:rsidR="008A6C50" w:rsidRDefault="0029667D" w:rsidP="00F208E9">
            <w:pPr>
              <w:snapToGrid w:val="0"/>
              <w:spacing w:before="120" w:after="60"/>
              <w:rPr>
                <w:rFonts w:ascii="Helvetica" w:hAnsi="Helvetica"/>
                <w:sz w:val="20"/>
                <w:szCs w:val="20"/>
              </w:rPr>
            </w:pPr>
            <w:r>
              <w:rPr>
                <w:rFonts w:ascii="Helvetica" w:hAnsi="Helvetica"/>
                <w:sz w:val="20"/>
                <w:szCs w:val="20"/>
              </w:rPr>
              <w:t>Strikes the MH/DS Regional Services Fund and replaces it with a MH/DS State Supplement Fund:</w:t>
            </w:r>
          </w:p>
          <w:p w14:paraId="4061D524" w14:textId="77777777" w:rsidR="0029667D" w:rsidRDefault="0029667D" w:rsidP="00F208E9">
            <w:pPr>
              <w:pStyle w:val="ListParagraph"/>
              <w:numPr>
                <w:ilvl w:val="0"/>
                <w:numId w:val="2"/>
              </w:numPr>
              <w:snapToGrid w:val="0"/>
              <w:spacing w:after="60"/>
              <w:contextualSpacing w:val="0"/>
              <w:rPr>
                <w:rFonts w:ascii="Helvetica" w:hAnsi="Helvetica"/>
                <w:sz w:val="20"/>
                <w:szCs w:val="20"/>
              </w:rPr>
            </w:pPr>
            <w:r>
              <w:rPr>
                <w:rFonts w:ascii="Helvetica" w:hAnsi="Helvetica"/>
                <w:sz w:val="20"/>
                <w:szCs w:val="20"/>
              </w:rPr>
              <w:t>Separate from the general fund and administered by DHS.</w:t>
            </w:r>
          </w:p>
          <w:p w14:paraId="76639ECD" w14:textId="3F0C97AE" w:rsidR="0029667D" w:rsidRDefault="0029667D" w:rsidP="00F208E9">
            <w:pPr>
              <w:pStyle w:val="ListParagraph"/>
              <w:numPr>
                <w:ilvl w:val="0"/>
                <w:numId w:val="2"/>
              </w:numPr>
              <w:snapToGrid w:val="0"/>
              <w:spacing w:after="60"/>
              <w:contextualSpacing w:val="0"/>
              <w:rPr>
                <w:rFonts w:ascii="Helvetica" w:hAnsi="Helvetica"/>
                <w:sz w:val="20"/>
                <w:szCs w:val="20"/>
              </w:rPr>
            </w:pPr>
            <w:r>
              <w:rPr>
                <w:rFonts w:ascii="Helvetica" w:hAnsi="Helvetica"/>
                <w:sz w:val="20"/>
                <w:szCs w:val="20"/>
              </w:rPr>
              <w:t xml:space="preserve">Funds only to be used for </w:t>
            </w:r>
            <w:r w:rsidR="00342914">
              <w:rPr>
                <w:rFonts w:ascii="Helvetica" w:hAnsi="Helvetica"/>
                <w:sz w:val="20"/>
                <w:szCs w:val="20"/>
              </w:rPr>
              <w:t xml:space="preserve">state supplement payments for </w:t>
            </w:r>
            <w:r>
              <w:rPr>
                <w:rFonts w:ascii="Helvetica" w:hAnsi="Helvetica"/>
                <w:sz w:val="20"/>
                <w:szCs w:val="20"/>
              </w:rPr>
              <w:t>MH/DS regional services.</w:t>
            </w:r>
          </w:p>
          <w:p w14:paraId="43936E27" w14:textId="5993E2C4" w:rsidR="0029667D" w:rsidRDefault="0029667D" w:rsidP="00F208E9">
            <w:pPr>
              <w:pStyle w:val="ListParagraph"/>
              <w:numPr>
                <w:ilvl w:val="0"/>
                <w:numId w:val="2"/>
              </w:numPr>
              <w:snapToGrid w:val="0"/>
              <w:spacing w:after="60"/>
              <w:contextualSpacing w:val="0"/>
              <w:rPr>
                <w:rFonts w:ascii="Helvetica" w:hAnsi="Helvetica"/>
                <w:sz w:val="20"/>
                <w:szCs w:val="20"/>
              </w:rPr>
            </w:pPr>
            <w:r>
              <w:rPr>
                <w:rFonts w:ascii="Helvetica" w:hAnsi="Helvetica"/>
                <w:sz w:val="20"/>
                <w:szCs w:val="20"/>
              </w:rPr>
              <w:t>Distributed to regions on a per capita basis (beginning FY21).</w:t>
            </w:r>
          </w:p>
          <w:p w14:paraId="3026EDD5" w14:textId="42C761ED" w:rsidR="00342914" w:rsidRDefault="0029667D" w:rsidP="00F208E9">
            <w:pPr>
              <w:pStyle w:val="ListParagraph"/>
              <w:numPr>
                <w:ilvl w:val="0"/>
                <w:numId w:val="2"/>
              </w:numPr>
              <w:snapToGrid w:val="0"/>
              <w:spacing w:after="60"/>
              <w:contextualSpacing w:val="0"/>
              <w:rPr>
                <w:rFonts w:ascii="Helvetica" w:hAnsi="Helvetica"/>
                <w:sz w:val="20"/>
                <w:szCs w:val="20"/>
              </w:rPr>
            </w:pPr>
            <w:r>
              <w:rPr>
                <w:rFonts w:ascii="Helvetica" w:hAnsi="Helvetica"/>
                <w:sz w:val="20"/>
                <w:szCs w:val="20"/>
              </w:rPr>
              <w:t xml:space="preserve">Population </w:t>
            </w:r>
            <w:r w:rsidR="00342914">
              <w:rPr>
                <w:rFonts w:ascii="Helvetica" w:hAnsi="Helvetica"/>
                <w:sz w:val="20"/>
                <w:szCs w:val="20"/>
              </w:rPr>
              <w:t>for the per capita calculation is the most recent estimates (same as used currently).</w:t>
            </w:r>
          </w:p>
          <w:p w14:paraId="196F7117" w14:textId="6C712CAB" w:rsidR="0029667D" w:rsidRDefault="00342914" w:rsidP="00F208E9">
            <w:pPr>
              <w:pStyle w:val="ListParagraph"/>
              <w:numPr>
                <w:ilvl w:val="0"/>
                <w:numId w:val="2"/>
              </w:numPr>
              <w:snapToGrid w:val="0"/>
              <w:spacing w:after="60"/>
              <w:contextualSpacing w:val="0"/>
              <w:rPr>
                <w:rFonts w:ascii="Helvetica" w:hAnsi="Helvetica"/>
                <w:sz w:val="20"/>
                <w:szCs w:val="20"/>
              </w:rPr>
            </w:pPr>
            <w:r>
              <w:rPr>
                <w:rFonts w:ascii="Helvetica" w:hAnsi="Helvetica"/>
                <w:sz w:val="20"/>
                <w:szCs w:val="20"/>
              </w:rPr>
              <w:t>Counties must submit core services domain reports to DHS (date due set by rule).</w:t>
            </w:r>
          </w:p>
          <w:p w14:paraId="4CCB840C" w14:textId="204C6C7F" w:rsidR="00342914" w:rsidRDefault="00342914" w:rsidP="00F208E9">
            <w:pPr>
              <w:pStyle w:val="ListParagraph"/>
              <w:numPr>
                <w:ilvl w:val="0"/>
                <w:numId w:val="2"/>
              </w:numPr>
              <w:snapToGrid w:val="0"/>
              <w:spacing w:after="60"/>
              <w:contextualSpacing w:val="0"/>
              <w:rPr>
                <w:rFonts w:ascii="Helvetica" w:hAnsi="Helvetica"/>
                <w:sz w:val="20"/>
                <w:szCs w:val="20"/>
              </w:rPr>
            </w:pPr>
            <w:r>
              <w:rPr>
                <w:rFonts w:ascii="Helvetica" w:hAnsi="Helvetica"/>
                <w:sz w:val="20"/>
                <w:szCs w:val="20"/>
              </w:rPr>
              <w:t>Content of reports set by DHS rule, in consultation with MH/DS Commission.</w:t>
            </w:r>
          </w:p>
          <w:p w14:paraId="282247EB" w14:textId="08A2C9C3" w:rsidR="00342914" w:rsidRDefault="00342914" w:rsidP="00F208E9">
            <w:pPr>
              <w:pStyle w:val="ListParagraph"/>
              <w:numPr>
                <w:ilvl w:val="0"/>
                <w:numId w:val="2"/>
              </w:numPr>
              <w:snapToGrid w:val="0"/>
              <w:spacing w:after="60"/>
              <w:contextualSpacing w:val="0"/>
              <w:rPr>
                <w:rFonts w:ascii="Helvetica" w:hAnsi="Helvetica"/>
                <w:sz w:val="20"/>
                <w:szCs w:val="20"/>
              </w:rPr>
            </w:pPr>
            <w:r>
              <w:rPr>
                <w:rFonts w:ascii="Helvetica" w:hAnsi="Helvetica"/>
                <w:sz w:val="20"/>
                <w:szCs w:val="20"/>
              </w:rPr>
              <w:t>DHS will use report &amp; other information currently submitted by regions to determine if the region is in “substantial compliance” with required core service domains</w:t>
            </w:r>
            <w:r w:rsidR="00843D88">
              <w:rPr>
                <w:rFonts w:ascii="Helvetica" w:hAnsi="Helvetica"/>
                <w:sz w:val="20"/>
                <w:szCs w:val="20"/>
              </w:rPr>
              <w:t xml:space="preserve"> for children &amp; adults</w:t>
            </w:r>
            <w:r>
              <w:rPr>
                <w:rFonts w:ascii="Helvetica" w:hAnsi="Helvetica"/>
                <w:sz w:val="20"/>
                <w:szCs w:val="20"/>
              </w:rPr>
              <w:t>.</w:t>
            </w:r>
          </w:p>
          <w:p w14:paraId="5272EF89" w14:textId="68D31DC4" w:rsidR="0029667D" w:rsidRDefault="00843D88" w:rsidP="00F208E9">
            <w:pPr>
              <w:pStyle w:val="ListParagraph"/>
              <w:numPr>
                <w:ilvl w:val="0"/>
                <w:numId w:val="2"/>
              </w:numPr>
              <w:snapToGrid w:val="0"/>
              <w:spacing w:after="60"/>
              <w:contextualSpacing w:val="0"/>
              <w:rPr>
                <w:rFonts w:ascii="Helvetica" w:hAnsi="Helvetica"/>
                <w:sz w:val="20"/>
                <w:szCs w:val="20"/>
              </w:rPr>
            </w:pPr>
            <w:r>
              <w:rPr>
                <w:rFonts w:ascii="Helvetica" w:hAnsi="Helvetica"/>
                <w:sz w:val="20"/>
                <w:szCs w:val="20"/>
              </w:rPr>
              <w:t xml:space="preserve">“Core service domains” do not include Access Centers, ACT services, comprehensive facility and community based crisis services listed in section 5 of </w:t>
            </w:r>
            <w:hyperlink r:id="rId5" w:history="1">
              <w:r w:rsidRPr="00843D88">
                <w:rPr>
                  <w:rStyle w:val="Hyperlink"/>
                  <w:rFonts w:ascii="Helvetica" w:hAnsi="Helvetica"/>
                  <w:sz w:val="20"/>
                  <w:szCs w:val="20"/>
                </w:rPr>
                <w:t>331.397</w:t>
              </w:r>
            </w:hyperlink>
            <w:r>
              <w:rPr>
                <w:rFonts w:ascii="Helvetica" w:hAnsi="Helvetica"/>
                <w:sz w:val="20"/>
                <w:szCs w:val="20"/>
              </w:rPr>
              <w:t xml:space="preserve"> &amp; </w:t>
            </w:r>
            <w:hyperlink r:id="rId6" w:history="1">
              <w:r w:rsidRPr="00843D88">
                <w:rPr>
                  <w:rStyle w:val="Hyperlink"/>
                  <w:rFonts w:ascii="Helvetica" w:hAnsi="Helvetica"/>
                  <w:sz w:val="20"/>
                  <w:szCs w:val="20"/>
                </w:rPr>
                <w:t>331.397A</w:t>
              </w:r>
            </w:hyperlink>
            <w:r>
              <w:rPr>
                <w:rFonts w:ascii="Helvetica" w:hAnsi="Helvetica"/>
                <w:sz w:val="20"/>
                <w:szCs w:val="20"/>
              </w:rPr>
              <w:t xml:space="preserve"> (including mobile crisis, 23-hour observation, crisis stabilization, crisis residential, subacute, and IRSH).</w:t>
            </w:r>
          </w:p>
          <w:p w14:paraId="3996F678" w14:textId="56901E15" w:rsidR="00F208E9" w:rsidRPr="00F208E9" w:rsidRDefault="00843D88" w:rsidP="00F208E9">
            <w:pPr>
              <w:pStyle w:val="ListParagraph"/>
              <w:numPr>
                <w:ilvl w:val="0"/>
                <w:numId w:val="2"/>
              </w:numPr>
              <w:snapToGrid w:val="0"/>
              <w:spacing w:after="60"/>
              <w:contextualSpacing w:val="0"/>
              <w:rPr>
                <w:rFonts w:ascii="Helvetica" w:hAnsi="Helvetica"/>
                <w:sz w:val="20"/>
                <w:szCs w:val="20"/>
              </w:rPr>
            </w:pPr>
            <w:r>
              <w:rPr>
                <w:rFonts w:ascii="Helvetica" w:hAnsi="Helvetica"/>
                <w:sz w:val="20"/>
                <w:szCs w:val="20"/>
              </w:rPr>
              <w:t>Counties not in compliance are to implement corrective action plan or lose up to 15% of the state supplement payment (consistent with what was in MH/DS Regional Services Fund).</w:t>
            </w:r>
            <w:r w:rsidR="00F208E9">
              <w:rPr>
                <w:rFonts w:ascii="Helvetica" w:hAnsi="Helvetica"/>
                <w:sz w:val="20"/>
                <w:szCs w:val="20"/>
              </w:rPr>
              <w:br/>
            </w:r>
          </w:p>
        </w:tc>
      </w:tr>
      <w:tr w:rsidR="008A6C50" w14:paraId="1E48ECCE" w14:textId="77777777" w:rsidTr="00342914">
        <w:tc>
          <w:tcPr>
            <w:tcW w:w="1083" w:type="dxa"/>
          </w:tcPr>
          <w:p w14:paraId="3C452FD1" w14:textId="088CD3C9"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45</w:t>
            </w:r>
          </w:p>
        </w:tc>
        <w:tc>
          <w:tcPr>
            <w:tcW w:w="9357" w:type="dxa"/>
          </w:tcPr>
          <w:p w14:paraId="014063FF" w14:textId="589C07D7" w:rsidR="00F208E9" w:rsidRPr="00F208E9" w:rsidRDefault="00F208E9" w:rsidP="00F208E9">
            <w:pPr>
              <w:snapToGrid w:val="0"/>
              <w:spacing w:before="120" w:after="120"/>
              <w:rPr>
                <w:rFonts w:ascii="Helvetica" w:hAnsi="Helvetica"/>
                <w:sz w:val="20"/>
                <w:szCs w:val="20"/>
              </w:rPr>
            </w:pPr>
            <w:r>
              <w:rPr>
                <w:rFonts w:ascii="Helvetica" w:hAnsi="Helvetica"/>
                <w:sz w:val="20"/>
                <w:szCs w:val="20"/>
              </w:rPr>
              <w:t>Corrective (Iowa Health and Wellness Plan mental health services reports).</w:t>
            </w:r>
          </w:p>
        </w:tc>
      </w:tr>
      <w:tr w:rsidR="008A6C50" w14:paraId="3D8C4258" w14:textId="77777777" w:rsidTr="00342914">
        <w:tc>
          <w:tcPr>
            <w:tcW w:w="1083" w:type="dxa"/>
          </w:tcPr>
          <w:p w14:paraId="2CBDA9BC" w14:textId="6DDC98DC"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lastRenderedPageBreak/>
              <w:t>46</w:t>
            </w:r>
          </w:p>
        </w:tc>
        <w:tc>
          <w:tcPr>
            <w:tcW w:w="9357" w:type="dxa"/>
          </w:tcPr>
          <w:p w14:paraId="4E2A0846" w14:textId="28AD27D1" w:rsidR="008A6C50" w:rsidRPr="0029667D" w:rsidRDefault="00F208E9" w:rsidP="008A6C50">
            <w:pPr>
              <w:snapToGrid w:val="0"/>
              <w:spacing w:before="120" w:after="120"/>
              <w:rPr>
                <w:rFonts w:ascii="Helvetica" w:hAnsi="Helvetica"/>
                <w:sz w:val="20"/>
                <w:szCs w:val="20"/>
              </w:rPr>
            </w:pPr>
            <w:r>
              <w:rPr>
                <w:rFonts w:ascii="Helvetica" w:hAnsi="Helvetica"/>
                <w:sz w:val="20"/>
                <w:szCs w:val="20"/>
              </w:rPr>
              <w:t xml:space="preserve">Clarifies that state supplement payment can be reduced by 15% if region fails to comply with corrective plan for the provision of core services. </w:t>
            </w:r>
          </w:p>
        </w:tc>
      </w:tr>
      <w:tr w:rsidR="008A6C50" w14:paraId="7F7C84DD" w14:textId="77777777" w:rsidTr="00342914">
        <w:tc>
          <w:tcPr>
            <w:tcW w:w="1083" w:type="dxa"/>
          </w:tcPr>
          <w:p w14:paraId="05BB4899" w14:textId="55CE3442"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47</w:t>
            </w:r>
          </w:p>
        </w:tc>
        <w:tc>
          <w:tcPr>
            <w:tcW w:w="9357" w:type="dxa"/>
          </w:tcPr>
          <w:p w14:paraId="3D4AF3EC" w14:textId="085AAF3F" w:rsidR="008A6C50" w:rsidRPr="0029667D" w:rsidRDefault="00F208E9" w:rsidP="008A6C50">
            <w:pPr>
              <w:snapToGrid w:val="0"/>
              <w:spacing w:before="120" w:after="120"/>
              <w:rPr>
                <w:rFonts w:ascii="Helvetica" w:hAnsi="Helvetica"/>
                <w:sz w:val="20"/>
                <w:szCs w:val="20"/>
              </w:rPr>
            </w:pPr>
            <w:r>
              <w:rPr>
                <w:rFonts w:ascii="Helvetica" w:hAnsi="Helvetica"/>
                <w:sz w:val="20"/>
                <w:szCs w:val="20"/>
              </w:rPr>
              <w:t xml:space="preserve">Corrective (eliminates language about the </w:t>
            </w:r>
            <w:r w:rsidR="004744A6">
              <w:rPr>
                <w:rFonts w:ascii="Helvetica" w:hAnsi="Helvetica"/>
                <w:sz w:val="20"/>
                <w:szCs w:val="20"/>
              </w:rPr>
              <w:t>distribution of MH/DS Regional Services Fund to regions).</w:t>
            </w:r>
          </w:p>
        </w:tc>
      </w:tr>
      <w:tr w:rsidR="008A6C50" w14:paraId="3B254620" w14:textId="77777777" w:rsidTr="00342914">
        <w:tc>
          <w:tcPr>
            <w:tcW w:w="1083" w:type="dxa"/>
          </w:tcPr>
          <w:p w14:paraId="1C429051" w14:textId="3D36F691"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48</w:t>
            </w:r>
          </w:p>
        </w:tc>
        <w:tc>
          <w:tcPr>
            <w:tcW w:w="9357" w:type="dxa"/>
          </w:tcPr>
          <w:p w14:paraId="68E52E12" w14:textId="23DAF6A1" w:rsidR="008A6C50" w:rsidRPr="0029667D" w:rsidRDefault="004744A6" w:rsidP="008A6C50">
            <w:pPr>
              <w:snapToGrid w:val="0"/>
              <w:spacing w:before="120" w:after="120"/>
              <w:rPr>
                <w:rFonts w:ascii="Helvetica" w:hAnsi="Helvetica"/>
                <w:sz w:val="20"/>
                <w:szCs w:val="20"/>
              </w:rPr>
            </w:pPr>
            <w:r>
              <w:rPr>
                <w:rFonts w:ascii="Helvetica" w:hAnsi="Helvetica"/>
                <w:sz w:val="20"/>
                <w:szCs w:val="20"/>
              </w:rPr>
              <w:t>Strikes language guaranteeing regions funds for growth in non-Medicaid MH/DS services, service costs, additional service populations, additional core service domains, and more people served.</w:t>
            </w:r>
          </w:p>
        </w:tc>
      </w:tr>
      <w:tr w:rsidR="008A6C50" w14:paraId="642E34D5" w14:textId="77777777" w:rsidTr="00342914">
        <w:tc>
          <w:tcPr>
            <w:tcW w:w="1083" w:type="dxa"/>
          </w:tcPr>
          <w:p w14:paraId="0AD7E6E9" w14:textId="4D6B6FCC"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49</w:t>
            </w:r>
          </w:p>
        </w:tc>
        <w:tc>
          <w:tcPr>
            <w:tcW w:w="9357" w:type="dxa"/>
          </w:tcPr>
          <w:p w14:paraId="0D6E8698" w14:textId="3F7CCCE9" w:rsidR="008A6C50" w:rsidRPr="0029667D" w:rsidRDefault="004744A6" w:rsidP="008A6C50">
            <w:pPr>
              <w:snapToGrid w:val="0"/>
              <w:spacing w:before="120" w:after="120"/>
              <w:rPr>
                <w:rFonts w:ascii="Helvetica" w:hAnsi="Helvetica"/>
                <w:sz w:val="20"/>
                <w:szCs w:val="20"/>
              </w:rPr>
            </w:pPr>
            <w:r>
              <w:rPr>
                <w:rFonts w:ascii="Helvetica" w:hAnsi="Helvetica"/>
                <w:sz w:val="20"/>
                <w:szCs w:val="20"/>
              </w:rPr>
              <w:t>Strikes limitations on county MH/DS expenditures (base expenditure amount or per capita expenditure amount, whichever is less), and references to regional per capita expenditure target.</w:t>
            </w:r>
          </w:p>
        </w:tc>
      </w:tr>
      <w:tr w:rsidR="008A6C50" w14:paraId="009ACE22" w14:textId="77777777" w:rsidTr="00342914">
        <w:tc>
          <w:tcPr>
            <w:tcW w:w="1083" w:type="dxa"/>
          </w:tcPr>
          <w:p w14:paraId="0013F79F" w14:textId="0C9A7A58"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50</w:t>
            </w:r>
          </w:p>
        </w:tc>
        <w:tc>
          <w:tcPr>
            <w:tcW w:w="9357" w:type="dxa"/>
          </w:tcPr>
          <w:p w14:paraId="7A6144D6" w14:textId="50B8A95E" w:rsidR="008A6C50" w:rsidRPr="0029667D" w:rsidRDefault="004744A6" w:rsidP="008A6C50">
            <w:pPr>
              <w:snapToGrid w:val="0"/>
              <w:spacing w:before="120" w:after="120"/>
              <w:rPr>
                <w:rFonts w:ascii="Helvetica" w:hAnsi="Helvetica"/>
                <w:sz w:val="20"/>
                <w:szCs w:val="20"/>
              </w:rPr>
            </w:pPr>
            <w:r>
              <w:rPr>
                <w:rFonts w:ascii="Helvetica" w:hAnsi="Helvetica"/>
                <w:sz w:val="20"/>
                <w:szCs w:val="20"/>
              </w:rPr>
              <w:t>Replaces $47.28 statewide per capita expenditure target with $12.50 per capita expenditure target.</w:t>
            </w:r>
          </w:p>
        </w:tc>
      </w:tr>
      <w:tr w:rsidR="008A6C50" w14:paraId="475832C2" w14:textId="77777777" w:rsidTr="00342914">
        <w:tc>
          <w:tcPr>
            <w:tcW w:w="1083" w:type="dxa"/>
          </w:tcPr>
          <w:p w14:paraId="20029EF5" w14:textId="22E96310"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51</w:t>
            </w:r>
          </w:p>
        </w:tc>
        <w:tc>
          <w:tcPr>
            <w:tcW w:w="9357" w:type="dxa"/>
          </w:tcPr>
          <w:p w14:paraId="48964169" w14:textId="4E6ADC6F" w:rsidR="008A6C50" w:rsidRPr="0029667D" w:rsidRDefault="004744A6" w:rsidP="008A6C50">
            <w:pPr>
              <w:snapToGrid w:val="0"/>
              <w:spacing w:before="120" w:after="120"/>
              <w:rPr>
                <w:rFonts w:ascii="Helvetica" w:hAnsi="Helvetica"/>
                <w:sz w:val="20"/>
                <w:szCs w:val="20"/>
              </w:rPr>
            </w:pPr>
            <w:r>
              <w:rPr>
                <w:rFonts w:ascii="Helvetica" w:hAnsi="Helvetica"/>
                <w:sz w:val="20"/>
                <w:szCs w:val="20"/>
              </w:rPr>
              <w:t>Corrective (replaces reference to MH/DS Regional Fund with State Supplement Payment).</w:t>
            </w:r>
          </w:p>
        </w:tc>
      </w:tr>
      <w:tr w:rsidR="008A6C50" w14:paraId="5D424814" w14:textId="77777777" w:rsidTr="00342914">
        <w:tc>
          <w:tcPr>
            <w:tcW w:w="1083" w:type="dxa"/>
          </w:tcPr>
          <w:p w14:paraId="288A8265" w14:textId="29B4208F"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52</w:t>
            </w:r>
          </w:p>
        </w:tc>
        <w:tc>
          <w:tcPr>
            <w:tcW w:w="9357" w:type="dxa"/>
          </w:tcPr>
          <w:p w14:paraId="2C128342" w14:textId="5BA852F3" w:rsidR="008A6C50" w:rsidRPr="0029667D" w:rsidRDefault="00A07CF9" w:rsidP="008A6C50">
            <w:pPr>
              <w:snapToGrid w:val="0"/>
              <w:spacing w:before="120" w:after="120"/>
              <w:rPr>
                <w:rFonts w:ascii="Helvetica" w:hAnsi="Helvetica"/>
                <w:sz w:val="20"/>
                <w:szCs w:val="20"/>
              </w:rPr>
            </w:pPr>
            <w:r>
              <w:rPr>
                <w:rFonts w:ascii="Helvetica" w:hAnsi="Helvetica"/>
                <w:sz w:val="20"/>
                <w:szCs w:val="20"/>
              </w:rPr>
              <w:t>Strikes calculation for regional per capita expenditure target amount.</w:t>
            </w:r>
          </w:p>
        </w:tc>
      </w:tr>
      <w:tr w:rsidR="008A6C50" w14:paraId="1B43E56E" w14:textId="77777777" w:rsidTr="00342914">
        <w:tc>
          <w:tcPr>
            <w:tcW w:w="1083" w:type="dxa"/>
          </w:tcPr>
          <w:p w14:paraId="0D076646" w14:textId="2CE09C8F"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53</w:t>
            </w:r>
          </w:p>
        </w:tc>
        <w:tc>
          <w:tcPr>
            <w:tcW w:w="9357" w:type="dxa"/>
          </w:tcPr>
          <w:p w14:paraId="2D972A70" w14:textId="108EA8A3" w:rsidR="008A6C50" w:rsidRPr="0029667D" w:rsidRDefault="00A07CF9" w:rsidP="008A6C50">
            <w:pPr>
              <w:snapToGrid w:val="0"/>
              <w:spacing w:before="120" w:after="120"/>
              <w:rPr>
                <w:rFonts w:ascii="Helvetica" w:hAnsi="Helvetica"/>
                <w:sz w:val="20"/>
                <w:szCs w:val="20"/>
              </w:rPr>
            </w:pPr>
            <w:r>
              <w:rPr>
                <w:rFonts w:ascii="Helvetica" w:hAnsi="Helvetica"/>
                <w:sz w:val="20"/>
                <w:szCs w:val="20"/>
              </w:rPr>
              <w:t>Corrective to implement new $12.50 statewide per capita expenditure target.</w:t>
            </w:r>
          </w:p>
        </w:tc>
      </w:tr>
      <w:tr w:rsidR="008A6C50" w14:paraId="372EB2BF" w14:textId="77777777" w:rsidTr="00342914">
        <w:tc>
          <w:tcPr>
            <w:tcW w:w="1083" w:type="dxa"/>
          </w:tcPr>
          <w:p w14:paraId="123E0B70" w14:textId="3A3370A2"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54</w:t>
            </w:r>
          </w:p>
        </w:tc>
        <w:tc>
          <w:tcPr>
            <w:tcW w:w="9357" w:type="dxa"/>
          </w:tcPr>
          <w:p w14:paraId="2968DE8E" w14:textId="0B45D84D" w:rsidR="008A6C50" w:rsidRPr="0029667D" w:rsidRDefault="008A6C50" w:rsidP="008A6C50">
            <w:pPr>
              <w:snapToGrid w:val="0"/>
              <w:spacing w:before="120" w:after="120"/>
              <w:rPr>
                <w:rFonts w:ascii="Helvetica" w:hAnsi="Helvetica"/>
                <w:sz w:val="20"/>
                <w:szCs w:val="20"/>
              </w:rPr>
            </w:pPr>
            <w:r w:rsidRPr="0029667D">
              <w:rPr>
                <w:rFonts w:ascii="Helvetica" w:hAnsi="Helvetica"/>
                <w:sz w:val="20"/>
                <w:szCs w:val="20"/>
              </w:rPr>
              <w:t>Corrective.</w:t>
            </w:r>
          </w:p>
        </w:tc>
      </w:tr>
      <w:tr w:rsidR="008A6C50" w14:paraId="141B6394" w14:textId="77777777" w:rsidTr="00342914">
        <w:tc>
          <w:tcPr>
            <w:tcW w:w="1083" w:type="dxa"/>
          </w:tcPr>
          <w:p w14:paraId="56AEE742" w14:textId="051E18E9"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55</w:t>
            </w:r>
          </w:p>
        </w:tc>
        <w:tc>
          <w:tcPr>
            <w:tcW w:w="9357" w:type="dxa"/>
          </w:tcPr>
          <w:p w14:paraId="5E7A47A5" w14:textId="6862A0E8" w:rsidR="008A6C50" w:rsidRPr="0029667D" w:rsidRDefault="008A6C50" w:rsidP="008A6C50">
            <w:pPr>
              <w:snapToGrid w:val="0"/>
              <w:spacing w:before="120" w:after="120"/>
              <w:rPr>
                <w:rFonts w:ascii="Helvetica" w:hAnsi="Helvetica"/>
                <w:sz w:val="20"/>
                <w:szCs w:val="20"/>
              </w:rPr>
            </w:pPr>
            <w:r w:rsidRPr="0029667D">
              <w:rPr>
                <w:rFonts w:ascii="Helvetica" w:hAnsi="Helvetica"/>
                <w:sz w:val="20"/>
                <w:szCs w:val="20"/>
              </w:rPr>
              <w:t>Allows counties to recertify MH/DS levies and budgets; counties have 30 days after enactment to recertify, and budget protests must be made within 10 days of recertification. Allows for region to amend its service plan to reflect funds available.</w:t>
            </w:r>
          </w:p>
        </w:tc>
      </w:tr>
      <w:tr w:rsidR="008A6C50" w14:paraId="62623AE9" w14:textId="77777777" w:rsidTr="00342914">
        <w:tc>
          <w:tcPr>
            <w:tcW w:w="1083" w:type="dxa"/>
          </w:tcPr>
          <w:p w14:paraId="45E623DD" w14:textId="205D185D"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56</w:t>
            </w:r>
          </w:p>
        </w:tc>
        <w:tc>
          <w:tcPr>
            <w:tcW w:w="9357" w:type="dxa"/>
          </w:tcPr>
          <w:p w14:paraId="3661D62D" w14:textId="1759C8B5" w:rsidR="008A6C50" w:rsidRPr="0029667D" w:rsidRDefault="008A6C50" w:rsidP="008A6C50">
            <w:pPr>
              <w:snapToGrid w:val="0"/>
              <w:spacing w:before="120" w:after="120"/>
              <w:rPr>
                <w:rFonts w:ascii="Helvetica" w:hAnsi="Helvetica"/>
                <w:sz w:val="20"/>
                <w:szCs w:val="20"/>
              </w:rPr>
            </w:pPr>
            <w:r w:rsidRPr="0029667D">
              <w:rPr>
                <w:rFonts w:ascii="Helvetica" w:hAnsi="Helvetica"/>
                <w:sz w:val="20"/>
                <w:szCs w:val="20"/>
              </w:rPr>
              <w:t>Allows DHS to adopt emergency rules (double barrel).</w:t>
            </w:r>
          </w:p>
        </w:tc>
      </w:tr>
      <w:tr w:rsidR="008A6C50" w14:paraId="137FA751" w14:textId="77777777" w:rsidTr="00342914">
        <w:tc>
          <w:tcPr>
            <w:tcW w:w="1083" w:type="dxa"/>
          </w:tcPr>
          <w:p w14:paraId="362F8AFD" w14:textId="486D38E0"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57</w:t>
            </w:r>
          </w:p>
        </w:tc>
        <w:tc>
          <w:tcPr>
            <w:tcW w:w="9357" w:type="dxa"/>
          </w:tcPr>
          <w:p w14:paraId="1FE446DF" w14:textId="7FC5E2E4" w:rsidR="008A6C50" w:rsidRPr="0029667D" w:rsidRDefault="008A6C50" w:rsidP="008A6C50">
            <w:pPr>
              <w:snapToGrid w:val="0"/>
              <w:spacing w:before="120" w:after="120"/>
              <w:rPr>
                <w:rFonts w:ascii="Helvetica" w:hAnsi="Helvetica"/>
                <w:sz w:val="20"/>
                <w:szCs w:val="20"/>
              </w:rPr>
            </w:pPr>
            <w:r w:rsidRPr="0029667D">
              <w:rPr>
                <w:rFonts w:ascii="Helvetica" w:hAnsi="Helvetica"/>
                <w:sz w:val="20"/>
                <w:szCs w:val="20"/>
              </w:rPr>
              <w:t>Applies to FY 2021 &amp; after.</w:t>
            </w:r>
          </w:p>
        </w:tc>
      </w:tr>
      <w:tr w:rsidR="008A6C50" w14:paraId="5054D7A6" w14:textId="77777777" w:rsidTr="00342914">
        <w:tc>
          <w:tcPr>
            <w:tcW w:w="1083" w:type="dxa"/>
          </w:tcPr>
          <w:p w14:paraId="6D6307BF" w14:textId="30EB7068" w:rsidR="008A6C50" w:rsidRPr="0029667D" w:rsidRDefault="008A6C50" w:rsidP="008A6C50">
            <w:pPr>
              <w:snapToGrid w:val="0"/>
              <w:spacing w:before="120" w:after="120"/>
              <w:jc w:val="center"/>
              <w:rPr>
                <w:rFonts w:ascii="Helvetica" w:hAnsi="Helvetica"/>
                <w:sz w:val="20"/>
                <w:szCs w:val="20"/>
              </w:rPr>
            </w:pPr>
            <w:r w:rsidRPr="0029667D">
              <w:rPr>
                <w:rFonts w:ascii="Helvetica" w:hAnsi="Helvetica"/>
                <w:sz w:val="20"/>
                <w:szCs w:val="20"/>
              </w:rPr>
              <w:t>58</w:t>
            </w:r>
          </w:p>
        </w:tc>
        <w:tc>
          <w:tcPr>
            <w:tcW w:w="9357" w:type="dxa"/>
          </w:tcPr>
          <w:p w14:paraId="5C29F2CF" w14:textId="48BC10C5" w:rsidR="008A6C50" w:rsidRPr="0029667D" w:rsidRDefault="008A6C50" w:rsidP="008A6C50">
            <w:pPr>
              <w:snapToGrid w:val="0"/>
              <w:spacing w:before="120" w:after="120"/>
              <w:rPr>
                <w:rFonts w:ascii="Helvetica" w:hAnsi="Helvetica"/>
                <w:sz w:val="20"/>
                <w:szCs w:val="20"/>
              </w:rPr>
            </w:pPr>
            <w:r w:rsidRPr="0029667D">
              <w:rPr>
                <w:rFonts w:ascii="Helvetica" w:hAnsi="Helvetica"/>
                <w:sz w:val="20"/>
                <w:szCs w:val="20"/>
              </w:rPr>
              <w:t>Makes changes effective upon enactment.</w:t>
            </w:r>
          </w:p>
        </w:tc>
      </w:tr>
    </w:tbl>
    <w:p w14:paraId="37D9006F" w14:textId="712CCD86" w:rsidR="009E0DBA" w:rsidRDefault="009E0DBA">
      <w:pPr>
        <w:rPr>
          <w:rFonts w:ascii="Helvetica" w:hAnsi="Helvetica"/>
        </w:rPr>
      </w:pPr>
    </w:p>
    <w:p w14:paraId="5ED594C6" w14:textId="42B95CF3" w:rsidR="00E63D8B" w:rsidRDefault="00E63D8B">
      <w:pPr>
        <w:rPr>
          <w:rFonts w:ascii="Helvetica" w:hAnsi="Helvetica"/>
        </w:rPr>
      </w:pPr>
    </w:p>
    <w:p w14:paraId="5C2FBB21" w14:textId="2E2ACD90" w:rsidR="00E63D8B" w:rsidRDefault="00E63D8B">
      <w:pPr>
        <w:rPr>
          <w:rFonts w:ascii="Helvetica" w:hAnsi="Helvetica"/>
        </w:rPr>
      </w:pPr>
    </w:p>
    <w:p w14:paraId="3B1CC85B" w14:textId="5A3F29FE" w:rsidR="00E63D8B" w:rsidRDefault="00E63D8B">
      <w:pPr>
        <w:rPr>
          <w:rFonts w:ascii="Helvetica" w:hAnsi="Helvetica"/>
        </w:rPr>
      </w:pPr>
    </w:p>
    <w:sectPr w:rsidR="00E63D8B" w:rsidSect="000B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F6C"/>
    <w:multiLevelType w:val="hybridMultilevel"/>
    <w:tmpl w:val="C35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62A57"/>
    <w:multiLevelType w:val="multilevel"/>
    <w:tmpl w:val="2A1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43E87"/>
    <w:multiLevelType w:val="hybridMultilevel"/>
    <w:tmpl w:val="15A8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BA"/>
    <w:rsid w:val="000B0777"/>
    <w:rsid w:val="0029667D"/>
    <w:rsid w:val="00342914"/>
    <w:rsid w:val="004744A6"/>
    <w:rsid w:val="00747EA3"/>
    <w:rsid w:val="007833A8"/>
    <w:rsid w:val="00843D88"/>
    <w:rsid w:val="008A6C50"/>
    <w:rsid w:val="009E0DBA"/>
    <w:rsid w:val="00A07CF9"/>
    <w:rsid w:val="00A21657"/>
    <w:rsid w:val="00B66D83"/>
    <w:rsid w:val="00E63D8B"/>
    <w:rsid w:val="00F2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FAAC7"/>
  <w15:chartTrackingRefBased/>
  <w15:docId w15:val="{2B2D8B84-6DEA-744C-A9EB-181FB1B5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0DBA"/>
    <w:rPr>
      <w:b/>
      <w:bCs/>
    </w:rPr>
  </w:style>
  <w:style w:type="table" w:styleId="TableGrid">
    <w:name w:val="Table Grid"/>
    <w:basedOn w:val="TableNormal"/>
    <w:uiPriority w:val="39"/>
    <w:rsid w:val="009E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67D"/>
    <w:pPr>
      <w:ind w:left="720"/>
      <w:contextualSpacing/>
    </w:pPr>
  </w:style>
  <w:style w:type="character" w:styleId="Hyperlink">
    <w:name w:val="Hyperlink"/>
    <w:basedOn w:val="DefaultParagraphFont"/>
    <w:uiPriority w:val="99"/>
    <w:unhideWhenUsed/>
    <w:rsid w:val="00843D88"/>
    <w:rPr>
      <w:color w:val="0563C1" w:themeColor="hyperlink"/>
      <w:u w:val="single"/>
    </w:rPr>
  </w:style>
  <w:style w:type="character" w:styleId="UnresolvedMention">
    <w:name w:val="Unresolved Mention"/>
    <w:basedOn w:val="DefaultParagraphFont"/>
    <w:uiPriority w:val="99"/>
    <w:semiHidden/>
    <w:unhideWhenUsed/>
    <w:rsid w:val="0084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0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iowa.gov/docs/code/331.397A.pdf" TargetMode="External"/><Relationship Id="rId5" Type="http://schemas.openxmlformats.org/officeDocument/2006/relationships/hyperlink" Target="https://www.legis.iowa.gov/docs/code/331.39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dcterms:created xsi:type="dcterms:W3CDTF">2020-02-08T14:31:00Z</dcterms:created>
  <dcterms:modified xsi:type="dcterms:W3CDTF">2020-02-08T19:49:00Z</dcterms:modified>
</cp:coreProperties>
</file>