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A5D52" w14:textId="5B75F695" w:rsidR="007F0556" w:rsidRDefault="007F0556" w:rsidP="007F0556">
      <w:pPr>
        <w:jc w:val="center"/>
        <w:rPr>
          <w:sz w:val="24"/>
          <w:szCs w:val="24"/>
        </w:rPr>
      </w:pPr>
      <w:r w:rsidRPr="007F0556">
        <w:rPr>
          <w:sz w:val="24"/>
          <w:szCs w:val="24"/>
        </w:rPr>
        <w:t>December 2 2024 Weekly Clinical Update</w:t>
      </w:r>
    </w:p>
    <w:p w14:paraId="60991D2F" w14:textId="21F57745" w:rsidR="007F0556" w:rsidRDefault="007F0556" w:rsidP="007F0556">
      <w:pPr>
        <w:rPr>
          <w:sz w:val="24"/>
          <w:szCs w:val="24"/>
        </w:rPr>
      </w:pPr>
      <w:r>
        <w:rPr>
          <w:sz w:val="24"/>
          <w:szCs w:val="24"/>
        </w:rPr>
        <w:t>On November 18</w:t>
      </w:r>
      <w:r w:rsidRPr="007F0556">
        <w:rPr>
          <w:sz w:val="24"/>
          <w:szCs w:val="24"/>
          <w:vertAlign w:val="superscript"/>
        </w:rPr>
        <w:t>th</w:t>
      </w:r>
      <w:r>
        <w:rPr>
          <w:sz w:val="24"/>
          <w:szCs w:val="24"/>
        </w:rPr>
        <w:t xml:space="preserve">, 2024, CMS issued QSO-25-07-NH </w:t>
      </w:r>
      <w:hyperlink r:id="rId5" w:history="1">
        <w:r w:rsidRPr="007F0556">
          <w:rPr>
            <w:rStyle w:val="Hyperlink"/>
            <w:sz w:val="24"/>
            <w:szCs w:val="24"/>
          </w:rPr>
          <w:t>https://www.cms.gov/files/document/revised-long-term-care-ltc-surveyor-guidance-significant-revisions-enhance-quality-and-oversight-ltc.pdf</w:t>
        </w:r>
      </w:hyperlink>
      <w:r>
        <w:rPr>
          <w:sz w:val="24"/>
          <w:szCs w:val="24"/>
        </w:rPr>
        <w:t xml:space="preserve">. Several changes are being made on February 25, 2025. </w:t>
      </w:r>
    </w:p>
    <w:p w14:paraId="64B8F1F0" w14:textId="2228C37E" w:rsidR="007F0556" w:rsidRDefault="007F0556" w:rsidP="007F0556">
      <w:pPr>
        <w:rPr>
          <w:sz w:val="24"/>
          <w:szCs w:val="24"/>
        </w:rPr>
      </w:pPr>
      <w:r>
        <w:rPr>
          <w:sz w:val="24"/>
          <w:szCs w:val="24"/>
        </w:rPr>
        <w:t xml:space="preserve">Surveyor training/provider training is available at: </w:t>
      </w:r>
      <w:hyperlink r:id="rId6" w:history="1">
        <w:r w:rsidRPr="007F0556">
          <w:rPr>
            <w:rStyle w:val="Hyperlink"/>
            <w:sz w:val="24"/>
            <w:szCs w:val="24"/>
          </w:rPr>
          <w:t>https://qsep.cms.gov/pubs/ClassInformation.aspx?cid=0CMSLTC_AppPP_2025</w:t>
        </w:r>
      </w:hyperlink>
    </w:p>
    <w:p w14:paraId="0F99A2EA" w14:textId="0F56F8D2" w:rsidR="007F0556" w:rsidRDefault="007F0556" w:rsidP="007F0556">
      <w:pPr>
        <w:rPr>
          <w:sz w:val="24"/>
          <w:szCs w:val="24"/>
        </w:rPr>
      </w:pPr>
      <w:r>
        <w:rPr>
          <w:sz w:val="24"/>
          <w:szCs w:val="24"/>
        </w:rPr>
        <w:t>The QSEP training includes changes to Appendix PP related to:</w:t>
      </w:r>
    </w:p>
    <w:p w14:paraId="52F550FC" w14:textId="52B29A03" w:rsidR="007F0556" w:rsidRDefault="007F0556" w:rsidP="007F0556">
      <w:pPr>
        <w:pStyle w:val="ListParagraph"/>
        <w:numPr>
          <w:ilvl w:val="0"/>
          <w:numId w:val="1"/>
        </w:numPr>
        <w:rPr>
          <w:sz w:val="24"/>
          <w:szCs w:val="24"/>
        </w:rPr>
      </w:pPr>
      <w:r>
        <w:rPr>
          <w:sz w:val="24"/>
          <w:szCs w:val="24"/>
        </w:rPr>
        <w:t>Admission, transfer &amp; discharge</w:t>
      </w:r>
    </w:p>
    <w:p w14:paraId="1A310B81" w14:textId="342D382A" w:rsidR="007F0556" w:rsidRDefault="007F0556" w:rsidP="007F0556">
      <w:pPr>
        <w:pStyle w:val="ListParagraph"/>
        <w:numPr>
          <w:ilvl w:val="0"/>
          <w:numId w:val="1"/>
        </w:numPr>
        <w:rPr>
          <w:sz w:val="24"/>
          <w:szCs w:val="24"/>
        </w:rPr>
      </w:pPr>
      <w:r>
        <w:rPr>
          <w:sz w:val="24"/>
          <w:szCs w:val="24"/>
        </w:rPr>
        <w:t>Pain Management</w:t>
      </w:r>
    </w:p>
    <w:p w14:paraId="6B33900D" w14:textId="6890ED95" w:rsidR="007F0556" w:rsidRDefault="007F0556" w:rsidP="007F0556">
      <w:pPr>
        <w:pStyle w:val="ListParagraph"/>
        <w:numPr>
          <w:ilvl w:val="0"/>
          <w:numId w:val="1"/>
        </w:numPr>
        <w:rPr>
          <w:sz w:val="24"/>
          <w:szCs w:val="24"/>
        </w:rPr>
      </w:pPr>
      <w:r>
        <w:rPr>
          <w:sz w:val="24"/>
          <w:szCs w:val="24"/>
        </w:rPr>
        <w:t>Chemical restraints, unnecessary psychotropic meds, accuracy of assessment &amp; professional standards</w:t>
      </w:r>
    </w:p>
    <w:p w14:paraId="1BE60435" w14:textId="7AC8F2A0" w:rsidR="007F0556" w:rsidRDefault="007F0556" w:rsidP="007F0556">
      <w:pPr>
        <w:rPr>
          <w:sz w:val="24"/>
          <w:szCs w:val="24"/>
        </w:rPr>
      </w:pPr>
      <w:r>
        <w:rPr>
          <w:sz w:val="24"/>
          <w:szCs w:val="24"/>
        </w:rPr>
        <w:t xml:space="preserve">Last week we discussed the elimination of F758 r/t </w:t>
      </w:r>
      <w:r w:rsidR="00135F39">
        <w:rPr>
          <w:sz w:val="24"/>
          <w:szCs w:val="24"/>
        </w:rPr>
        <w:t xml:space="preserve">the regulation being moved to the abuse tags under chemical restraints. </w:t>
      </w:r>
    </w:p>
    <w:p w14:paraId="44A7012D" w14:textId="10958979" w:rsidR="00135F39" w:rsidRDefault="00135F39" w:rsidP="007F0556">
      <w:pPr>
        <w:rPr>
          <w:b/>
          <w:bCs/>
          <w:sz w:val="24"/>
          <w:szCs w:val="24"/>
        </w:rPr>
      </w:pPr>
      <w:r>
        <w:rPr>
          <w:b/>
          <w:bCs/>
          <w:sz w:val="24"/>
          <w:szCs w:val="24"/>
        </w:rPr>
        <w:t>Admission, Transfer &amp; Discharge:</w:t>
      </w:r>
    </w:p>
    <w:p w14:paraId="2A573EB1" w14:textId="651072F1" w:rsidR="00135F39" w:rsidRDefault="00430070" w:rsidP="007F0556">
      <w:pPr>
        <w:rPr>
          <w:sz w:val="24"/>
          <w:szCs w:val="24"/>
        </w:rPr>
      </w:pPr>
      <w:r w:rsidRPr="00DF460D">
        <w:rPr>
          <w:sz w:val="24"/>
          <w:szCs w:val="24"/>
          <w:u w:val="single"/>
        </w:rPr>
        <w:t>F620 Changes</w:t>
      </w:r>
      <w:r>
        <w:rPr>
          <w:sz w:val="24"/>
          <w:szCs w:val="24"/>
        </w:rPr>
        <w:t>:</w:t>
      </w:r>
    </w:p>
    <w:p w14:paraId="44781668" w14:textId="77777777" w:rsidR="00430070" w:rsidRDefault="00430070" w:rsidP="00430070">
      <w:pPr>
        <w:pStyle w:val="ListParagraph"/>
        <w:numPr>
          <w:ilvl w:val="0"/>
          <w:numId w:val="2"/>
        </w:numPr>
        <w:rPr>
          <w:sz w:val="24"/>
          <w:szCs w:val="24"/>
        </w:rPr>
      </w:pPr>
      <w:r w:rsidRPr="00430070">
        <w:rPr>
          <w:sz w:val="24"/>
          <w:szCs w:val="24"/>
        </w:rPr>
        <w:t xml:space="preserve">New guidance clarifying prohibition of language in admission agreements that specifically requests or requires a third party to personally guarantee payment to the facility. </w:t>
      </w:r>
    </w:p>
    <w:p w14:paraId="4E97347F" w14:textId="20D5C876" w:rsidR="00430070" w:rsidRDefault="00430070" w:rsidP="00430070">
      <w:pPr>
        <w:pStyle w:val="ListParagraph"/>
        <w:numPr>
          <w:ilvl w:val="0"/>
          <w:numId w:val="2"/>
        </w:numPr>
        <w:rPr>
          <w:sz w:val="24"/>
          <w:szCs w:val="24"/>
        </w:rPr>
      </w:pPr>
      <w:r w:rsidRPr="00430070">
        <w:rPr>
          <w:sz w:val="24"/>
          <w:szCs w:val="24"/>
        </w:rPr>
        <w:t>• Guidance includes examples of admission agreement language that would not be compliant.</w:t>
      </w:r>
    </w:p>
    <w:p w14:paraId="01A83C5E" w14:textId="58166352" w:rsidR="00430070" w:rsidRPr="00DF460D" w:rsidRDefault="00430070" w:rsidP="00430070">
      <w:pPr>
        <w:rPr>
          <w:sz w:val="24"/>
          <w:szCs w:val="24"/>
          <w:u w:val="single"/>
        </w:rPr>
      </w:pPr>
      <w:r w:rsidRPr="00DF460D">
        <w:rPr>
          <w:sz w:val="24"/>
          <w:szCs w:val="24"/>
          <w:u w:val="single"/>
        </w:rPr>
        <w:t xml:space="preserve">F622 thru F626, F660-F661 </w:t>
      </w:r>
    </w:p>
    <w:p w14:paraId="3E4B4B54" w14:textId="0F19FB49" w:rsidR="00430070" w:rsidRDefault="00430070" w:rsidP="00430070">
      <w:pPr>
        <w:pStyle w:val="ListParagraph"/>
        <w:numPr>
          <w:ilvl w:val="0"/>
          <w:numId w:val="3"/>
        </w:numPr>
        <w:rPr>
          <w:sz w:val="24"/>
          <w:szCs w:val="24"/>
        </w:rPr>
      </w:pPr>
      <w:r>
        <w:rPr>
          <w:sz w:val="24"/>
          <w:szCs w:val="24"/>
        </w:rPr>
        <w:t>Deleted</w:t>
      </w:r>
    </w:p>
    <w:p w14:paraId="4234E361" w14:textId="2CE74CF7" w:rsidR="00430070" w:rsidRDefault="00430070" w:rsidP="00430070">
      <w:pPr>
        <w:pStyle w:val="ListParagraph"/>
        <w:numPr>
          <w:ilvl w:val="0"/>
          <w:numId w:val="3"/>
        </w:numPr>
        <w:rPr>
          <w:sz w:val="24"/>
          <w:szCs w:val="24"/>
        </w:rPr>
      </w:pPr>
      <w:r>
        <w:rPr>
          <w:sz w:val="24"/>
          <w:szCs w:val="24"/>
        </w:rPr>
        <w:t>Reorganized requirements &amp; guidance into 2 tags:</w:t>
      </w:r>
    </w:p>
    <w:p w14:paraId="172CFC9C" w14:textId="5F2E9D06" w:rsidR="00430070" w:rsidRDefault="00430070" w:rsidP="00430070">
      <w:pPr>
        <w:pStyle w:val="ListParagraph"/>
        <w:numPr>
          <w:ilvl w:val="1"/>
          <w:numId w:val="3"/>
        </w:numPr>
        <w:rPr>
          <w:sz w:val="24"/>
          <w:szCs w:val="24"/>
        </w:rPr>
      </w:pPr>
      <w:r>
        <w:rPr>
          <w:sz w:val="24"/>
          <w:szCs w:val="24"/>
        </w:rPr>
        <w:t>F627: Inappropriate Transfer/Discharge: combines regulations &amp; guidance previously found in: F622, F624, F660, F661 and “Facility</w:t>
      </w:r>
      <w:proofErr w:type="gramStart"/>
      <w:r>
        <w:rPr>
          <w:sz w:val="24"/>
          <w:szCs w:val="24"/>
        </w:rPr>
        <w:t>-“ and</w:t>
      </w:r>
      <w:proofErr w:type="gramEnd"/>
      <w:r>
        <w:rPr>
          <w:sz w:val="24"/>
          <w:szCs w:val="24"/>
        </w:rPr>
        <w:t xml:space="preserve"> “Resident-Initiated” language removed</w:t>
      </w:r>
    </w:p>
    <w:p w14:paraId="635C5212" w14:textId="77777777" w:rsidR="00430070" w:rsidRDefault="00430070" w:rsidP="00430070">
      <w:pPr>
        <w:pStyle w:val="ListParagraph"/>
        <w:numPr>
          <w:ilvl w:val="1"/>
          <w:numId w:val="3"/>
        </w:numPr>
        <w:rPr>
          <w:sz w:val="24"/>
          <w:szCs w:val="24"/>
        </w:rPr>
      </w:pPr>
      <w:r>
        <w:rPr>
          <w:sz w:val="24"/>
          <w:szCs w:val="24"/>
        </w:rPr>
        <w:t>F628 Transfer/Discharge Process: Combines regulations &amp; guidance previously found in: F622, F623, F625 &amp; F661 and “Facility</w:t>
      </w:r>
      <w:proofErr w:type="gramStart"/>
      <w:r>
        <w:rPr>
          <w:sz w:val="24"/>
          <w:szCs w:val="24"/>
        </w:rPr>
        <w:t>-“ and</w:t>
      </w:r>
      <w:proofErr w:type="gramEnd"/>
      <w:r>
        <w:rPr>
          <w:sz w:val="24"/>
          <w:szCs w:val="24"/>
        </w:rPr>
        <w:t xml:space="preserve"> “Resident-Initiated” language removed</w:t>
      </w:r>
    </w:p>
    <w:p w14:paraId="626FD98B" w14:textId="77777777" w:rsidR="00B10A8D" w:rsidRDefault="00B10A8D" w:rsidP="00B10A8D">
      <w:pPr>
        <w:rPr>
          <w:sz w:val="24"/>
          <w:szCs w:val="24"/>
        </w:rPr>
      </w:pPr>
    </w:p>
    <w:p w14:paraId="33B4DA94" w14:textId="0AF960A3" w:rsidR="00B10A8D" w:rsidRDefault="00B10A8D" w:rsidP="00B10A8D">
      <w:pPr>
        <w:rPr>
          <w:b/>
          <w:bCs/>
          <w:sz w:val="24"/>
          <w:szCs w:val="24"/>
        </w:rPr>
      </w:pPr>
      <w:r>
        <w:rPr>
          <w:b/>
          <w:bCs/>
          <w:sz w:val="24"/>
          <w:szCs w:val="24"/>
        </w:rPr>
        <w:t>Pain Management:</w:t>
      </w:r>
    </w:p>
    <w:p w14:paraId="56327F66" w14:textId="29FC2E14" w:rsidR="00B10A8D" w:rsidRDefault="00B10A8D" w:rsidP="00B10A8D">
      <w:pPr>
        <w:rPr>
          <w:sz w:val="24"/>
          <w:szCs w:val="24"/>
        </w:rPr>
      </w:pPr>
      <w:r w:rsidRPr="00DF460D">
        <w:rPr>
          <w:sz w:val="24"/>
          <w:szCs w:val="24"/>
          <w:u w:val="single"/>
        </w:rPr>
        <w:t>F697 Pain Management Summary of Changes</w:t>
      </w:r>
      <w:r>
        <w:rPr>
          <w:sz w:val="24"/>
          <w:szCs w:val="24"/>
        </w:rPr>
        <w:t>:</w:t>
      </w:r>
    </w:p>
    <w:p w14:paraId="380188D1" w14:textId="77777777" w:rsidR="00B10A8D" w:rsidRDefault="00B10A8D" w:rsidP="00B10A8D">
      <w:pPr>
        <w:pStyle w:val="ListParagraph"/>
        <w:numPr>
          <w:ilvl w:val="0"/>
          <w:numId w:val="4"/>
        </w:numPr>
        <w:rPr>
          <w:sz w:val="24"/>
          <w:szCs w:val="24"/>
        </w:rPr>
      </w:pPr>
      <w:r w:rsidRPr="00B10A8D">
        <w:rPr>
          <w:sz w:val="24"/>
          <w:szCs w:val="24"/>
        </w:rPr>
        <w:lastRenderedPageBreak/>
        <w:t xml:space="preserve">Added CDC definitions for acute, chronic, and subacute pain </w:t>
      </w:r>
    </w:p>
    <w:p w14:paraId="3A7512AB" w14:textId="77777777" w:rsidR="00B10A8D" w:rsidRDefault="00B10A8D" w:rsidP="00B10A8D">
      <w:pPr>
        <w:pStyle w:val="ListParagraph"/>
        <w:numPr>
          <w:ilvl w:val="0"/>
          <w:numId w:val="4"/>
        </w:numPr>
        <w:rPr>
          <w:sz w:val="24"/>
          <w:szCs w:val="24"/>
        </w:rPr>
      </w:pPr>
      <w:r w:rsidRPr="00B10A8D">
        <w:rPr>
          <w:sz w:val="24"/>
          <w:szCs w:val="24"/>
        </w:rPr>
        <w:t xml:space="preserve">Clinicians may consider prescribing immediate-release opioids instead of extended-release and long-acting opioids. </w:t>
      </w:r>
    </w:p>
    <w:p w14:paraId="463A9B05" w14:textId="77777777" w:rsidR="00B10A8D" w:rsidRDefault="00B10A8D" w:rsidP="00B10A8D">
      <w:pPr>
        <w:pStyle w:val="ListParagraph"/>
        <w:numPr>
          <w:ilvl w:val="0"/>
          <w:numId w:val="4"/>
        </w:numPr>
        <w:rPr>
          <w:sz w:val="24"/>
          <w:szCs w:val="24"/>
        </w:rPr>
      </w:pPr>
      <w:r w:rsidRPr="00B10A8D">
        <w:rPr>
          <w:sz w:val="24"/>
          <w:szCs w:val="24"/>
        </w:rPr>
        <w:t xml:space="preserve">Opioid treatment for pain needs to be appropriately assessed and individualized for each resident. </w:t>
      </w:r>
    </w:p>
    <w:p w14:paraId="3E63EE7C" w14:textId="004AF1B3" w:rsidR="00B10A8D" w:rsidRDefault="00B10A8D" w:rsidP="00B10A8D">
      <w:pPr>
        <w:pStyle w:val="ListParagraph"/>
        <w:numPr>
          <w:ilvl w:val="0"/>
          <w:numId w:val="4"/>
        </w:numPr>
        <w:rPr>
          <w:sz w:val="24"/>
          <w:szCs w:val="24"/>
        </w:rPr>
      </w:pPr>
      <w:r w:rsidRPr="00B10A8D">
        <w:rPr>
          <w:sz w:val="24"/>
          <w:szCs w:val="24"/>
        </w:rPr>
        <w:t>Updated links and provided additional resources on opioid use.</w:t>
      </w:r>
    </w:p>
    <w:p w14:paraId="34D365A6" w14:textId="5D89F7C3" w:rsidR="00B10A8D" w:rsidRDefault="00B10A8D" w:rsidP="00B10A8D">
      <w:pPr>
        <w:rPr>
          <w:sz w:val="24"/>
          <w:szCs w:val="24"/>
        </w:rPr>
      </w:pPr>
      <w:r>
        <w:rPr>
          <w:sz w:val="24"/>
          <w:szCs w:val="24"/>
        </w:rPr>
        <w:t>Definitions Added:</w:t>
      </w:r>
    </w:p>
    <w:p w14:paraId="3BEB8125" w14:textId="77777777" w:rsidR="00B10A8D" w:rsidRDefault="00B10A8D" w:rsidP="00B10A8D">
      <w:pPr>
        <w:rPr>
          <w:sz w:val="24"/>
          <w:szCs w:val="24"/>
        </w:rPr>
      </w:pPr>
      <w:r w:rsidRPr="00B10A8D">
        <w:rPr>
          <w:b/>
          <w:bCs/>
          <w:sz w:val="24"/>
          <w:szCs w:val="24"/>
        </w:rPr>
        <w:t>“Acute Pain”</w:t>
      </w:r>
      <w:r w:rsidRPr="00B10A8D">
        <w:rPr>
          <w:sz w:val="24"/>
          <w:szCs w:val="24"/>
        </w:rPr>
        <w:t xml:space="preserve"> refers to pain that is usually sudden in onset and time-limited with a duration of less than 1 month and often is caused by injury, trauma, or medical treatments such as surgery. </w:t>
      </w:r>
      <w:r w:rsidRPr="00B10A8D">
        <w:rPr>
          <w:b/>
          <w:bCs/>
          <w:sz w:val="24"/>
          <w:szCs w:val="24"/>
        </w:rPr>
        <w:t>“Chronic Pain”</w:t>
      </w:r>
      <w:r w:rsidRPr="00B10A8D">
        <w:rPr>
          <w:sz w:val="24"/>
          <w:szCs w:val="24"/>
        </w:rPr>
        <w:t xml:space="preserve"> refers to pain that typically lasts greater than 3 months and can be the result of an underlying medical disease or condition, injury, medical treatment, inflammation, or unknown cause. </w:t>
      </w:r>
    </w:p>
    <w:p w14:paraId="4F2DCDD9" w14:textId="3C199164" w:rsidR="00B10A8D" w:rsidRPr="00B10A8D" w:rsidRDefault="00B10A8D" w:rsidP="00B10A8D">
      <w:pPr>
        <w:rPr>
          <w:sz w:val="24"/>
          <w:szCs w:val="24"/>
        </w:rPr>
      </w:pPr>
      <w:r w:rsidRPr="00B10A8D">
        <w:rPr>
          <w:b/>
          <w:bCs/>
          <w:sz w:val="24"/>
          <w:szCs w:val="24"/>
        </w:rPr>
        <w:t>“Subacute Pain”</w:t>
      </w:r>
      <w:r w:rsidRPr="00B10A8D">
        <w:rPr>
          <w:sz w:val="24"/>
          <w:szCs w:val="24"/>
        </w:rPr>
        <w:t xml:space="preserve"> refers to pain that has been present for 1–3 months.</w:t>
      </w:r>
    </w:p>
    <w:p w14:paraId="4DC686A3" w14:textId="6E307FD6" w:rsidR="00B10A8D" w:rsidRDefault="00B10A8D" w:rsidP="00B10A8D">
      <w:pPr>
        <w:rPr>
          <w:sz w:val="24"/>
          <w:szCs w:val="24"/>
        </w:rPr>
      </w:pPr>
      <w:r>
        <w:rPr>
          <w:sz w:val="24"/>
          <w:szCs w:val="24"/>
        </w:rPr>
        <w:t>Use of Opioids for Pain Management:</w:t>
      </w:r>
    </w:p>
    <w:p w14:paraId="14736784" w14:textId="77777777" w:rsidR="00B10A8D" w:rsidRDefault="00B10A8D" w:rsidP="00B10A8D">
      <w:pPr>
        <w:pStyle w:val="ListParagraph"/>
        <w:numPr>
          <w:ilvl w:val="0"/>
          <w:numId w:val="5"/>
        </w:numPr>
        <w:rPr>
          <w:sz w:val="24"/>
          <w:szCs w:val="24"/>
        </w:rPr>
      </w:pPr>
      <w:r w:rsidRPr="00B10A8D">
        <w:rPr>
          <w:sz w:val="24"/>
          <w:szCs w:val="24"/>
        </w:rPr>
        <w:t xml:space="preserve">Opioid treatment for pain needs to be appropriately assessed and individualized for each resident </w:t>
      </w:r>
    </w:p>
    <w:p w14:paraId="3CD06664" w14:textId="63207824" w:rsidR="00B10A8D" w:rsidRDefault="00B10A8D" w:rsidP="00B10A8D">
      <w:pPr>
        <w:pStyle w:val="ListParagraph"/>
        <w:numPr>
          <w:ilvl w:val="0"/>
          <w:numId w:val="5"/>
        </w:numPr>
        <w:rPr>
          <w:sz w:val="24"/>
          <w:szCs w:val="24"/>
        </w:rPr>
      </w:pPr>
      <w:r w:rsidRPr="00B10A8D">
        <w:rPr>
          <w:sz w:val="24"/>
          <w:szCs w:val="24"/>
        </w:rPr>
        <w:t>When starting opioid therapy for acute, subacute, or chronic pain, clinicians may consider prescribing immediate-release opioids instead of extended-release and long-acting.</w:t>
      </w:r>
    </w:p>
    <w:p w14:paraId="7B9C2138" w14:textId="2470AC8A" w:rsidR="00B10A8D" w:rsidRPr="00DF460D" w:rsidRDefault="00B10A8D" w:rsidP="00B10A8D">
      <w:pPr>
        <w:rPr>
          <w:sz w:val="24"/>
          <w:szCs w:val="24"/>
          <w:u w:val="single"/>
        </w:rPr>
      </w:pPr>
      <w:r w:rsidRPr="00DF460D">
        <w:rPr>
          <w:sz w:val="24"/>
          <w:szCs w:val="24"/>
          <w:u w:val="single"/>
        </w:rPr>
        <w:t>F552 Resident Rights</w:t>
      </w:r>
    </w:p>
    <w:p w14:paraId="0EF7437A" w14:textId="21AA0AF7" w:rsidR="00B10A8D" w:rsidRDefault="00B10A8D" w:rsidP="00B10A8D">
      <w:pPr>
        <w:rPr>
          <w:i/>
          <w:iCs/>
          <w:sz w:val="24"/>
          <w:szCs w:val="24"/>
          <w:u w:val="single"/>
        </w:rPr>
      </w:pPr>
      <w:r w:rsidRPr="00B10A8D">
        <w:rPr>
          <w:sz w:val="24"/>
          <w:szCs w:val="24"/>
        </w:rPr>
        <w:t>For concerns related to informing the resident or resident representative of the risks of opioid use for pain, refer to F552.</w:t>
      </w:r>
      <w:r>
        <w:rPr>
          <w:sz w:val="24"/>
          <w:szCs w:val="24"/>
        </w:rPr>
        <w:t xml:space="preserve">         </w:t>
      </w:r>
      <w:r>
        <w:rPr>
          <w:i/>
          <w:iCs/>
          <w:sz w:val="24"/>
          <w:szCs w:val="24"/>
          <w:u w:val="single"/>
        </w:rPr>
        <w:t xml:space="preserve">(So opioid use will require </w:t>
      </w:r>
      <w:proofErr w:type="gramStart"/>
      <w:r>
        <w:rPr>
          <w:i/>
          <w:iCs/>
          <w:sz w:val="24"/>
          <w:szCs w:val="24"/>
          <w:u w:val="single"/>
        </w:rPr>
        <w:t>a  signed</w:t>
      </w:r>
      <w:proofErr w:type="gramEnd"/>
      <w:r>
        <w:rPr>
          <w:i/>
          <w:iCs/>
          <w:sz w:val="24"/>
          <w:szCs w:val="24"/>
          <w:u w:val="single"/>
        </w:rPr>
        <w:t xml:space="preserve"> Informed Consent)</w:t>
      </w:r>
    </w:p>
    <w:p w14:paraId="4DEF785F" w14:textId="77777777" w:rsidR="00B10A8D" w:rsidRDefault="00B10A8D" w:rsidP="00B10A8D">
      <w:pPr>
        <w:rPr>
          <w:i/>
          <w:iCs/>
          <w:sz w:val="24"/>
          <w:szCs w:val="24"/>
          <w:u w:val="single"/>
        </w:rPr>
      </w:pPr>
    </w:p>
    <w:p w14:paraId="7C8AD31B" w14:textId="7F82F728" w:rsidR="00B10A8D" w:rsidRDefault="00B10A8D" w:rsidP="00B10A8D">
      <w:pPr>
        <w:rPr>
          <w:b/>
          <w:bCs/>
          <w:sz w:val="24"/>
          <w:szCs w:val="24"/>
        </w:rPr>
      </w:pPr>
      <w:r>
        <w:rPr>
          <w:b/>
          <w:bCs/>
          <w:sz w:val="24"/>
          <w:szCs w:val="24"/>
        </w:rPr>
        <w:t>Chemical Restraints, Unnecessary Psychotropic Medications, Accuracy of Assessment &amp; Professional Standards</w:t>
      </w:r>
    </w:p>
    <w:p w14:paraId="5AA74AF8" w14:textId="7C362245" w:rsidR="00B10A8D" w:rsidRDefault="00B10A8D" w:rsidP="00B10A8D">
      <w:pPr>
        <w:rPr>
          <w:sz w:val="24"/>
          <w:szCs w:val="24"/>
        </w:rPr>
      </w:pPr>
      <w:r>
        <w:rPr>
          <w:sz w:val="24"/>
          <w:szCs w:val="24"/>
        </w:rPr>
        <w:t>Guidance Updates:</w:t>
      </w:r>
    </w:p>
    <w:p w14:paraId="700E60C2" w14:textId="77777777" w:rsidR="00B10A8D" w:rsidRDefault="00B10A8D" w:rsidP="00B10A8D">
      <w:pPr>
        <w:rPr>
          <w:sz w:val="24"/>
          <w:szCs w:val="24"/>
        </w:rPr>
      </w:pPr>
      <w:r w:rsidRPr="00B10A8D">
        <w:rPr>
          <w:sz w:val="24"/>
          <w:szCs w:val="24"/>
        </w:rPr>
        <w:t xml:space="preserve">Specifically, guidance updates have been made to the following tags: </w:t>
      </w:r>
    </w:p>
    <w:p w14:paraId="6D5C5060" w14:textId="77777777" w:rsidR="00B10A8D" w:rsidRDefault="00B10A8D" w:rsidP="00B10A8D">
      <w:pPr>
        <w:ind w:firstLine="720"/>
        <w:rPr>
          <w:sz w:val="24"/>
          <w:szCs w:val="24"/>
        </w:rPr>
      </w:pPr>
      <w:r w:rsidRPr="00B10A8D">
        <w:rPr>
          <w:sz w:val="24"/>
          <w:szCs w:val="24"/>
        </w:rPr>
        <w:t xml:space="preserve">• F757 -- Unnecessary Medications </w:t>
      </w:r>
    </w:p>
    <w:p w14:paraId="382BA46E" w14:textId="77777777" w:rsidR="00B10A8D" w:rsidRDefault="00B10A8D" w:rsidP="00B10A8D">
      <w:pPr>
        <w:ind w:left="720"/>
        <w:rPr>
          <w:sz w:val="24"/>
          <w:szCs w:val="24"/>
        </w:rPr>
      </w:pPr>
      <w:r w:rsidRPr="00B10A8D">
        <w:rPr>
          <w:sz w:val="24"/>
          <w:szCs w:val="24"/>
        </w:rPr>
        <w:t xml:space="preserve">• F605 and F758 -- Chemical Restraints/Unnecessary Psychotropic Medications </w:t>
      </w:r>
    </w:p>
    <w:p w14:paraId="7ACF716A" w14:textId="77777777" w:rsidR="00B10A8D" w:rsidRDefault="00B10A8D" w:rsidP="00B10A8D">
      <w:pPr>
        <w:ind w:left="720"/>
        <w:rPr>
          <w:sz w:val="24"/>
          <w:szCs w:val="24"/>
        </w:rPr>
      </w:pPr>
      <w:r w:rsidRPr="00B10A8D">
        <w:rPr>
          <w:sz w:val="24"/>
          <w:szCs w:val="24"/>
        </w:rPr>
        <w:t xml:space="preserve">• F641 and F642 – Accuracy/Coordination/Certification </w:t>
      </w:r>
    </w:p>
    <w:p w14:paraId="1D5FCED2" w14:textId="77777777" w:rsidR="00B10A8D" w:rsidRDefault="00B10A8D" w:rsidP="00B10A8D">
      <w:pPr>
        <w:ind w:left="720"/>
        <w:rPr>
          <w:sz w:val="24"/>
          <w:szCs w:val="24"/>
        </w:rPr>
      </w:pPr>
      <w:r w:rsidRPr="00B10A8D">
        <w:rPr>
          <w:sz w:val="24"/>
          <w:szCs w:val="24"/>
        </w:rPr>
        <w:t xml:space="preserve">• F658 – Professional Standards </w:t>
      </w:r>
    </w:p>
    <w:p w14:paraId="457271AD" w14:textId="033EDAE2" w:rsidR="00B10A8D" w:rsidRDefault="00B10A8D" w:rsidP="00B10A8D">
      <w:pPr>
        <w:ind w:left="720"/>
        <w:rPr>
          <w:sz w:val="24"/>
          <w:szCs w:val="24"/>
        </w:rPr>
      </w:pPr>
      <w:r w:rsidRPr="00B10A8D">
        <w:rPr>
          <w:sz w:val="24"/>
          <w:szCs w:val="24"/>
        </w:rPr>
        <w:t>• F841 – Medical Director</w:t>
      </w:r>
    </w:p>
    <w:p w14:paraId="061782AF" w14:textId="5B8E48C2" w:rsidR="00B10A8D" w:rsidRPr="00DF460D" w:rsidRDefault="00B10A8D" w:rsidP="00B10A8D">
      <w:pPr>
        <w:rPr>
          <w:sz w:val="24"/>
          <w:szCs w:val="24"/>
          <w:u w:val="single"/>
        </w:rPr>
      </w:pPr>
      <w:r w:rsidRPr="00DF460D">
        <w:rPr>
          <w:sz w:val="24"/>
          <w:szCs w:val="24"/>
          <w:u w:val="single"/>
        </w:rPr>
        <w:lastRenderedPageBreak/>
        <w:t>F757 Unnecessary Medications</w:t>
      </w:r>
    </w:p>
    <w:p w14:paraId="57C73E45" w14:textId="7946A8D8" w:rsidR="00B10A8D" w:rsidRDefault="00B10A8D" w:rsidP="00B10A8D">
      <w:pPr>
        <w:rPr>
          <w:sz w:val="24"/>
          <w:szCs w:val="24"/>
        </w:rPr>
      </w:pPr>
      <w:r w:rsidRPr="00B10A8D">
        <w:rPr>
          <w:sz w:val="24"/>
          <w:szCs w:val="24"/>
        </w:rPr>
        <w:t>F757 has been revised and reorganized to include guidance for unnecessary medications, excluding unnecessary psychotropic medications.</w:t>
      </w:r>
    </w:p>
    <w:p w14:paraId="14ED8220" w14:textId="705D9DED" w:rsidR="00DF460D" w:rsidRDefault="00DF460D" w:rsidP="00B10A8D">
      <w:pPr>
        <w:rPr>
          <w:sz w:val="24"/>
          <w:szCs w:val="24"/>
          <w:u w:val="single"/>
        </w:rPr>
      </w:pPr>
      <w:r w:rsidRPr="00DF460D">
        <w:rPr>
          <w:sz w:val="24"/>
          <w:szCs w:val="24"/>
          <w:u w:val="single"/>
        </w:rPr>
        <w:t>F605: Chemical Restraints/Unnecessary Psychotropic Medications</w:t>
      </w:r>
    </w:p>
    <w:p w14:paraId="3E3CF142" w14:textId="77777777" w:rsidR="00DF460D" w:rsidRDefault="00DF460D" w:rsidP="00B10A8D">
      <w:pPr>
        <w:rPr>
          <w:sz w:val="24"/>
          <w:szCs w:val="24"/>
        </w:rPr>
      </w:pPr>
      <w:r w:rsidRPr="00DF460D">
        <w:rPr>
          <w:sz w:val="24"/>
          <w:szCs w:val="24"/>
        </w:rPr>
        <w:t xml:space="preserve">The regulations and guidance at F758 have been incorporated into and will now be cited at F605. </w:t>
      </w:r>
    </w:p>
    <w:p w14:paraId="7A158A32" w14:textId="77777777" w:rsidR="00DF460D" w:rsidRDefault="00DF460D" w:rsidP="00DF460D">
      <w:pPr>
        <w:ind w:firstLine="720"/>
        <w:rPr>
          <w:sz w:val="24"/>
          <w:szCs w:val="24"/>
        </w:rPr>
      </w:pPr>
      <w:r w:rsidRPr="00DF460D">
        <w:rPr>
          <w:sz w:val="24"/>
          <w:szCs w:val="24"/>
        </w:rPr>
        <w:t xml:space="preserve">• F758 has been removed from Appendix PP. </w:t>
      </w:r>
    </w:p>
    <w:p w14:paraId="30885073" w14:textId="77777777" w:rsidR="00DF460D" w:rsidRDefault="00DF460D" w:rsidP="00DF460D">
      <w:pPr>
        <w:ind w:firstLine="720"/>
        <w:rPr>
          <w:sz w:val="24"/>
          <w:szCs w:val="24"/>
        </w:rPr>
      </w:pPr>
      <w:r w:rsidRPr="00DF460D">
        <w:rPr>
          <w:sz w:val="24"/>
          <w:szCs w:val="24"/>
        </w:rPr>
        <w:t xml:space="preserve">• This change will streamline the survey process and increase consistency and accuracy of citations. </w:t>
      </w:r>
    </w:p>
    <w:p w14:paraId="26105372" w14:textId="276388EA" w:rsidR="00DF460D" w:rsidRDefault="00DF460D" w:rsidP="00DF460D">
      <w:pPr>
        <w:ind w:firstLine="720"/>
        <w:rPr>
          <w:sz w:val="24"/>
          <w:szCs w:val="24"/>
        </w:rPr>
      </w:pPr>
      <w:r w:rsidRPr="00DF460D">
        <w:rPr>
          <w:sz w:val="24"/>
          <w:szCs w:val="24"/>
        </w:rPr>
        <w:t>• The Critical Element pathway has been renamed and updated to reflect the guidance revisions.</w:t>
      </w:r>
    </w:p>
    <w:p w14:paraId="647D34EB" w14:textId="77777777" w:rsidR="00DF460D" w:rsidRDefault="00DF460D" w:rsidP="00DF460D">
      <w:pPr>
        <w:rPr>
          <w:sz w:val="24"/>
          <w:szCs w:val="24"/>
        </w:rPr>
      </w:pPr>
    </w:p>
    <w:p w14:paraId="5A8B1081" w14:textId="77777777" w:rsidR="00DF460D" w:rsidRDefault="00DF460D" w:rsidP="00DF460D">
      <w:pPr>
        <w:rPr>
          <w:sz w:val="24"/>
          <w:szCs w:val="24"/>
        </w:rPr>
      </w:pPr>
      <w:r w:rsidRPr="00DF460D">
        <w:rPr>
          <w:sz w:val="24"/>
          <w:szCs w:val="24"/>
          <w:u w:val="single"/>
        </w:rPr>
        <w:t>F605: Convenience</w:t>
      </w:r>
      <w:r>
        <w:rPr>
          <w:sz w:val="24"/>
          <w:szCs w:val="24"/>
        </w:rPr>
        <w:t xml:space="preserve">: </w:t>
      </w:r>
      <w:r w:rsidRPr="00DF460D">
        <w:rPr>
          <w:sz w:val="24"/>
          <w:szCs w:val="24"/>
        </w:rPr>
        <w:t xml:space="preserve">Unnecessary medication administration that is not required to treat a resident’s medical symptoms, and which causes symptoms consistent with sedation such as: </w:t>
      </w:r>
    </w:p>
    <w:p w14:paraId="70723CA0" w14:textId="77777777" w:rsidR="00DF460D" w:rsidRDefault="00DF460D" w:rsidP="00DF460D">
      <w:pPr>
        <w:ind w:firstLine="720"/>
        <w:rPr>
          <w:sz w:val="24"/>
          <w:szCs w:val="24"/>
        </w:rPr>
      </w:pPr>
      <w:r w:rsidRPr="00DF460D">
        <w:rPr>
          <w:sz w:val="24"/>
          <w:szCs w:val="24"/>
        </w:rPr>
        <w:t xml:space="preserve">• Excessive sleeping </w:t>
      </w:r>
    </w:p>
    <w:p w14:paraId="58B8553A" w14:textId="77777777" w:rsidR="00DF460D" w:rsidRDefault="00DF460D" w:rsidP="00DF460D">
      <w:pPr>
        <w:ind w:firstLine="720"/>
        <w:rPr>
          <w:sz w:val="24"/>
          <w:szCs w:val="24"/>
        </w:rPr>
      </w:pPr>
      <w:r w:rsidRPr="00DF460D">
        <w:rPr>
          <w:sz w:val="24"/>
          <w:szCs w:val="24"/>
        </w:rPr>
        <w:t xml:space="preserve">• Drowsiness </w:t>
      </w:r>
    </w:p>
    <w:p w14:paraId="50C3A6C1" w14:textId="77777777" w:rsidR="00DF460D" w:rsidRDefault="00DF460D" w:rsidP="00DF460D">
      <w:pPr>
        <w:ind w:firstLine="720"/>
        <w:rPr>
          <w:sz w:val="24"/>
          <w:szCs w:val="24"/>
        </w:rPr>
      </w:pPr>
      <w:r w:rsidRPr="00DF460D">
        <w:rPr>
          <w:sz w:val="24"/>
          <w:szCs w:val="24"/>
        </w:rPr>
        <w:t xml:space="preserve">• Withdrawal </w:t>
      </w:r>
    </w:p>
    <w:p w14:paraId="43E4BAB2" w14:textId="32AA77D3" w:rsidR="00DF460D" w:rsidRDefault="00DF460D" w:rsidP="00DF460D">
      <w:pPr>
        <w:ind w:firstLine="720"/>
        <w:rPr>
          <w:sz w:val="24"/>
          <w:szCs w:val="24"/>
        </w:rPr>
      </w:pPr>
      <w:r w:rsidRPr="00DF460D">
        <w:rPr>
          <w:sz w:val="24"/>
          <w:szCs w:val="24"/>
        </w:rPr>
        <w:t>• Decreased activity</w:t>
      </w:r>
    </w:p>
    <w:p w14:paraId="654565B4" w14:textId="77777777" w:rsidR="00DF460D" w:rsidRDefault="00DF460D" w:rsidP="00DF460D">
      <w:pPr>
        <w:rPr>
          <w:sz w:val="24"/>
          <w:szCs w:val="24"/>
        </w:rPr>
      </w:pPr>
    </w:p>
    <w:p w14:paraId="00C6653E" w14:textId="28AEA0F6" w:rsidR="00DF460D" w:rsidRDefault="00DF460D" w:rsidP="00DF460D">
      <w:pPr>
        <w:rPr>
          <w:sz w:val="24"/>
          <w:szCs w:val="24"/>
        </w:rPr>
      </w:pPr>
      <w:r w:rsidRPr="00DF460D">
        <w:rPr>
          <w:sz w:val="24"/>
          <w:szCs w:val="24"/>
          <w:u w:val="single"/>
        </w:rPr>
        <w:t>F605: Severity Determination</w:t>
      </w:r>
      <w:r>
        <w:rPr>
          <w:sz w:val="24"/>
          <w:szCs w:val="24"/>
        </w:rPr>
        <w:t xml:space="preserve">: </w:t>
      </w:r>
    </w:p>
    <w:p w14:paraId="19702A9A" w14:textId="2E558274" w:rsidR="00DF460D" w:rsidRDefault="00DF460D" w:rsidP="00DF460D">
      <w:pPr>
        <w:rPr>
          <w:sz w:val="24"/>
          <w:szCs w:val="24"/>
        </w:rPr>
      </w:pPr>
      <w:r w:rsidRPr="00DF460D">
        <w:rPr>
          <w:sz w:val="24"/>
          <w:szCs w:val="24"/>
        </w:rPr>
        <w:t>Severity level 3</w:t>
      </w:r>
      <w:r>
        <w:rPr>
          <w:sz w:val="24"/>
          <w:szCs w:val="24"/>
        </w:rPr>
        <w:t xml:space="preserve"> </w:t>
      </w:r>
      <w:r>
        <w:rPr>
          <w:i/>
          <w:iCs/>
          <w:sz w:val="24"/>
          <w:szCs w:val="24"/>
        </w:rPr>
        <w:t>(actual harm)</w:t>
      </w:r>
      <w:r w:rsidRPr="00DF460D">
        <w:rPr>
          <w:sz w:val="24"/>
          <w:szCs w:val="24"/>
        </w:rPr>
        <w:t xml:space="preserve"> example: A resident has an order for a PRN psychotropic medication that the resident can take for anxiety.  However, staff regularly administer the PRN psychotropic medication to the resident with no documented indication but during an interview, staff explained the medication helps the resident sleep, so they’ve been giving it nightly even though the resident did not request it. Since receiving the medication, the resident has been sleeping through breakfast and has experienced significant weight loss.</w:t>
      </w:r>
    </w:p>
    <w:p w14:paraId="447F65D9" w14:textId="77777777" w:rsidR="00DF460D" w:rsidRDefault="00DF460D" w:rsidP="00DF460D">
      <w:pPr>
        <w:rPr>
          <w:sz w:val="24"/>
          <w:szCs w:val="24"/>
        </w:rPr>
      </w:pPr>
      <w:r w:rsidRPr="00DF460D">
        <w:rPr>
          <w:sz w:val="24"/>
          <w:szCs w:val="24"/>
          <w:u w:val="single"/>
        </w:rPr>
        <w:t>Medical Record Documentation Guidance in F605, F641, and F658</w:t>
      </w:r>
      <w:r w:rsidRPr="00DF460D">
        <w:rPr>
          <w:sz w:val="24"/>
          <w:szCs w:val="24"/>
        </w:rPr>
        <w:t xml:space="preserve"> </w:t>
      </w:r>
    </w:p>
    <w:p w14:paraId="643ECCE9" w14:textId="77777777" w:rsidR="00DF460D" w:rsidRDefault="00DF460D" w:rsidP="00DF460D">
      <w:pPr>
        <w:rPr>
          <w:sz w:val="24"/>
          <w:szCs w:val="24"/>
        </w:rPr>
      </w:pPr>
      <w:r w:rsidRPr="00DF460D">
        <w:rPr>
          <w:sz w:val="24"/>
          <w:szCs w:val="24"/>
        </w:rPr>
        <w:t xml:space="preserve">Guidance related to citing noncompliance when a concern related to documentation to support a diagnosed mental disorder, has been revised and expanded at the following tags: </w:t>
      </w:r>
    </w:p>
    <w:p w14:paraId="58A12509" w14:textId="77777777" w:rsidR="00DF460D" w:rsidRDefault="00DF460D" w:rsidP="00DF460D">
      <w:pPr>
        <w:ind w:firstLine="720"/>
        <w:rPr>
          <w:sz w:val="24"/>
          <w:szCs w:val="24"/>
        </w:rPr>
      </w:pPr>
      <w:r w:rsidRPr="00DF460D">
        <w:rPr>
          <w:sz w:val="24"/>
          <w:szCs w:val="24"/>
        </w:rPr>
        <w:t xml:space="preserve">• </w:t>
      </w:r>
      <w:r w:rsidRPr="00DF460D">
        <w:rPr>
          <w:sz w:val="24"/>
          <w:szCs w:val="24"/>
          <w:u w:val="single"/>
        </w:rPr>
        <w:t>F605 Chemical Restraints/Unnecessary Psychotropic Medications</w:t>
      </w:r>
      <w:r w:rsidRPr="00DF460D">
        <w:rPr>
          <w:sz w:val="24"/>
          <w:szCs w:val="24"/>
        </w:rPr>
        <w:t xml:space="preserve"> </w:t>
      </w:r>
    </w:p>
    <w:p w14:paraId="380990A9" w14:textId="77777777" w:rsidR="00DF460D" w:rsidRDefault="00DF460D" w:rsidP="00DF460D">
      <w:pPr>
        <w:ind w:firstLine="720"/>
        <w:rPr>
          <w:sz w:val="24"/>
          <w:szCs w:val="24"/>
        </w:rPr>
      </w:pPr>
      <w:r w:rsidRPr="00DF460D">
        <w:rPr>
          <w:sz w:val="24"/>
          <w:szCs w:val="24"/>
        </w:rPr>
        <w:t xml:space="preserve">• </w:t>
      </w:r>
      <w:r w:rsidRPr="00DF460D">
        <w:rPr>
          <w:sz w:val="24"/>
          <w:szCs w:val="24"/>
          <w:u w:val="single"/>
        </w:rPr>
        <w:t>F641 Accuracy/Coordination/Certification</w:t>
      </w:r>
      <w:r w:rsidRPr="00DF460D">
        <w:rPr>
          <w:sz w:val="24"/>
          <w:szCs w:val="24"/>
        </w:rPr>
        <w:t xml:space="preserve"> </w:t>
      </w:r>
    </w:p>
    <w:p w14:paraId="6E7AD8FB" w14:textId="3916BAD0" w:rsidR="00DF460D" w:rsidRDefault="00DF460D" w:rsidP="00DF460D">
      <w:pPr>
        <w:ind w:firstLine="720"/>
        <w:rPr>
          <w:sz w:val="24"/>
          <w:szCs w:val="24"/>
        </w:rPr>
      </w:pPr>
      <w:r w:rsidRPr="00DF460D">
        <w:rPr>
          <w:sz w:val="24"/>
          <w:szCs w:val="24"/>
          <w:u w:val="single"/>
        </w:rPr>
        <w:lastRenderedPageBreak/>
        <w:t>• F658 Services Provided Meet Professional Standards Note</w:t>
      </w:r>
      <w:r w:rsidRPr="00DF460D">
        <w:rPr>
          <w:sz w:val="24"/>
          <w:szCs w:val="24"/>
        </w:rPr>
        <w:t>: The regulations and guidance at F642 have been incorporated into and will now be cited at F641. F642 has been removed from Appendix PP.</w:t>
      </w:r>
    </w:p>
    <w:p w14:paraId="1E3B3D96" w14:textId="77777777" w:rsidR="00DF460D" w:rsidRDefault="00DF460D" w:rsidP="00DF460D">
      <w:pPr>
        <w:rPr>
          <w:sz w:val="24"/>
          <w:szCs w:val="24"/>
        </w:rPr>
      </w:pPr>
    </w:p>
    <w:p w14:paraId="2FE7A394" w14:textId="7EE8F73F" w:rsidR="00DF460D" w:rsidRDefault="00DF460D" w:rsidP="00DF460D">
      <w:pPr>
        <w:rPr>
          <w:sz w:val="24"/>
          <w:szCs w:val="24"/>
          <w:u w:val="single"/>
        </w:rPr>
      </w:pPr>
      <w:r w:rsidRPr="00DF460D">
        <w:rPr>
          <w:sz w:val="24"/>
          <w:szCs w:val="24"/>
          <w:u w:val="single"/>
        </w:rPr>
        <w:t>F841: Responsibilities of Medical Director</w:t>
      </w:r>
    </w:p>
    <w:p w14:paraId="499AF537" w14:textId="77777777" w:rsidR="00DF460D" w:rsidRDefault="00DF460D" w:rsidP="00DF460D">
      <w:pPr>
        <w:rPr>
          <w:sz w:val="24"/>
          <w:szCs w:val="24"/>
        </w:rPr>
      </w:pPr>
      <w:r w:rsidRPr="00DF460D">
        <w:rPr>
          <w:sz w:val="24"/>
          <w:szCs w:val="24"/>
        </w:rPr>
        <w:t xml:space="preserve">• F841 has been revised to address the role of the medical director in the implementation of policies on diagnosing and prescribing medications. </w:t>
      </w:r>
    </w:p>
    <w:p w14:paraId="31DAF058" w14:textId="66D9B8FF" w:rsidR="00DF460D" w:rsidRPr="00DF460D" w:rsidRDefault="00DF460D" w:rsidP="00DF460D">
      <w:pPr>
        <w:rPr>
          <w:sz w:val="24"/>
          <w:szCs w:val="24"/>
        </w:rPr>
      </w:pPr>
      <w:r w:rsidRPr="00DF460D">
        <w:rPr>
          <w:sz w:val="24"/>
          <w:szCs w:val="24"/>
        </w:rPr>
        <w:t>• The medical director is responsible for intervening when medical care is inconsistent with current accepted standards of care.</w:t>
      </w:r>
    </w:p>
    <w:p w14:paraId="71E97CB6" w14:textId="77777777" w:rsidR="00B10A8D" w:rsidRPr="00B10A8D" w:rsidRDefault="00B10A8D" w:rsidP="00B10A8D">
      <w:pPr>
        <w:rPr>
          <w:sz w:val="24"/>
          <w:szCs w:val="24"/>
        </w:rPr>
      </w:pPr>
    </w:p>
    <w:sectPr w:rsidR="00B10A8D" w:rsidRPr="00B10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42167"/>
    <w:multiLevelType w:val="hybridMultilevel"/>
    <w:tmpl w:val="4EF205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2D54A2"/>
    <w:multiLevelType w:val="hybridMultilevel"/>
    <w:tmpl w:val="13E2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F2987"/>
    <w:multiLevelType w:val="hybridMultilevel"/>
    <w:tmpl w:val="C988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1407F"/>
    <w:multiLevelType w:val="hybridMultilevel"/>
    <w:tmpl w:val="F12CC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4C4ABB"/>
    <w:multiLevelType w:val="hybridMultilevel"/>
    <w:tmpl w:val="5BFE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607928">
    <w:abstractNumId w:val="1"/>
  </w:num>
  <w:num w:numId="2" w16cid:durableId="904296548">
    <w:abstractNumId w:val="3"/>
  </w:num>
  <w:num w:numId="3" w16cid:durableId="1728139523">
    <w:abstractNumId w:val="0"/>
  </w:num>
  <w:num w:numId="4" w16cid:durableId="1727530793">
    <w:abstractNumId w:val="4"/>
  </w:num>
  <w:num w:numId="5" w16cid:durableId="1267612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56"/>
    <w:rsid w:val="00127C81"/>
    <w:rsid w:val="00135F39"/>
    <w:rsid w:val="003467FD"/>
    <w:rsid w:val="00430070"/>
    <w:rsid w:val="007F0556"/>
    <w:rsid w:val="00B10A8D"/>
    <w:rsid w:val="00DF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6371"/>
  <w15:chartTrackingRefBased/>
  <w15:docId w15:val="{CDAC317C-154A-432C-B719-E7DF3FF0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556"/>
    <w:rPr>
      <w:color w:val="0563C1" w:themeColor="hyperlink"/>
      <w:u w:val="single"/>
    </w:rPr>
  </w:style>
  <w:style w:type="character" w:styleId="UnresolvedMention">
    <w:name w:val="Unresolved Mention"/>
    <w:basedOn w:val="DefaultParagraphFont"/>
    <w:uiPriority w:val="99"/>
    <w:semiHidden/>
    <w:unhideWhenUsed/>
    <w:rsid w:val="007F0556"/>
    <w:rPr>
      <w:color w:val="605E5C"/>
      <w:shd w:val="clear" w:color="auto" w:fill="E1DFDD"/>
    </w:rPr>
  </w:style>
  <w:style w:type="paragraph" w:styleId="ListParagraph">
    <w:name w:val="List Paragraph"/>
    <w:basedOn w:val="Normal"/>
    <w:uiPriority w:val="34"/>
    <w:qFormat/>
    <w:rsid w:val="007F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sep.cms.gov/pubs/ClassInformation.aspx?cid=0CMSLTC_AppPP_2025" TargetMode="External"/><Relationship Id="rId5" Type="http://schemas.openxmlformats.org/officeDocument/2006/relationships/hyperlink" Target="https://www.cms.gov/files/document/revised-long-term-care-ltc-surveyor-guidance-significant-revisions-enhance-quality-and-oversight-ltc.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Farrar</dc:creator>
  <cp:keywords/>
  <dc:description/>
  <cp:lastModifiedBy>Teresa Keating</cp:lastModifiedBy>
  <cp:revision>2</cp:revision>
  <dcterms:created xsi:type="dcterms:W3CDTF">2024-12-02T16:31:00Z</dcterms:created>
  <dcterms:modified xsi:type="dcterms:W3CDTF">2024-12-02T16:31:00Z</dcterms:modified>
</cp:coreProperties>
</file>