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EE7AF" w14:textId="17F660B9" w:rsidR="0006355A" w:rsidRPr="0006355A" w:rsidRDefault="0006355A" w:rsidP="0006355A">
      <w:pPr>
        <w:jc w:val="right"/>
        <w:rPr>
          <w:b/>
          <w:bCs/>
          <w:sz w:val="40"/>
          <w:szCs w:val="40"/>
        </w:rPr>
      </w:pPr>
      <w:r w:rsidRPr="0006355A">
        <w:rPr>
          <w:noProof/>
          <w:sz w:val="40"/>
          <w:szCs w:val="40"/>
        </w:rPr>
        <w:drawing>
          <wp:anchor distT="0" distB="0" distL="114300" distR="114300" simplePos="0" relativeHeight="251658240" behindDoc="0" locked="0" layoutInCell="1" allowOverlap="1" wp14:anchorId="26C823F4" wp14:editId="0F394418">
            <wp:simplePos x="0" y="0"/>
            <wp:positionH relativeFrom="column">
              <wp:posOffset>-19685</wp:posOffset>
            </wp:positionH>
            <wp:positionV relativeFrom="paragraph">
              <wp:posOffset>0</wp:posOffset>
            </wp:positionV>
            <wp:extent cx="1861457" cy="801461"/>
            <wp:effectExtent l="0" t="0" r="5715" b="0"/>
            <wp:wrapSquare wrapText="bothSides"/>
            <wp:docPr id="1573799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799433" name="Picture 15737994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61457" cy="801461"/>
                    </a:xfrm>
                    <a:prstGeom prst="rect">
                      <a:avLst/>
                    </a:prstGeom>
                  </pic:spPr>
                </pic:pic>
              </a:graphicData>
            </a:graphic>
            <wp14:sizeRelH relativeFrom="page">
              <wp14:pctWidth>0</wp14:pctWidth>
            </wp14:sizeRelH>
            <wp14:sizeRelV relativeFrom="page">
              <wp14:pctHeight>0</wp14:pctHeight>
            </wp14:sizeRelV>
          </wp:anchor>
        </w:drawing>
      </w:r>
      <w:r w:rsidRPr="0006355A">
        <w:rPr>
          <w:b/>
          <w:bCs/>
          <w:sz w:val="40"/>
          <w:szCs w:val="40"/>
        </w:rPr>
        <w:t xml:space="preserve"> Manufacturing Grant Opportunities</w:t>
      </w:r>
    </w:p>
    <w:p w14:paraId="32DA9186" w14:textId="1C8AE816" w:rsidR="00E0552A" w:rsidRDefault="00E0552A"/>
    <w:p w14:paraId="2FD64555" w14:textId="77777777" w:rsidR="0006355A" w:rsidRDefault="0006355A"/>
    <w:p w14:paraId="440FBC07" w14:textId="0C9B1991" w:rsidR="0006355A" w:rsidRPr="0006355A" w:rsidRDefault="0006355A">
      <w:pPr>
        <w:rPr>
          <w:b/>
          <w:bCs/>
        </w:rPr>
      </w:pPr>
      <w:r w:rsidRPr="0006355A">
        <w:rPr>
          <w:b/>
          <w:bCs/>
        </w:rPr>
        <w:t xml:space="preserve">Opportunity: </w:t>
      </w:r>
      <w:r w:rsidR="00FC54E5">
        <w:rPr>
          <w:b/>
          <w:bCs/>
        </w:rPr>
        <w:t>Global New York Fund</w:t>
      </w:r>
    </w:p>
    <w:p w14:paraId="632597D0" w14:textId="069A5054" w:rsidR="0006355A" w:rsidRDefault="0006355A">
      <w:r w:rsidRPr="0006355A">
        <w:rPr>
          <w:u w:val="single"/>
        </w:rPr>
        <w:t>Funder:</w:t>
      </w:r>
      <w:r>
        <w:t xml:space="preserve"> </w:t>
      </w:r>
      <w:r w:rsidR="00FC54E5">
        <w:t>Empire State Development</w:t>
      </w:r>
    </w:p>
    <w:p w14:paraId="358EE419" w14:textId="5D0A43D8" w:rsidR="00FC54E5" w:rsidRDefault="0006355A" w:rsidP="00E01184">
      <w:r w:rsidRPr="0006355A">
        <w:rPr>
          <w:u w:val="single"/>
        </w:rPr>
        <w:t>Purpose:</w:t>
      </w:r>
      <w:r>
        <w:t xml:space="preserve"> </w:t>
      </w:r>
      <w:r w:rsidR="00FC54E5" w:rsidRPr="00FC54E5">
        <w:t>The Global NY Fund provides grants and loans to help New York State’s small- and medium-sized businesses go global and create new jobs. The Global NY Fund Grant Program is open to New York State companies and not-for-profit economic development organizations seeking to create or expand direct exports. All export grants are awarded on a reimbursable basis.</w:t>
      </w:r>
      <w:r w:rsidR="00E01184">
        <w:t xml:space="preserve"> Approved use of funds </w:t>
      </w:r>
      <w:proofErr w:type="gramStart"/>
      <w:r w:rsidR="00E01184">
        <w:t>include:</w:t>
      </w:r>
      <w:proofErr w:type="gramEnd"/>
      <w:r w:rsidR="00E01184">
        <w:t xml:space="preserve"> market customization, participation in trade shows/missions, export workshops, and product adaptations to meet foreign regulatory requirements.</w:t>
      </w:r>
    </w:p>
    <w:p w14:paraId="0C6A8841" w14:textId="77777777" w:rsidR="00E01184" w:rsidRDefault="0006355A" w:rsidP="00E01184">
      <w:r w:rsidRPr="0006355A">
        <w:rPr>
          <w:u w:val="single"/>
        </w:rPr>
        <w:t>Eligibility Requirements:</w:t>
      </w:r>
      <w:r>
        <w:t xml:space="preserve"> </w:t>
      </w:r>
    </w:p>
    <w:p w14:paraId="7F9C190A" w14:textId="6B8C9CDC" w:rsidR="00E01184" w:rsidRDefault="00E01184" w:rsidP="00E01184">
      <w:r>
        <w:t xml:space="preserve">For Profit Companies must </w:t>
      </w:r>
      <w:proofErr w:type="gramStart"/>
      <w:r>
        <w:t>be located in</w:t>
      </w:r>
      <w:proofErr w:type="gramEnd"/>
      <w:r>
        <w:t xml:space="preserve"> New York State, have 500 or fewer employees, intend to begin exporting or expand export sales in foreign markets, and at least one of the following:</w:t>
      </w:r>
    </w:p>
    <w:p w14:paraId="22798D7F" w14:textId="38F2E6A2" w:rsidR="00E01184" w:rsidRDefault="00E01184" w:rsidP="00E01184">
      <w:r>
        <w:t xml:space="preserve"> -51% of the value of finished product or service originates in New York, the calculation of which includes the value of the raw materials and component parts, manufacturing process, advertising and promotion, distribution, warehousing, and designs and other intellectual property</w:t>
      </w:r>
    </w:p>
    <w:p w14:paraId="2C35F42A" w14:textId="77777777" w:rsidR="00E01184" w:rsidRDefault="00E01184" w:rsidP="00E01184">
      <w:r>
        <w:t>OR</w:t>
      </w:r>
    </w:p>
    <w:p w14:paraId="584324EA" w14:textId="6CA75C4B" w:rsidR="00E01184" w:rsidRDefault="00E01184" w:rsidP="00E01184">
      <w:r>
        <w:t>-A business that is certified as a local producer through a regional chamber of commerce or economic development agency (e.g., Made in NY; Made in Brooklyn)</w:t>
      </w:r>
    </w:p>
    <w:p w14:paraId="20194954" w14:textId="425A6543" w:rsidR="0006355A" w:rsidRDefault="0006355A" w:rsidP="0006355A">
      <w:r w:rsidRPr="0006355A">
        <w:rPr>
          <w:u w:val="single"/>
        </w:rPr>
        <w:t>Award size:</w:t>
      </w:r>
      <w:r>
        <w:t xml:space="preserve"> up to $2</w:t>
      </w:r>
      <w:r w:rsidR="00E6645D">
        <w:t>5,000; 50% match required.</w:t>
      </w:r>
    </w:p>
    <w:p w14:paraId="61DAAABC" w14:textId="77777777" w:rsidR="009A7446" w:rsidRDefault="009A7446" w:rsidP="0006355A">
      <w:pPr>
        <w:rPr>
          <w:b/>
          <w:bCs/>
        </w:rPr>
      </w:pPr>
    </w:p>
    <w:p w14:paraId="0018F218" w14:textId="5CE36146" w:rsidR="009A7446" w:rsidRDefault="009A7446" w:rsidP="0006355A">
      <w:pPr>
        <w:rPr>
          <w:b/>
          <w:bCs/>
        </w:rPr>
      </w:pPr>
      <w:r>
        <w:rPr>
          <w:b/>
          <w:bCs/>
        </w:rPr>
        <w:t xml:space="preserve">Opportunity: </w:t>
      </w:r>
      <w:r w:rsidR="00D42BFE">
        <w:rPr>
          <w:b/>
          <w:bCs/>
        </w:rPr>
        <w:t>Autodesk</w:t>
      </w:r>
    </w:p>
    <w:p w14:paraId="6DFFEFF3" w14:textId="29A7CFB0" w:rsidR="009A7446" w:rsidRDefault="009A7446" w:rsidP="0006355A">
      <w:r>
        <w:rPr>
          <w:u w:val="single"/>
        </w:rPr>
        <w:t>Funder:</w:t>
      </w:r>
      <w:r>
        <w:t xml:space="preserve"> </w:t>
      </w:r>
      <w:r w:rsidR="00D42BFE">
        <w:t>Autodesk (Private, Corporate)</w:t>
      </w:r>
    </w:p>
    <w:p w14:paraId="37D0E704" w14:textId="527C8DBA" w:rsidR="00D42BFE" w:rsidRDefault="009A7446" w:rsidP="00D42BFE">
      <w:r>
        <w:rPr>
          <w:u w:val="single"/>
        </w:rPr>
        <w:t>Purpose:</w:t>
      </w:r>
      <w:r>
        <w:t xml:space="preserve"> </w:t>
      </w:r>
      <w:r w:rsidR="00D42BFE">
        <w:t xml:space="preserve"> </w:t>
      </w:r>
    </w:p>
    <w:p w14:paraId="643B56F3" w14:textId="10D46645" w:rsidR="00D42BFE" w:rsidRDefault="00D42BFE" w:rsidP="00D42BFE">
      <w:r>
        <w:lastRenderedPageBreak/>
        <w:t>Energy &amp; Materials: Autodesk invests in innovators scaling early</w:t>
      </w:r>
      <w:r>
        <w:rPr>
          <w:rFonts w:ascii="Cambria Math" w:hAnsi="Cambria Math" w:cs="Cambria Math"/>
        </w:rPr>
        <w:t>‑</w:t>
      </w:r>
      <w:r>
        <w:t>stage technologies that have the potential to dramatically reduce greenhouse gas emissions and accelerate the transition to a decarbonized economy. Investments are focused on sectors where Autodesk’s design and engineering expertise is particularly beneficial, such as renewable energy, electrification of transportation, building and industrial energy efficiency, materials innovation, and carbon capture, utilization, and storage.</w:t>
      </w:r>
    </w:p>
    <w:p w14:paraId="53838197" w14:textId="7C0A2E20" w:rsidR="00D42BFE" w:rsidRDefault="00D42BFE" w:rsidP="00D42BFE">
      <w:r>
        <w:t>Health and Resilience: Autodesk invests in innovators scaling technology</w:t>
      </w:r>
      <w:r>
        <w:rPr>
          <w:rFonts w:ascii="Cambria Math" w:hAnsi="Cambria Math" w:cs="Cambria Math"/>
        </w:rPr>
        <w:t>‑</w:t>
      </w:r>
      <w:r>
        <w:t>based solutions that improve resilience in low-resource communities most vulnerable to climate change. Investments are focused on the built environment, agriculture, energy access, and water and sanitation, where design and engineering-based solutions are critical levers for building community well-being and economic prosperity.</w:t>
      </w:r>
    </w:p>
    <w:p w14:paraId="32C4B7F3" w14:textId="77777777" w:rsidR="00D42BFE" w:rsidRDefault="00D42BFE" w:rsidP="00D42BFE">
      <w:r>
        <w:t xml:space="preserve">Work and Prosperity: Autodesk invests in innovators preparing workers to thrive in the era of automation. We focus our investment on programs, research, and technologies that consider access and inclusion, deliver in-demand skills, and lead to quality jobs, especially in the manufacturing and construction sectors. </w:t>
      </w:r>
    </w:p>
    <w:p w14:paraId="1AB5F274" w14:textId="77777777" w:rsidR="00D42BFE" w:rsidRDefault="009A7446" w:rsidP="009A7446">
      <w:r>
        <w:rPr>
          <w:u w:val="single"/>
        </w:rPr>
        <w:t>Eligibility Requirements:</w:t>
      </w:r>
      <w:r>
        <w:rPr>
          <w:b/>
          <w:bCs/>
        </w:rPr>
        <w:t xml:space="preserve"> </w:t>
      </w:r>
      <w:r w:rsidR="00D42BFE" w:rsidRPr="00D42BFE">
        <w:t>For startups, we initially invest at the seed or Series A. We participate in follow-on rounds dependent on the progress of the company.</w:t>
      </w:r>
    </w:p>
    <w:p w14:paraId="5FAEBAAD" w14:textId="22831B2B" w:rsidR="009A7446" w:rsidRPr="009A7446" w:rsidRDefault="009A7446" w:rsidP="009A7446">
      <w:r>
        <w:rPr>
          <w:u w:val="single"/>
        </w:rPr>
        <w:t xml:space="preserve">How to Apply: </w:t>
      </w:r>
      <w:r w:rsidR="00D42BFE" w:rsidRPr="00D42BFE">
        <w:t xml:space="preserve">The first step to be considered for Autodesk Foundation funding is to complete </w:t>
      </w:r>
      <w:r w:rsidR="00D42BFE">
        <w:t>the</w:t>
      </w:r>
      <w:r w:rsidR="00D42BFE" w:rsidRPr="00D42BFE">
        <w:t xml:space="preserve"> Discovery Form</w:t>
      </w:r>
      <w:r w:rsidR="00D42BFE">
        <w:t xml:space="preserve"> available on the website.</w:t>
      </w:r>
    </w:p>
    <w:p w14:paraId="5BE7B86F" w14:textId="71B5D670" w:rsidR="0006355A" w:rsidRPr="00D42BFE" w:rsidRDefault="009A7446">
      <w:pPr>
        <w:rPr>
          <w:b/>
          <w:bCs/>
          <w:u w:val="single"/>
        </w:rPr>
      </w:pPr>
      <w:r>
        <w:rPr>
          <w:u w:val="single"/>
        </w:rPr>
        <w:t xml:space="preserve">Award Size: </w:t>
      </w:r>
      <w:r w:rsidR="00D42BFE">
        <w:t>Up to $1 million.</w:t>
      </w:r>
    </w:p>
    <w:p w14:paraId="7FF2FC26" w14:textId="7A4C4ED5" w:rsidR="0006355A" w:rsidRPr="009A7446" w:rsidRDefault="0006355A">
      <w:pPr>
        <w:rPr>
          <w:b/>
          <w:bCs/>
        </w:rPr>
      </w:pPr>
      <w:r w:rsidRPr="009A7446">
        <w:rPr>
          <w:b/>
          <w:bCs/>
        </w:rPr>
        <w:t>For more information contact:</w:t>
      </w:r>
    </w:p>
    <w:p w14:paraId="02B8864D" w14:textId="37C00440" w:rsidR="0006355A" w:rsidRDefault="0006355A">
      <w:r>
        <w:t xml:space="preserve">Briana Maloney, </w:t>
      </w:r>
      <w:hyperlink r:id="rId6" w:history="1">
        <w:r w:rsidRPr="0063560B">
          <w:rPr>
            <w:rStyle w:val="Hyperlink"/>
          </w:rPr>
          <w:t>bmaloney@choicewordspr.com</w:t>
        </w:r>
      </w:hyperlink>
    </w:p>
    <w:p w14:paraId="345FB308" w14:textId="77777777" w:rsidR="0006355A" w:rsidRDefault="0006355A"/>
    <w:sectPr w:rsidR="000635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529C6"/>
    <w:multiLevelType w:val="multilevel"/>
    <w:tmpl w:val="743E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0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55A"/>
    <w:rsid w:val="0006355A"/>
    <w:rsid w:val="00304669"/>
    <w:rsid w:val="003E2DAE"/>
    <w:rsid w:val="0057781A"/>
    <w:rsid w:val="0058283F"/>
    <w:rsid w:val="005E3525"/>
    <w:rsid w:val="00813FE6"/>
    <w:rsid w:val="009A7446"/>
    <w:rsid w:val="009D56BB"/>
    <w:rsid w:val="00A94EEC"/>
    <w:rsid w:val="00AF73D8"/>
    <w:rsid w:val="00C86D84"/>
    <w:rsid w:val="00D42BFE"/>
    <w:rsid w:val="00D7393C"/>
    <w:rsid w:val="00E01184"/>
    <w:rsid w:val="00E0552A"/>
    <w:rsid w:val="00E6645D"/>
    <w:rsid w:val="00F41C26"/>
    <w:rsid w:val="00FC5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C18F"/>
  <w15:chartTrackingRefBased/>
  <w15:docId w15:val="{2087B76E-879E-CE4C-963A-64499358E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35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35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35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35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35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35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35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35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35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5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35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35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35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35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35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5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5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55A"/>
    <w:rPr>
      <w:rFonts w:eastAsiaTheme="majorEastAsia" w:cstheme="majorBidi"/>
      <w:color w:val="272727" w:themeColor="text1" w:themeTint="D8"/>
    </w:rPr>
  </w:style>
  <w:style w:type="paragraph" w:styleId="Title">
    <w:name w:val="Title"/>
    <w:basedOn w:val="Normal"/>
    <w:next w:val="Normal"/>
    <w:link w:val="TitleChar"/>
    <w:uiPriority w:val="10"/>
    <w:qFormat/>
    <w:rsid w:val="00063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5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5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5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55A"/>
    <w:pPr>
      <w:spacing w:before="160"/>
      <w:jc w:val="center"/>
    </w:pPr>
    <w:rPr>
      <w:i/>
      <w:iCs/>
      <w:color w:val="404040" w:themeColor="text1" w:themeTint="BF"/>
    </w:rPr>
  </w:style>
  <w:style w:type="character" w:customStyle="1" w:styleId="QuoteChar">
    <w:name w:val="Quote Char"/>
    <w:basedOn w:val="DefaultParagraphFont"/>
    <w:link w:val="Quote"/>
    <w:uiPriority w:val="29"/>
    <w:rsid w:val="0006355A"/>
    <w:rPr>
      <w:i/>
      <w:iCs/>
      <w:color w:val="404040" w:themeColor="text1" w:themeTint="BF"/>
    </w:rPr>
  </w:style>
  <w:style w:type="paragraph" w:styleId="ListParagraph">
    <w:name w:val="List Paragraph"/>
    <w:basedOn w:val="Normal"/>
    <w:uiPriority w:val="34"/>
    <w:qFormat/>
    <w:rsid w:val="0006355A"/>
    <w:pPr>
      <w:ind w:left="720"/>
      <w:contextualSpacing/>
    </w:pPr>
  </w:style>
  <w:style w:type="character" w:styleId="IntenseEmphasis">
    <w:name w:val="Intense Emphasis"/>
    <w:basedOn w:val="DefaultParagraphFont"/>
    <w:uiPriority w:val="21"/>
    <w:qFormat/>
    <w:rsid w:val="0006355A"/>
    <w:rPr>
      <w:i/>
      <w:iCs/>
      <w:color w:val="0F4761" w:themeColor="accent1" w:themeShade="BF"/>
    </w:rPr>
  </w:style>
  <w:style w:type="paragraph" w:styleId="IntenseQuote">
    <w:name w:val="Intense Quote"/>
    <w:basedOn w:val="Normal"/>
    <w:next w:val="Normal"/>
    <w:link w:val="IntenseQuoteChar"/>
    <w:uiPriority w:val="30"/>
    <w:qFormat/>
    <w:rsid w:val="000635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355A"/>
    <w:rPr>
      <w:i/>
      <w:iCs/>
      <w:color w:val="0F4761" w:themeColor="accent1" w:themeShade="BF"/>
    </w:rPr>
  </w:style>
  <w:style w:type="character" w:styleId="IntenseReference">
    <w:name w:val="Intense Reference"/>
    <w:basedOn w:val="DefaultParagraphFont"/>
    <w:uiPriority w:val="32"/>
    <w:qFormat/>
    <w:rsid w:val="0006355A"/>
    <w:rPr>
      <w:b/>
      <w:bCs/>
      <w:smallCaps/>
      <w:color w:val="0F4761" w:themeColor="accent1" w:themeShade="BF"/>
      <w:spacing w:val="5"/>
    </w:rPr>
  </w:style>
  <w:style w:type="character" w:styleId="Hyperlink">
    <w:name w:val="Hyperlink"/>
    <w:basedOn w:val="DefaultParagraphFont"/>
    <w:uiPriority w:val="99"/>
    <w:unhideWhenUsed/>
    <w:rsid w:val="0006355A"/>
    <w:rPr>
      <w:color w:val="467886" w:themeColor="hyperlink"/>
      <w:u w:val="single"/>
    </w:rPr>
  </w:style>
  <w:style w:type="character" w:styleId="UnresolvedMention">
    <w:name w:val="Unresolved Mention"/>
    <w:basedOn w:val="DefaultParagraphFont"/>
    <w:uiPriority w:val="99"/>
    <w:semiHidden/>
    <w:unhideWhenUsed/>
    <w:rsid w:val="000635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maloney@choicewordspr.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2634</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Briana Maloney</dc:creator>
  <cp:keywords/>
  <dc:description/>
  <cp:lastModifiedBy>Ciara McEneany</cp:lastModifiedBy>
  <cp:revision>2</cp:revision>
  <dcterms:created xsi:type="dcterms:W3CDTF">2026-10-19T13:00:00Z</dcterms:created>
  <dcterms:modified xsi:type="dcterms:W3CDTF">2026-10-19T13:00:00Z</dcterms:modified>
</cp:coreProperties>
</file>