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448"/>
        <w:gridCol w:w="3117"/>
        <w:gridCol w:w="4865"/>
      </w:tblGrid>
      <w:tr w:rsidR="007F3D63" w14:paraId="580B7FDF" w14:textId="20B39F70" w:rsidTr="002E2FBF">
        <w:tc>
          <w:tcPr>
            <w:tcW w:w="2785" w:type="dxa"/>
            <w:shd w:val="clear" w:color="auto" w:fill="002060"/>
          </w:tcPr>
          <w:p w14:paraId="2168D9EE" w14:textId="420E8C6C" w:rsidR="007F3D63" w:rsidRPr="00D76622" w:rsidRDefault="007F3D63" w:rsidP="00C16C3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Question</w:t>
            </w:r>
          </w:p>
        </w:tc>
        <w:tc>
          <w:tcPr>
            <w:tcW w:w="3448" w:type="dxa"/>
            <w:shd w:val="clear" w:color="auto" w:fill="002060"/>
          </w:tcPr>
          <w:p w14:paraId="4E7D4F55" w14:textId="77777777" w:rsidR="007F3D63" w:rsidRPr="00D76622" w:rsidRDefault="007F3D63" w:rsidP="00C16C37">
            <w:pPr>
              <w:jc w:val="center"/>
              <w:rPr>
                <w:b/>
                <w:bCs/>
                <w:sz w:val="36"/>
                <w:szCs w:val="36"/>
              </w:rPr>
            </w:pPr>
            <w:r w:rsidRPr="00D76622">
              <w:rPr>
                <w:b/>
                <w:bCs/>
                <w:sz w:val="36"/>
                <w:szCs w:val="36"/>
              </w:rPr>
              <w:t>Answer</w:t>
            </w:r>
          </w:p>
        </w:tc>
        <w:tc>
          <w:tcPr>
            <w:tcW w:w="3117" w:type="dxa"/>
            <w:shd w:val="clear" w:color="auto" w:fill="002060"/>
          </w:tcPr>
          <w:p w14:paraId="385961D8" w14:textId="77777777" w:rsidR="007F3D63" w:rsidRPr="00D76622" w:rsidRDefault="007F3D63" w:rsidP="00C16C37">
            <w:pPr>
              <w:jc w:val="center"/>
              <w:rPr>
                <w:b/>
                <w:bCs/>
                <w:sz w:val="36"/>
                <w:szCs w:val="36"/>
              </w:rPr>
            </w:pPr>
            <w:r w:rsidRPr="00D76622">
              <w:rPr>
                <w:b/>
                <w:bCs/>
                <w:sz w:val="36"/>
                <w:szCs w:val="36"/>
              </w:rPr>
              <w:t>Helpful Tips</w:t>
            </w:r>
          </w:p>
        </w:tc>
        <w:tc>
          <w:tcPr>
            <w:tcW w:w="4865" w:type="dxa"/>
            <w:shd w:val="clear" w:color="auto" w:fill="002060"/>
          </w:tcPr>
          <w:p w14:paraId="25F85CC3" w14:textId="6CD02F1F" w:rsidR="007F3D63" w:rsidRPr="00D76622" w:rsidRDefault="0075274C" w:rsidP="00C16C3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My Agency’s Procedures</w:t>
            </w:r>
          </w:p>
        </w:tc>
      </w:tr>
      <w:tr w:rsidR="0075274C" w14:paraId="7DD87C38" w14:textId="23BD0784" w:rsidTr="001A1F69">
        <w:tc>
          <w:tcPr>
            <w:tcW w:w="2785" w:type="dxa"/>
            <w:vMerge w:val="restart"/>
            <w:shd w:val="clear" w:color="auto" w:fill="DEEAF6" w:themeFill="accent5" w:themeFillTint="33"/>
          </w:tcPr>
          <w:p w14:paraId="4C357723" w14:textId="77777777" w:rsidR="0075274C" w:rsidRPr="00D10AC3" w:rsidRDefault="0075274C" w:rsidP="001514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10AC3">
              <w:rPr>
                <w:b/>
                <w:bCs/>
                <w:sz w:val="24"/>
                <w:szCs w:val="24"/>
              </w:rPr>
              <w:t>Which service recipients receive the survey?</w:t>
            </w:r>
          </w:p>
        </w:tc>
        <w:tc>
          <w:tcPr>
            <w:tcW w:w="3448" w:type="dxa"/>
            <w:shd w:val="clear" w:color="auto" w:fill="DEEAF6" w:themeFill="accent5" w:themeFillTint="33"/>
          </w:tcPr>
          <w:p w14:paraId="3A284D7C" w14:textId="77777777" w:rsidR="0075274C" w:rsidRDefault="0075274C">
            <w:r>
              <w:t xml:space="preserve">Direct Service Recipients ages 14 and over.  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37316ABC" w14:textId="77777777" w:rsidR="0075274C" w:rsidRDefault="0075274C">
            <w:r>
              <w:t>If a minor age 14 or over is receiving services and signing their own confidentiality forms, etc., they can complete the survey.</w:t>
            </w:r>
          </w:p>
        </w:tc>
        <w:tc>
          <w:tcPr>
            <w:tcW w:w="4865" w:type="dxa"/>
            <w:vMerge w:val="restart"/>
            <w:shd w:val="clear" w:color="auto" w:fill="DEEAF6" w:themeFill="accent5" w:themeFillTint="33"/>
          </w:tcPr>
          <w:p w14:paraId="25D614BE" w14:textId="77777777" w:rsidR="0075274C" w:rsidRDefault="0075274C"/>
        </w:tc>
      </w:tr>
      <w:tr w:rsidR="0075274C" w14:paraId="2B250E5D" w14:textId="32FB227A" w:rsidTr="001A1F69">
        <w:tc>
          <w:tcPr>
            <w:tcW w:w="2785" w:type="dxa"/>
            <w:vMerge/>
            <w:shd w:val="clear" w:color="auto" w:fill="DEEAF6" w:themeFill="accent5" w:themeFillTint="33"/>
          </w:tcPr>
          <w:p w14:paraId="75226CF2" w14:textId="77777777" w:rsidR="0075274C" w:rsidRPr="00D10AC3" w:rsidRDefault="0075274C" w:rsidP="001514F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448" w:type="dxa"/>
            <w:shd w:val="clear" w:color="auto" w:fill="DEEAF6" w:themeFill="accent5" w:themeFillTint="33"/>
          </w:tcPr>
          <w:p w14:paraId="44BA82D0" w14:textId="77777777" w:rsidR="0075274C" w:rsidRDefault="0075274C">
            <w:r>
              <w:t>Can be a Victim or Significant Other.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42394BFD" w14:textId="00990F01" w:rsidR="0075274C" w:rsidRDefault="0075274C">
            <w:r>
              <w:t>If a Significant Other, they must complete survey based on the services they received and their own experiences with the agency.</w:t>
            </w:r>
          </w:p>
        </w:tc>
        <w:tc>
          <w:tcPr>
            <w:tcW w:w="4865" w:type="dxa"/>
            <w:vMerge/>
            <w:shd w:val="clear" w:color="auto" w:fill="DEEAF6" w:themeFill="accent5" w:themeFillTint="33"/>
          </w:tcPr>
          <w:p w14:paraId="67667FFB" w14:textId="77777777" w:rsidR="0075274C" w:rsidRDefault="0075274C"/>
        </w:tc>
      </w:tr>
      <w:tr w:rsidR="0075274C" w14:paraId="790933A4" w14:textId="562CAABE" w:rsidTr="00615808">
        <w:tc>
          <w:tcPr>
            <w:tcW w:w="2785" w:type="dxa"/>
            <w:vMerge w:val="restart"/>
            <w:shd w:val="clear" w:color="auto" w:fill="FFFFCC"/>
          </w:tcPr>
          <w:p w14:paraId="47A4DD60" w14:textId="28831EEE" w:rsidR="0075274C" w:rsidRPr="00D10AC3" w:rsidRDefault="0075274C" w:rsidP="001514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10AC3">
              <w:rPr>
                <w:b/>
                <w:bCs/>
                <w:sz w:val="24"/>
                <w:szCs w:val="24"/>
              </w:rPr>
              <w:t>At one point do we provide the survey?</w:t>
            </w:r>
          </w:p>
        </w:tc>
        <w:tc>
          <w:tcPr>
            <w:tcW w:w="3448" w:type="dxa"/>
            <w:shd w:val="clear" w:color="auto" w:fill="FFFFCC"/>
          </w:tcPr>
          <w:p w14:paraId="1ACD92AE" w14:textId="0260785A" w:rsidR="0075274C" w:rsidRDefault="0075274C">
            <w:r>
              <w:t xml:space="preserve">During their last visit/interaction with your agency.  </w:t>
            </w:r>
          </w:p>
        </w:tc>
        <w:tc>
          <w:tcPr>
            <w:tcW w:w="3117" w:type="dxa"/>
            <w:shd w:val="clear" w:color="auto" w:fill="FFFFCC"/>
          </w:tcPr>
          <w:p w14:paraId="5B80D8C7" w14:textId="2D92C7C7" w:rsidR="0075274C" w:rsidRDefault="0075274C">
            <w:r>
              <w:t>Or close to the last visit as possible.</w:t>
            </w:r>
          </w:p>
        </w:tc>
        <w:tc>
          <w:tcPr>
            <w:tcW w:w="4865" w:type="dxa"/>
            <w:vMerge w:val="restart"/>
            <w:shd w:val="clear" w:color="auto" w:fill="FFFFCC"/>
          </w:tcPr>
          <w:p w14:paraId="0A9F12FE" w14:textId="77777777" w:rsidR="0075274C" w:rsidRDefault="0075274C"/>
        </w:tc>
      </w:tr>
      <w:tr w:rsidR="0075274C" w14:paraId="2DEBEB9A" w14:textId="0F4876DA" w:rsidTr="00C129B4">
        <w:tc>
          <w:tcPr>
            <w:tcW w:w="2785" w:type="dxa"/>
            <w:vMerge/>
            <w:shd w:val="clear" w:color="auto" w:fill="D9D9D9" w:themeFill="background1" w:themeFillShade="D9"/>
          </w:tcPr>
          <w:p w14:paraId="710F0340" w14:textId="77777777" w:rsidR="0075274C" w:rsidRPr="00D10AC3" w:rsidRDefault="0075274C" w:rsidP="001514F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448" w:type="dxa"/>
            <w:shd w:val="clear" w:color="auto" w:fill="FFFFCC"/>
          </w:tcPr>
          <w:p w14:paraId="6D6EC315" w14:textId="77777777" w:rsidR="0075274C" w:rsidRDefault="0075274C"/>
          <w:p w14:paraId="67FCA502" w14:textId="7306F841" w:rsidR="0075274C" w:rsidRDefault="0075274C">
            <w:r>
              <w:t xml:space="preserve">At a minimum, an Individual must have at least three interactions (services provided 3 times) with your agency. </w:t>
            </w:r>
          </w:p>
        </w:tc>
        <w:tc>
          <w:tcPr>
            <w:tcW w:w="3117" w:type="dxa"/>
            <w:shd w:val="clear" w:color="auto" w:fill="FFFFCC"/>
          </w:tcPr>
          <w:p w14:paraId="2DC0EABE" w14:textId="4EBB6A1D" w:rsidR="0075274C" w:rsidRDefault="0075274C">
            <w:r>
              <w:t>Services cannot be adequately evaluated with less.</w:t>
            </w:r>
          </w:p>
          <w:p w14:paraId="0B3D2C76" w14:textId="77777777" w:rsidR="0075274C" w:rsidRDefault="0075274C"/>
          <w:p w14:paraId="62533A2E" w14:textId="5CFA5935" w:rsidR="0075274C" w:rsidRDefault="0075274C">
            <w:r>
              <w:t>This does NOT mean you automatically give to someone after their 3</w:t>
            </w:r>
            <w:r w:rsidRPr="00966B69">
              <w:rPr>
                <w:vertAlign w:val="superscript"/>
              </w:rPr>
              <w:t>rd</w:t>
            </w:r>
            <w:r>
              <w:t xml:space="preserve"> visit.</w:t>
            </w:r>
          </w:p>
        </w:tc>
        <w:tc>
          <w:tcPr>
            <w:tcW w:w="4865" w:type="dxa"/>
            <w:vMerge/>
            <w:shd w:val="clear" w:color="auto" w:fill="D9D9D9" w:themeFill="background1" w:themeFillShade="D9"/>
          </w:tcPr>
          <w:p w14:paraId="6A0439E5" w14:textId="77777777" w:rsidR="0075274C" w:rsidRDefault="0075274C"/>
        </w:tc>
      </w:tr>
      <w:tr w:rsidR="007F3D63" w14:paraId="3BA4B7DA" w14:textId="4F653375" w:rsidTr="001A1F69">
        <w:tc>
          <w:tcPr>
            <w:tcW w:w="2785" w:type="dxa"/>
            <w:shd w:val="clear" w:color="auto" w:fill="DEEAF6" w:themeFill="accent5" w:themeFillTint="33"/>
          </w:tcPr>
          <w:p w14:paraId="3211DA13" w14:textId="00D83AEB" w:rsidR="007F3D63" w:rsidRPr="00D10AC3" w:rsidRDefault="007F3D63" w:rsidP="001514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10AC3">
              <w:rPr>
                <w:b/>
                <w:bCs/>
                <w:sz w:val="24"/>
                <w:szCs w:val="24"/>
              </w:rPr>
              <w:t xml:space="preserve">What if a situation is ongoing for years and my interaction with the client is very infrequent – how do I know when to give them the survey? </w:t>
            </w:r>
          </w:p>
        </w:tc>
        <w:tc>
          <w:tcPr>
            <w:tcW w:w="3448" w:type="dxa"/>
            <w:shd w:val="clear" w:color="auto" w:fill="DEEAF6" w:themeFill="accent5" w:themeFillTint="33"/>
          </w:tcPr>
          <w:p w14:paraId="3C165A96" w14:textId="6167C6AF" w:rsidR="007F3D63" w:rsidRDefault="007F3D63">
            <w:r>
              <w:t>There are a few exceptions that allow for distribution of the survey prior to the very last visit – examples include Legal Cases, Immigrant Services, etc.  As an agency, determine when the best time is to provide the survey during these situations.</w:t>
            </w:r>
          </w:p>
          <w:p w14:paraId="71E7CAE3" w14:textId="1848CE13" w:rsidR="007F3D63" w:rsidRDefault="007F3D63"/>
        </w:tc>
        <w:tc>
          <w:tcPr>
            <w:tcW w:w="3117" w:type="dxa"/>
            <w:shd w:val="clear" w:color="auto" w:fill="DEEAF6" w:themeFill="accent5" w:themeFillTint="33"/>
          </w:tcPr>
          <w:p w14:paraId="188C5CE1" w14:textId="77777777" w:rsidR="007F3D63" w:rsidRDefault="007F3D63">
            <w:r>
              <w:t>Develop agency procedures to identify which situations this pertains to in your agency and be consistent with the implementation.</w:t>
            </w:r>
          </w:p>
          <w:p w14:paraId="69A94281" w14:textId="77777777" w:rsidR="0008136B" w:rsidRDefault="0008136B"/>
          <w:p w14:paraId="645F6B50" w14:textId="6FC4CFC4" w:rsidR="007F3D63" w:rsidRDefault="0008136B">
            <w:r>
              <w:t>Take into consideration the best alternative to</w:t>
            </w:r>
            <w:r w:rsidR="0060420E">
              <w:t xml:space="preserve"> </w:t>
            </w:r>
            <w:r w:rsidR="005E5C18">
              <w:t xml:space="preserve">providing the survey </w:t>
            </w:r>
            <w:r w:rsidR="00E33B54">
              <w:t>prior to the last contact.</w:t>
            </w:r>
          </w:p>
        </w:tc>
        <w:tc>
          <w:tcPr>
            <w:tcW w:w="4865" w:type="dxa"/>
            <w:shd w:val="clear" w:color="auto" w:fill="DEEAF6" w:themeFill="accent5" w:themeFillTint="33"/>
          </w:tcPr>
          <w:p w14:paraId="7873EA77" w14:textId="77777777" w:rsidR="007F3D63" w:rsidRDefault="007F3D63"/>
        </w:tc>
      </w:tr>
      <w:tr w:rsidR="0075274C" w14:paraId="67B20104" w14:textId="63C11D3B" w:rsidTr="00E33B54">
        <w:tc>
          <w:tcPr>
            <w:tcW w:w="2785" w:type="dxa"/>
            <w:vMerge w:val="restart"/>
            <w:shd w:val="clear" w:color="auto" w:fill="FFFFCC"/>
          </w:tcPr>
          <w:p w14:paraId="4EBA3435" w14:textId="75E1D686" w:rsidR="0075274C" w:rsidRPr="00D10AC3" w:rsidRDefault="0075274C">
            <w:pPr>
              <w:rPr>
                <w:b/>
                <w:bCs/>
                <w:sz w:val="24"/>
                <w:szCs w:val="24"/>
              </w:rPr>
            </w:pPr>
            <w:r w:rsidRPr="00D10AC3">
              <w:rPr>
                <w:b/>
                <w:bCs/>
                <w:sz w:val="24"/>
                <w:szCs w:val="24"/>
              </w:rPr>
              <w:t>How often does someone receive the survey?</w:t>
            </w:r>
          </w:p>
        </w:tc>
        <w:tc>
          <w:tcPr>
            <w:tcW w:w="3448" w:type="dxa"/>
            <w:shd w:val="clear" w:color="auto" w:fill="FFFFCC"/>
          </w:tcPr>
          <w:p w14:paraId="1E1C4426" w14:textId="77777777" w:rsidR="0075274C" w:rsidRDefault="0075274C">
            <w:r>
              <w:t xml:space="preserve">Once per agency.  </w:t>
            </w:r>
          </w:p>
          <w:p w14:paraId="6D17EF12" w14:textId="77777777" w:rsidR="0075274C" w:rsidRDefault="0075274C"/>
          <w:p w14:paraId="5871B71C" w14:textId="3A8964AA" w:rsidR="0075274C" w:rsidRDefault="0075274C"/>
        </w:tc>
        <w:tc>
          <w:tcPr>
            <w:tcW w:w="3117" w:type="dxa"/>
            <w:shd w:val="clear" w:color="auto" w:fill="FFFFCC"/>
          </w:tcPr>
          <w:p w14:paraId="1D8A8F8E" w14:textId="00672BC9" w:rsidR="0075274C" w:rsidRDefault="0075274C">
            <w:r>
              <w:t xml:space="preserve">If the individual returns to the agency </w:t>
            </w:r>
            <w:proofErr w:type="gramStart"/>
            <w:r>
              <w:t>at a later date</w:t>
            </w:r>
            <w:proofErr w:type="gramEnd"/>
            <w:r>
              <w:t xml:space="preserve"> for additional services, you can provide them with the survey again – at the conclusion of that series of interactions/services.</w:t>
            </w:r>
          </w:p>
        </w:tc>
        <w:tc>
          <w:tcPr>
            <w:tcW w:w="4865" w:type="dxa"/>
            <w:vMerge w:val="restart"/>
            <w:shd w:val="clear" w:color="auto" w:fill="FFFFCC"/>
          </w:tcPr>
          <w:p w14:paraId="028B3FF9" w14:textId="77777777" w:rsidR="0075274C" w:rsidRDefault="0075274C"/>
        </w:tc>
      </w:tr>
      <w:tr w:rsidR="0075274C" w14:paraId="3654F21E" w14:textId="72C5F561" w:rsidTr="00E33B54">
        <w:tc>
          <w:tcPr>
            <w:tcW w:w="2785" w:type="dxa"/>
            <w:vMerge/>
            <w:shd w:val="clear" w:color="auto" w:fill="D9D9D9" w:themeFill="background1" w:themeFillShade="D9"/>
          </w:tcPr>
          <w:p w14:paraId="32DDECC4" w14:textId="77777777" w:rsidR="0075274C" w:rsidRDefault="0075274C"/>
        </w:tc>
        <w:tc>
          <w:tcPr>
            <w:tcW w:w="3448" w:type="dxa"/>
            <w:shd w:val="clear" w:color="auto" w:fill="FFFFCC"/>
          </w:tcPr>
          <w:p w14:paraId="1F287145" w14:textId="47FCF922" w:rsidR="0075274C" w:rsidRDefault="0075274C">
            <w:r>
              <w:t xml:space="preserve">However, we recognize that not </w:t>
            </w:r>
            <w:r w:rsidR="00FC2F8C">
              <w:t>all</w:t>
            </w:r>
            <w:r w:rsidR="003822FC">
              <w:t xml:space="preserve"> </w:t>
            </w:r>
            <w:r>
              <w:t xml:space="preserve">agencies operate the same and may have different programs within their organization that the </w:t>
            </w:r>
            <w:r>
              <w:lastRenderedPageBreak/>
              <w:t xml:space="preserve">individual may be receiving services from.  </w:t>
            </w:r>
          </w:p>
          <w:p w14:paraId="027CDAE4" w14:textId="77777777" w:rsidR="0075274C" w:rsidRDefault="0075274C"/>
          <w:p w14:paraId="06D0EDC7" w14:textId="0AE617CD" w:rsidR="0075274C" w:rsidRDefault="0075274C">
            <w:r>
              <w:t xml:space="preserve">Whenever possible, try to coordinate the disbursement of the survey between programs so the survey taker only receives it once.  </w:t>
            </w:r>
          </w:p>
        </w:tc>
        <w:tc>
          <w:tcPr>
            <w:tcW w:w="3117" w:type="dxa"/>
            <w:shd w:val="clear" w:color="auto" w:fill="FFFFCC"/>
          </w:tcPr>
          <w:p w14:paraId="183EA537" w14:textId="64BD5A90" w:rsidR="0075274C" w:rsidRDefault="0075274C">
            <w:r>
              <w:lastRenderedPageBreak/>
              <w:t xml:space="preserve">If that is not possible, provide survey taker with guidance on which services you are asking them to complete the survey.  </w:t>
            </w:r>
          </w:p>
        </w:tc>
        <w:tc>
          <w:tcPr>
            <w:tcW w:w="4865" w:type="dxa"/>
            <w:vMerge/>
            <w:shd w:val="clear" w:color="auto" w:fill="D9D9D9" w:themeFill="background1" w:themeFillShade="D9"/>
          </w:tcPr>
          <w:p w14:paraId="2F637430" w14:textId="77777777" w:rsidR="0075274C" w:rsidRDefault="0075274C"/>
        </w:tc>
      </w:tr>
      <w:tr w:rsidR="00364162" w14:paraId="5B8AE3AC" w14:textId="77777777" w:rsidTr="008D089D">
        <w:tc>
          <w:tcPr>
            <w:tcW w:w="2785" w:type="dxa"/>
            <w:vMerge w:val="restart"/>
            <w:shd w:val="clear" w:color="auto" w:fill="DEEAF6" w:themeFill="accent5" w:themeFillTint="33"/>
          </w:tcPr>
          <w:p w14:paraId="27A50EA0" w14:textId="6A06ACE6" w:rsidR="00364162" w:rsidRPr="008D089D" w:rsidRDefault="00364162">
            <w:pPr>
              <w:rPr>
                <w:b/>
                <w:bCs/>
              </w:rPr>
            </w:pPr>
            <w:r w:rsidRPr="008D089D">
              <w:rPr>
                <w:b/>
                <w:bCs/>
              </w:rPr>
              <w:t>How can the survey be provided to individuals without access to an electronic device of their own?</w:t>
            </w:r>
          </w:p>
        </w:tc>
        <w:tc>
          <w:tcPr>
            <w:tcW w:w="3448" w:type="dxa"/>
            <w:shd w:val="clear" w:color="auto" w:fill="DEEAF6" w:themeFill="accent5" w:themeFillTint="33"/>
          </w:tcPr>
          <w:p w14:paraId="2025902A" w14:textId="61326ACE" w:rsidR="00364162" w:rsidRDefault="00364162">
            <w:r>
              <w:t>Agency provided device.</w:t>
            </w:r>
          </w:p>
          <w:p w14:paraId="2D2F4159" w14:textId="77777777" w:rsidR="00364162" w:rsidRDefault="00364162"/>
          <w:p w14:paraId="300AC279" w14:textId="77777777" w:rsidR="00364162" w:rsidRDefault="00364162"/>
          <w:p w14:paraId="72FC8B94" w14:textId="77777777" w:rsidR="00364162" w:rsidRDefault="00364162"/>
          <w:p w14:paraId="022EDAE8" w14:textId="27D35F52" w:rsidR="00364162" w:rsidRDefault="00364162"/>
        </w:tc>
        <w:tc>
          <w:tcPr>
            <w:tcW w:w="3117" w:type="dxa"/>
            <w:shd w:val="clear" w:color="auto" w:fill="DEEAF6" w:themeFill="accent5" w:themeFillTint="33"/>
          </w:tcPr>
          <w:p w14:paraId="5A90B465" w14:textId="10D658FA" w:rsidR="00364162" w:rsidRDefault="00364162">
            <w:r>
              <w:t>Provide access to a computer</w:t>
            </w:r>
            <w:r w:rsidR="003E1E44">
              <w:t xml:space="preserve"> or tablet while at your agency</w:t>
            </w:r>
            <w:r w:rsidR="00063CCA">
              <w:t xml:space="preserve">.  </w:t>
            </w:r>
          </w:p>
        </w:tc>
        <w:tc>
          <w:tcPr>
            <w:tcW w:w="4865" w:type="dxa"/>
            <w:vMerge w:val="restart"/>
            <w:shd w:val="clear" w:color="auto" w:fill="DEEAF6" w:themeFill="accent5" w:themeFillTint="33"/>
          </w:tcPr>
          <w:p w14:paraId="7C6576C8" w14:textId="77777777" w:rsidR="00364162" w:rsidRDefault="00364162"/>
        </w:tc>
      </w:tr>
      <w:tr w:rsidR="00364162" w14:paraId="11CB5600" w14:textId="77777777" w:rsidTr="008D089D">
        <w:tc>
          <w:tcPr>
            <w:tcW w:w="2785" w:type="dxa"/>
            <w:vMerge/>
            <w:shd w:val="clear" w:color="auto" w:fill="D9D9D9" w:themeFill="background1" w:themeFillShade="D9"/>
          </w:tcPr>
          <w:p w14:paraId="69266B08" w14:textId="77777777" w:rsidR="00364162" w:rsidRDefault="00364162"/>
        </w:tc>
        <w:tc>
          <w:tcPr>
            <w:tcW w:w="3448" w:type="dxa"/>
            <w:shd w:val="clear" w:color="auto" w:fill="DEEAF6" w:themeFill="accent5" w:themeFillTint="33"/>
          </w:tcPr>
          <w:p w14:paraId="01E4FDBB" w14:textId="58B8097E" w:rsidR="00364162" w:rsidRDefault="00784C6E">
            <w:r>
              <w:t>Distributed p</w:t>
            </w:r>
            <w:r w:rsidR="00364162">
              <w:t>aper cop</w:t>
            </w:r>
            <w:r>
              <w:t>ies of the survey</w:t>
            </w:r>
            <w:r w:rsidR="00364162">
              <w:t>.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48E6B105" w14:textId="3F38F3BE" w:rsidR="00364162" w:rsidRDefault="007A0955">
            <w:r>
              <w:t>Determine</w:t>
            </w:r>
            <w:r w:rsidR="003027D0">
              <w:t xml:space="preserve"> </w:t>
            </w:r>
            <w:r w:rsidR="00847E53">
              <w:t>how t</w:t>
            </w:r>
            <w:r w:rsidR="00AD16E9">
              <w:t xml:space="preserve">o maintain anonymity </w:t>
            </w:r>
            <w:r>
              <w:t>with the distribution of paper copies and how they will be returned to your agency.  A</w:t>
            </w:r>
            <w:r w:rsidR="0047031C">
              <w:t xml:space="preserve">lso </w:t>
            </w:r>
            <w:r w:rsidR="00460BF9">
              <w:t xml:space="preserve">identify who will be responsible for inputting </w:t>
            </w:r>
            <w:r w:rsidR="009D4086">
              <w:t>responses received from paper copies</w:t>
            </w:r>
            <w:r w:rsidR="008D089D">
              <w:t xml:space="preserve"> into Qualtrics</w:t>
            </w:r>
            <w:r w:rsidR="009D4086">
              <w:t>.</w:t>
            </w:r>
          </w:p>
        </w:tc>
        <w:tc>
          <w:tcPr>
            <w:tcW w:w="4865" w:type="dxa"/>
            <w:vMerge/>
            <w:shd w:val="clear" w:color="auto" w:fill="D9D9D9" w:themeFill="background1" w:themeFillShade="D9"/>
          </w:tcPr>
          <w:p w14:paraId="5521EE99" w14:textId="77777777" w:rsidR="00364162" w:rsidRDefault="00364162"/>
        </w:tc>
      </w:tr>
      <w:tr w:rsidR="005010B1" w14:paraId="032BD866" w14:textId="77777777" w:rsidTr="0066728C">
        <w:tc>
          <w:tcPr>
            <w:tcW w:w="2785" w:type="dxa"/>
            <w:shd w:val="clear" w:color="auto" w:fill="FFFFCC"/>
          </w:tcPr>
          <w:p w14:paraId="33CA24CC" w14:textId="33EFA84F" w:rsidR="005010B1" w:rsidRPr="00EC720E" w:rsidRDefault="005010B1">
            <w:pPr>
              <w:rPr>
                <w:b/>
                <w:bCs/>
              </w:rPr>
            </w:pPr>
            <w:r w:rsidRPr="00EC720E">
              <w:rPr>
                <w:b/>
                <w:bCs/>
              </w:rPr>
              <w:t xml:space="preserve">Can </w:t>
            </w:r>
            <w:r w:rsidR="00285A04">
              <w:rPr>
                <w:b/>
                <w:bCs/>
              </w:rPr>
              <w:t>I assist someone who needs help taking the survey</w:t>
            </w:r>
            <w:r w:rsidRPr="00EC720E">
              <w:rPr>
                <w:b/>
                <w:bCs/>
              </w:rPr>
              <w:t>?</w:t>
            </w:r>
          </w:p>
        </w:tc>
        <w:tc>
          <w:tcPr>
            <w:tcW w:w="3448" w:type="dxa"/>
            <w:shd w:val="clear" w:color="auto" w:fill="FFFFCC"/>
          </w:tcPr>
          <w:p w14:paraId="6CF2644C" w14:textId="56F6A4F6" w:rsidR="005010B1" w:rsidRDefault="00285A04">
            <w:r>
              <w:t>Yes</w:t>
            </w:r>
            <w:r w:rsidR="004C7ECB">
              <w:t>, if</w:t>
            </w:r>
            <w:r w:rsidR="004C7ECB" w:rsidRPr="00157D9E">
              <w:t xml:space="preserve"> someone is unable to read the survey due to </w:t>
            </w:r>
            <w:r w:rsidR="004C7ECB">
              <w:t>l</w:t>
            </w:r>
            <w:r w:rsidR="004C7ECB" w:rsidRPr="00157D9E">
              <w:t>iteracy issues or visual impairment</w:t>
            </w:r>
            <w:r>
              <w:t>.</w:t>
            </w:r>
            <w:r w:rsidR="005010B1">
              <w:t xml:space="preserve">  </w:t>
            </w:r>
          </w:p>
        </w:tc>
        <w:tc>
          <w:tcPr>
            <w:tcW w:w="3117" w:type="dxa"/>
            <w:shd w:val="clear" w:color="auto" w:fill="FFFFCC"/>
          </w:tcPr>
          <w:p w14:paraId="439B3E4C" w14:textId="6988B5A6" w:rsidR="0022229D" w:rsidRPr="00157D9E" w:rsidRDefault="0022229D" w:rsidP="004C7ECB">
            <w:r w:rsidRPr="00157D9E">
              <w:t>Develop a procedure that the survey can be administered orally by a staff member (not the same person who has provided the service) and record the answers on behalf of the client.</w:t>
            </w:r>
          </w:p>
          <w:p w14:paraId="29FEAEAC" w14:textId="168CC603" w:rsidR="005010B1" w:rsidRDefault="005010B1"/>
        </w:tc>
        <w:tc>
          <w:tcPr>
            <w:tcW w:w="4865" w:type="dxa"/>
            <w:shd w:val="clear" w:color="auto" w:fill="FFFFCC"/>
          </w:tcPr>
          <w:p w14:paraId="2A7FC817" w14:textId="77777777" w:rsidR="005010B1" w:rsidRDefault="005010B1"/>
        </w:tc>
      </w:tr>
      <w:tr w:rsidR="00285A04" w14:paraId="7E6AC443" w14:textId="77777777" w:rsidTr="0066728C">
        <w:tc>
          <w:tcPr>
            <w:tcW w:w="2785" w:type="dxa"/>
            <w:shd w:val="clear" w:color="auto" w:fill="DEEAF6" w:themeFill="accent5" w:themeFillTint="33"/>
          </w:tcPr>
          <w:p w14:paraId="5ECE3CF9" w14:textId="014B4FD9" w:rsidR="00285A04" w:rsidRPr="00EC720E" w:rsidRDefault="00285A04">
            <w:pPr>
              <w:rPr>
                <w:b/>
                <w:bCs/>
              </w:rPr>
            </w:pPr>
            <w:r w:rsidRPr="00EC720E">
              <w:rPr>
                <w:b/>
                <w:bCs/>
              </w:rPr>
              <w:t>Can questions be added or removed from the survey?</w:t>
            </w:r>
          </w:p>
        </w:tc>
        <w:tc>
          <w:tcPr>
            <w:tcW w:w="3448" w:type="dxa"/>
            <w:shd w:val="clear" w:color="auto" w:fill="DEEAF6" w:themeFill="accent5" w:themeFillTint="33"/>
          </w:tcPr>
          <w:p w14:paraId="29060B6D" w14:textId="16D72C8A" w:rsidR="00285A04" w:rsidRDefault="00285A04">
            <w:r>
              <w:t>No.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67F12ECF" w14:textId="06193B5F" w:rsidR="00285A04" w:rsidRDefault="00285A04">
            <w:r>
              <w:t>Removing, changing or adding questions to the VS3 jeopardizes validity and impacts data upload from Qualtrics into ETO</w:t>
            </w:r>
            <w:r w:rsidR="00BF4AB3">
              <w:t xml:space="preserve"> for outcomes reporting</w:t>
            </w:r>
            <w:r>
              <w:t>.</w:t>
            </w:r>
          </w:p>
        </w:tc>
        <w:tc>
          <w:tcPr>
            <w:tcW w:w="4865" w:type="dxa"/>
            <w:shd w:val="clear" w:color="auto" w:fill="262626" w:themeFill="text1" w:themeFillTint="D9"/>
          </w:tcPr>
          <w:p w14:paraId="2A9DAFB7" w14:textId="77777777" w:rsidR="00285A04" w:rsidRDefault="00285A04"/>
        </w:tc>
      </w:tr>
      <w:tr w:rsidR="006421D2" w14:paraId="452A9699" w14:textId="77777777" w:rsidTr="006421D2">
        <w:tc>
          <w:tcPr>
            <w:tcW w:w="2785" w:type="dxa"/>
            <w:shd w:val="clear" w:color="auto" w:fill="FFFFCC"/>
          </w:tcPr>
          <w:p w14:paraId="03365856" w14:textId="78D05C46" w:rsidR="006421D2" w:rsidRPr="00EC720E" w:rsidRDefault="006421D2" w:rsidP="006421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Can a survey in </w:t>
            </w:r>
            <w:r w:rsidRPr="00B714FE">
              <w:rPr>
                <w:b/>
                <w:bCs/>
                <w:u w:val="single"/>
              </w:rPr>
              <w:t>addition</w:t>
            </w:r>
            <w:r>
              <w:rPr>
                <w:b/>
                <w:bCs/>
              </w:rPr>
              <w:t xml:space="preserve"> to the VS3 be distributed?</w:t>
            </w:r>
          </w:p>
        </w:tc>
        <w:tc>
          <w:tcPr>
            <w:tcW w:w="3448" w:type="dxa"/>
            <w:shd w:val="clear" w:color="auto" w:fill="FFFFCC"/>
          </w:tcPr>
          <w:p w14:paraId="56E78C2B" w14:textId="6C70E37C" w:rsidR="006421D2" w:rsidRDefault="006421D2" w:rsidP="006421D2">
            <w:r>
              <w:t>Yes.</w:t>
            </w:r>
          </w:p>
        </w:tc>
        <w:tc>
          <w:tcPr>
            <w:tcW w:w="3117" w:type="dxa"/>
            <w:shd w:val="clear" w:color="auto" w:fill="FFFFCC"/>
          </w:tcPr>
          <w:p w14:paraId="0BF93EEB" w14:textId="7B305936" w:rsidR="006421D2" w:rsidRDefault="006421D2" w:rsidP="006421D2">
            <w:r>
              <w:t>However, it cannot be given before the VS3 or at the same time as the VS3.  It can only be give</w:t>
            </w:r>
            <w:r w:rsidR="003469F0">
              <w:t>n</w:t>
            </w:r>
            <w:r>
              <w:t xml:space="preserve"> </w:t>
            </w:r>
            <w:r w:rsidRPr="003469F0">
              <w:rPr>
                <w:u w:val="single"/>
              </w:rPr>
              <w:t>after</w:t>
            </w:r>
            <w:r>
              <w:t xml:space="preserve"> the VS3 was provided.</w:t>
            </w:r>
          </w:p>
        </w:tc>
        <w:tc>
          <w:tcPr>
            <w:tcW w:w="4865" w:type="dxa"/>
            <w:shd w:val="clear" w:color="auto" w:fill="FFFFCC"/>
          </w:tcPr>
          <w:p w14:paraId="73EF7A0F" w14:textId="77777777" w:rsidR="006421D2" w:rsidRDefault="006421D2" w:rsidP="006421D2"/>
        </w:tc>
      </w:tr>
      <w:tr w:rsidR="006F1E6C" w14:paraId="1B890A57" w14:textId="77777777" w:rsidTr="009F20CD">
        <w:tc>
          <w:tcPr>
            <w:tcW w:w="2785" w:type="dxa"/>
            <w:shd w:val="clear" w:color="auto" w:fill="DEEAF6" w:themeFill="accent5" w:themeFillTint="33"/>
          </w:tcPr>
          <w:p w14:paraId="412AF454" w14:textId="7C8B19B6" w:rsidR="006F1E6C" w:rsidRDefault="006F1E6C" w:rsidP="006421D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How wi</w:t>
            </w:r>
            <w:r w:rsidR="00947706">
              <w:rPr>
                <w:b/>
                <w:bCs/>
              </w:rPr>
              <w:t>ll my agency access outcomes data from the VS3?</w:t>
            </w:r>
          </w:p>
        </w:tc>
        <w:tc>
          <w:tcPr>
            <w:tcW w:w="3448" w:type="dxa"/>
            <w:shd w:val="clear" w:color="auto" w:fill="DEEAF6" w:themeFill="accent5" w:themeFillTint="33"/>
          </w:tcPr>
          <w:p w14:paraId="27EC02F9" w14:textId="5E314869" w:rsidR="006F1E6C" w:rsidRDefault="00947706" w:rsidP="006421D2">
            <w:r>
              <w:t xml:space="preserve">On a monthly basis, PCCD will </w:t>
            </w:r>
            <w:r w:rsidR="00A00375">
              <w:t xml:space="preserve">batch upload survey responses from Qualtrics into the ETO Survey Program.  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243AD6BC" w14:textId="6B8B0B30" w:rsidR="006F1E6C" w:rsidRDefault="00C65D85" w:rsidP="006421D2">
            <w:r>
              <w:t xml:space="preserve">Identify who the Outcomes Project Manager will be at your agency to run reports from the ETO Survey Program and </w:t>
            </w:r>
            <w:r w:rsidR="00A20FA2">
              <w:t xml:space="preserve">analyze outcomes </w:t>
            </w:r>
            <w:r w:rsidR="00740753">
              <w:t>data.</w:t>
            </w:r>
          </w:p>
        </w:tc>
        <w:tc>
          <w:tcPr>
            <w:tcW w:w="4865" w:type="dxa"/>
            <w:shd w:val="clear" w:color="auto" w:fill="DEEAF6" w:themeFill="accent5" w:themeFillTint="33"/>
          </w:tcPr>
          <w:p w14:paraId="004CC0B2" w14:textId="77777777" w:rsidR="006F1E6C" w:rsidRDefault="006F1E6C" w:rsidP="006421D2"/>
        </w:tc>
      </w:tr>
      <w:tr w:rsidR="00465BD6" w14:paraId="1F74EA2A" w14:textId="77777777" w:rsidTr="006421D2">
        <w:tc>
          <w:tcPr>
            <w:tcW w:w="2785" w:type="dxa"/>
            <w:shd w:val="clear" w:color="auto" w:fill="FFFFCC"/>
          </w:tcPr>
          <w:p w14:paraId="31E9B973" w14:textId="4DB940C1" w:rsidR="00465BD6" w:rsidRDefault="00465BD6" w:rsidP="006421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Will my agency be able to compare </w:t>
            </w:r>
            <w:r w:rsidR="00DF0865">
              <w:rPr>
                <w:b/>
                <w:bCs/>
              </w:rPr>
              <w:t xml:space="preserve">our outcomes to </w:t>
            </w:r>
            <w:r w:rsidR="001037A0">
              <w:rPr>
                <w:b/>
                <w:bCs/>
              </w:rPr>
              <w:t xml:space="preserve">statewide </w:t>
            </w:r>
            <w:r w:rsidR="00161A4D">
              <w:rPr>
                <w:b/>
                <w:bCs/>
              </w:rPr>
              <w:t>data?</w:t>
            </w:r>
          </w:p>
        </w:tc>
        <w:tc>
          <w:tcPr>
            <w:tcW w:w="3448" w:type="dxa"/>
            <w:shd w:val="clear" w:color="auto" w:fill="FFFFCC"/>
          </w:tcPr>
          <w:p w14:paraId="6E7C4E36" w14:textId="6B8BA0D8" w:rsidR="00465BD6" w:rsidRDefault="00161A4D" w:rsidP="006421D2">
            <w:r>
              <w:t xml:space="preserve">Yes.  PCCD will provide </w:t>
            </w:r>
            <w:r w:rsidR="00133A30">
              <w:t>access to a</w:t>
            </w:r>
            <w:r w:rsidR="0038361F">
              <w:t xml:space="preserve">n </w:t>
            </w:r>
            <w:r w:rsidR="00AC4840">
              <w:t>anonymous</w:t>
            </w:r>
            <w:r w:rsidR="00133A30">
              <w:t xml:space="preserve"> </w:t>
            </w:r>
            <w:bookmarkStart w:id="0" w:name="_GoBack"/>
            <w:bookmarkEnd w:id="0"/>
            <w:r w:rsidR="00133A30">
              <w:t xml:space="preserve">statewide report that shows </w:t>
            </w:r>
            <w:r w:rsidR="00BA57A9">
              <w:t>all outcomes data.</w:t>
            </w:r>
          </w:p>
        </w:tc>
        <w:tc>
          <w:tcPr>
            <w:tcW w:w="3117" w:type="dxa"/>
            <w:shd w:val="clear" w:color="auto" w:fill="FFFFCC"/>
          </w:tcPr>
          <w:p w14:paraId="31D15ADD" w14:textId="306CAC3D" w:rsidR="00465BD6" w:rsidRDefault="002E5AEF" w:rsidP="006421D2">
            <w:r>
              <w:t>Specific agency identifiers will be removed.</w:t>
            </w:r>
          </w:p>
        </w:tc>
        <w:tc>
          <w:tcPr>
            <w:tcW w:w="4865" w:type="dxa"/>
            <w:shd w:val="clear" w:color="auto" w:fill="FFFFCC"/>
          </w:tcPr>
          <w:p w14:paraId="4797A3D4" w14:textId="77777777" w:rsidR="00465BD6" w:rsidRDefault="00465BD6" w:rsidP="006421D2"/>
        </w:tc>
      </w:tr>
    </w:tbl>
    <w:p w14:paraId="73D93925" w14:textId="77777777" w:rsidR="00193A61" w:rsidRDefault="00193A61"/>
    <w:sectPr w:rsidR="00193A61" w:rsidSect="007F3D6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34"/>
    <w:rsid w:val="000236C2"/>
    <w:rsid w:val="00023F34"/>
    <w:rsid w:val="00063CCA"/>
    <w:rsid w:val="0008136B"/>
    <w:rsid w:val="00081B9C"/>
    <w:rsid w:val="000845B2"/>
    <w:rsid w:val="000D4D88"/>
    <w:rsid w:val="000F42C3"/>
    <w:rsid w:val="00101FE7"/>
    <w:rsid w:val="001037A0"/>
    <w:rsid w:val="001214A2"/>
    <w:rsid w:val="00133A30"/>
    <w:rsid w:val="001514F2"/>
    <w:rsid w:val="001555F0"/>
    <w:rsid w:val="00157D9E"/>
    <w:rsid w:val="00161A4D"/>
    <w:rsid w:val="00173F7E"/>
    <w:rsid w:val="00193A61"/>
    <w:rsid w:val="00195EF1"/>
    <w:rsid w:val="001A1F69"/>
    <w:rsid w:val="002019F7"/>
    <w:rsid w:val="0022229D"/>
    <w:rsid w:val="00285A04"/>
    <w:rsid w:val="002A04CD"/>
    <w:rsid w:val="002E2FBF"/>
    <w:rsid w:val="002E5AEF"/>
    <w:rsid w:val="002E625E"/>
    <w:rsid w:val="002F3941"/>
    <w:rsid w:val="003027D0"/>
    <w:rsid w:val="00325CC8"/>
    <w:rsid w:val="00326D05"/>
    <w:rsid w:val="003469F0"/>
    <w:rsid w:val="00364162"/>
    <w:rsid w:val="003822FC"/>
    <w:rsid w:val="0038361F"/>
    <w:rsid w:val="00396951"/>
    <w:rsid w:val="003A267B"/>
    <w:rsid w:val="003E1E44"/>
    <w:rsid w:val="003F6A46"/>
    <w:rsid w:val="00410DB8"/>
    <w:rsid w:val="00425939"/>
    <w:rsid w:val="0045028B"/>
    <w:rsid w:val="00460BF9"/>
    <w:rsid w:val="00465BD6"/>
    <w:rsid w:val="0047031C"/>
    <w:rsid w:val="004B60DC"/>
    <w:rsid w:val="004C7ECB"/>
    <w:rsid w:val="005010B1"/>
    <w:rsid w:val="00576A98"/>
    <w:rsid w:val="005D50BC"/>
    <w:rsid w:val="005E5C18"/>
    <w:rsid w:val="0060420E"/>
    <w:rsid w:val="00615808"/>
    <w:rsid w:val="00626878"/>
    <w:rsid w:val="006421D2"/>
    <w:rsid w:val="0066728C"/>
    <w:rsid w:val="006842F7"/>
    <w:rsid w:val="006F1E6C"/>
    <w:rsid w:val="00740753"/>
    <w:rsid w:val="0075274C"/>
    <w:rsid w:val="00784C6E"/>
    <w:rsid w:val="007946E0"/>
    <w:rsid w:val="007A0955"/>
    <w:rsid w:val="007E6D31"/>
    <w:rsid w:val="007F3D63"/>
    <w:rsid w:val="008143AE"/>
    <w:rsid w:val="00823535"/>
    <w:rsid w:val="008359EA"/>
    <w:rsid w:val="00847E53"/>
    <w:rsid w:val="008907DA"/>
    <w:rsid w:val="008B5BA7"/>
    <w:rsid w:val="008D089D"/>
    <w:rsid w:val="008D7046"/>
    <w:rsid w:val="008F5A7E"/>
    <w:rsid w:val="00902394"/>
    <w:rsid w:val="00947706"/>
    <w:rsid w:val="00966B69"/>
    <w:rsid w:val="00986816"/>
    <w:rsid w:val="009916AE"/>
    <w:rsid w:val="009A352A"/>
    <w:rsid w:val="009D4086"/>
    <w:rsid w:val="009F20CD"/>
    <w:rsid w:val="00A00375"/>
    <w:rsid w:val="00A20FA2"/>
    <w:rsid w:val="00A51BB2"/>
    <w:rsid w:val="00A725B2"/>
    <w:rsid w:val="00A85BEF"/>
    <w:rsid w:val="00A92D1A"/>
    <w:rsid w:val="00A95BA2"/>
    <w:rsid w:val="00AC4840"/>
    <w:rsid w:val="00AD0653"/>
    <w:rsid w:val="00AD16E9"/>
    <w:rsid w:val="00AE45DD"/>
    <w:rsid w:val="00B714FE"/>
    <w:rsid w:val="00BA57A9"/>
    <w:rsid w:val="00BA6001"/>
    <w:rsid w:val="00BF4AB3"/>
    <w:rsid w:val="00C024AB"/>
    <w:rsid w:val="00C129B4"/>
    <w:rsid w:val="00C16C37"/>
    <w:rsid w:val="00C65D85"/>
    <w:rsid w:val="00C706EC"/>
    <w:rsid w:val="00CA4BD5"/>
    <w:rsid w:val="00CB4374"/>
    <w:rsid w:val="00CC33B2"/>
    <w:rsid w:val="00D0797C"/>
    <w:rsid w:val="00D10AC3"/>
    <w:rsid w:val="00D4260A"/>
    <w:rsid w:val="00D603B7"/>
    <w:rsid w:val="00D76622"/>
    <w:rsid w:val="00D84997"/>
    <w:rsid w:val="00DE30F1"/>
    <w:rsid w:val="00DF0865"/>
    <w:rsid w:val="00E33B54"/>
    <w:rsid w:val="00E628A0"/>
    <w:rsid w:val="00EB6E8A"/>
    <w:rsid w:val="00EC720E"/>
    <w:rsid w:val="00EE67A6"/>
    <w:rsid w:val="00EE73A9"/>
    <w:rsid w:val="00F35EF1"/>
    <w:rsid w:val="00FC2F8C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7412B"/>
  <w15:chartTrackingRefBased/>
  <w15:docId w15:val="{18FB2D52-B15F-4573-842D-F602BFAD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4a30bb-b2f1-43b2-96cc-abd04a0226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A871BB9E1EC4BAB29F598697AB0C6" ma:contentTypeVersion="13" ma:contentTypeDescription="Create a new document." ma:contentTypeScope="" ma:versionID="ec34d7d433cc4a47b04d2d23d0310ec3">
  <xsd:schema xmlns:xsd="http://www.w3.org/2001/XMLSchema" xmlns:xs="http://www.w3.org/2001/XMLSchema" xmlns:p="http://schemas.microsoft.com/office/2006/metadata/properties" xmlns:ns3="d04a30bb-b2f1-43b2-96cc-abd04a022632" xmlns:ns4="7923945c-8944-4547-9eb2-53aeb1cfd807" targetNamespace="http://schemas.microsoft.com/office/2006/metadata/properties" ma:root="true" ma:fieldsID="6357b5e317a5a738cfae58e92d2042ce" ns3:_="" ns4:_="">
    <xsd:import namespace="d04a30bb-b2f1-43b2-96cc-abd04a022632"/>
    <xsd:import namespace="7923945c-8944-4547-9eb2-53aeb1cfd8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a30bb-b2f1-43b2-96cc-abd04a022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3945c-8944-4547-9eb2-53aeb1cfd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59AF3-175D-4A46-90A1-52CD42E39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5E1B0-FC1F-4918-A98C-C2FF4B0A2CB9}">
  <ds:schemaRefs>
    <ds:schemaRef ds:uri="http://schemas.microsoft.com/office/2006/metadata/properties"/>
    <ds:schemaRef ds:uri="http://schemas.microsoft.com/office/infopath/2007/PartnerControls"/>
    <ds:schemaRef ds:uri="d04a30bb-b2f1-43b2-96cc-abd04a022632"/>
  </ds:schemaRefs>
</ds:datastoreItem>
</file>

<file path=customXml/itemProps3.xml><?xml version="1.0" encoding="utf-8"?>
<ds:datastoreItem xmlns:ds="http://schemas.openxmlformats.org/officeDocument/2006/customXml" ds:itemID="{F123DADA-8486-4BFE-A233-D7AB8061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a30bb-b2f1-43b2-96cc-abd04a022632"/>
    <ds:schemaRef ds:uri="7923945c-8944-4547-9eb2-53aeb1cfd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PCCD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Seigler, Jennie</dc:creator>
  <cp:keywords/>
  <dc:description/>
  <cp:lastModifiedBy>Seigler, Jennie</cp:lastModifiedBy>
  <cp:revision>49</cp:revision>
  <dcterms:created xsi:type="dcterms:W3CDTF">2023-06-02T15:19:00Z</dcterms:created>
  <dcterms:modified xsi:type="dcterms:W3CDTF">2023-06-07T18:21:00Z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0x010100C1BA871BB9E1EC4BAB29F598697AB0C6</vt:lpwstr>
  </property>
</Properties>
</file>