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2292" w:rsidRDefault="00B02292">
      <w:pPr>
        <w:jc w:val="center"/>
        <w:rPr>
          <w:rFonts w:ascii="Arial" w:hAnsi="Arial" w:cs="Arial"/>
          <w:b/>
          <w:bCs/>
          <w:sz w:val="28"/>
          <w:szCs w:val="28"/>
        </w:rPr>
      </w:pPr>
      <w:r>
        <w:rPr>
          <w:rFonts w:ascii="Arial" w:hAnsi="Arial" w:cs="Arial"/>
          <w:b/>
          <w:bCs/>
          <w:sz w:val="28"/>
          <w:szCs w:val="28"/>
        </w:rPr>
        <w:t>MAINE BEEF PRODUCERS’ ASSOCIATION</w:t>
      </w:r>
    </w:p>
    <w:p w:rsidR="00B02292" w:rsidRDefault="00B02292">
      <w:pPr>
        <w:jc w:val="center"/>
        <w:rPr>
          <w:rFonts w:ascii="Arial" w:hAnsi="Arial" w:cs="Arial"/>
          <w:b/>
          <w:bCs/>
          <w:sz w:val="28"/>
          <w:szCs w:val="28"/>
        </w:rPr>
      </w:pPr>
      <w:r>
        <w:rPr>
          <w:rFonts w:ascii="Arial" w:hAnsi="Arial" w:cs="Arial"/>
          <w:b/>
          <w:bCs/>
          <w:sz w:val="28"/>
          <w:szCs w:val="28"/>
        </w:rPr>
        <w:t>SPRING FEEDER CATTLE SALE – 20</w:t>
      </w:r>
      <w:r w:rsidR="000B435E">
        <w:rPr>
          <w:rFonts w:ascii="Arial" w:hAnsi="Arial" w:cs="Arial"/>
          <w:b/>
          <w:bCs/>
          <w:sz w:val="28"/>
          <w:szCs w:val="28"/>
        </w:rPr>
        <w:t>20</w:t>
      </w:r>
      <w:r>
        <w:rPr>
          <w:rFonts w:ascii="Arial" w:hAnsi="Arial" w:cs="Arial"/>
          <w:b/>
          <w:bCs/>
          <w:sz w:val="28"/>
          <w:szCs w:val="28"/>
        </w:rPr>
        <w:t xml:space="preserve"> PRECONDITIONING PROTOCOL</w:t>
      </w:r>
    </w:p>
    <w:p w:rsidR="00B02292" w:rsidRDefault="00B02292">
      <w:pPr>
        <w:jc w:val="center"/>
        <w:rPr>
          <w:rFonts w:ascii="Arial" w:hAnsi="Arial" w:cs="Arial"/>
          <w:b/>
          <w:bCs/>
          <w:sz w:val="8"/>
          <w:szCs w:val="8"/>
        </w:rPr>
      </w:pPr>
    </w:p>
    <w:p w:rsidR="00B02292" w:rsidRDefault="00B02292">
      <w:pPr>
        <w:rPr>
          <w:rFonts w:ascii="Arial" w:hAnsi="Arial" w:cs="Arial"/>
          <w:b/>
          <w:bCs/>
          <w:color w:val="C00000"/>
          <w:sz w:val="10"/>
          <w:szCs w:val="10"/>
        </w:rPr>
      </w:pPr>
    </w:p>
    <w:p w:rsidR="00B02292" w:rsidRDefault="00B02292">
      <w:pPr>
        <w:rPr>
          <w:rFonts w:ascii="Arial" w:hAnsi="Arial" w:cs="Arial"/>
          <w:b/>
          <w:bCs/>
          <w:sz w:val="24"/>
          <w:szCs w:val="24"/>
        </w:rPr>
      </w:pPr>
      <w:r>
        <w:rPr>
          <w:rFonts w:ascii="Arial" w:hAnsi="Arial" w:cs="Arial"/>
          <w:b/>
          <w:bCs/>
          <w:sz w:val="24"/>
          <w:szCs w:val="24"/>
        </w:rPr>
        <w:t>Protocol detail:</w:t>
      </w:r>
    </w:p>
    <w:p w:rsidR="00B02292" w:rsidRDefault="00B02292">
      <w:pPr>
        <w:ind w:left="720" w:hanging="360"/>
        <w:rPr>
          <w:rFonts w:ascii="Arial" w:hAnsi="Arial" w:cs="Arial"/>
          <w:b/>
          <w:bCs/>
          <w:sz w:val="24"/>
          <w:szCs w:val="24"/>
        </w:rPr>
      </w:pPr>
      <w:r>
        <w:rPr>
          <w:rFonts w:ascii="Wingdings" w:hAnsi="Wingdings" w:cs="Wingdings"/>
          <w:sz w:val="24"/>
          <w:szCs w:val="24"/>
        </w:rPr>
        <w:t></w:t>
      </w:r>
      <w:r>
        <w:rPr>
          <w:rFonts w:ascii="Wingdings" w:hAnsi="Wingdings" w:cs="Wingdings"/>
          <w:sz w:val="24"/>
          <w:szCs w:val="24"/>
        </w:rPr>
        <w:tab/>
      </w:r>
      <w:r>
        <w:rPr>
          <w:rFonts w:ascii="Arial" w:hAnsi="Arial" w:cs="Arial"/>
          <w:sz w:val="24"/>
          <w:szCs w:val="24"/>
        </w:rPr>
        <w:t xml:space="preserve">Weaning to sale date must be a minimum of 35 days.  </w:t>
      </w:r>
      <w:r w:rsidR="007A17D2">
        <w:rPr>
          <w:rFonts w:ascii="Arial" w:hAnsi="Arial" w:cs="Arial"/>
          <w:b/>
          <w:bCs/>
          <w:sz w:val="24"/>
          <w:szCs w:val="24"/>
        </w:rPr>
        <w:t xml:space="preserve">May </w:t>
      </w:r>
      <w:r w:rsidR="000B435E">
        <w:rPr>
          <w:rFonts w:ascii="Arial" w:hAnsi="Arial" w:cs="Arial"/>
          <w:b/>
          <w:bCs/>
          <w:sz w:val="24"/>
          <w:szCs w:val="24"/>
        </w:rPr>
        <w:t>16</w:t>
      </w:r>
      <w:r w:rsidR="00101E6B">
        <w:rPr>
          <w:rFonts w:ascii="Arial" w:hAnsi="Arial" w:cs="Arial"/>
          <w:b/>
          <w:bCs/>
          <w:sz w:val="24"/>
          <w:szCs w:val="24"/>
        </w:rPr>
        <w:t>th</w:t>
      </w:r>
      <w:r>
        <w:rPr>
          <w:rFonts w:ascii="Arial" w:hAnsi="Arial" w:cs="Arial"/>
          <w:b/>
          <w:bCs/>
          <w:sz w:val="24"/>
          <w:szCs w:val="24"/>
        </w:rPr>
        <w:t xml:space="preserve"> sale, wean by April 1</w:t>
      </w:r>
      <w:r w:rsidR="000B435E">
        <w:rPr>
          <w:rFonts w:ascii="Arial" w:hAnsi="Arial" w:cs="Arial"/>
          <w:b/>
          <w:bCs/>
          <w:sz w:val="24"/>
          <w:szCs w:val="24"/>
        </w:rPr>
        <w:t>1</w:t>
      </w:r>
      <w:r w:rsidR="00101E6B">
        <w:rPr>
          <w:rFonts w:ascii="Arial" w:hAnsi="Arial" w:cs="Arial"/>
          <w:b/>
          <w:bCs/>
          <w:sz w:val="24"/>
          <w:szCs w:val="24"/>
        </w:rPr>
        <w:t>th</w:t>
      </w:r>
      <w:r>
        <w:rPr>
          <w:rFonts w:ascii="Arial" w:hAnsi="Arial" w:cs="Arial"/>
          <w:b/>
          <w:bCs/>
          <w:sz w:val="24"/>
          <w:szCs w:val="24"/>
        </w:rPr>
        <w:t xml:space="preserve">; </w:t>
      </w:r>
      <w:r>
        <w:rPr>
          <w:rFonts w:ascii="Arial" w:hAnsi="Arial" w:cs="Arial"/>
          <w:sz w:val="24"/>
          <w:szCs w:val="24"/>
        </w:rPr>
        <w:t xml:space="preserve">A series of </w:t>
      </w:r>
      <w:r>
        <w:rPr>
          <w:rFonts w:ascii="Arial" w:hAnsi="Arial" w:cs="Arial"/>
          <w:b/>
          <w:bCs/>
          <w:sz w:val="24"/>
          <w:szCs w:val="24"/>
        </w:rPr>
        <w:t xml:space="preserve">two modified live (MLV) </w:t>
      </w:r>
      <w:r>
        <w:rPr>
          <w:rFonts w:ascii="Arial" w:hAnsi="Arial" w:cs="Arial"/>
          <w:sz w:val="24"/>
          <w:szCs w:val="24"/>
        </w:rPr>
        <w:t>respiratory complex (5-way consisting of IBR, PI</w:t>
      </w:r>
      <w:r>
        <w:rPr>
          <w:rFonts w:ascii="Arial" w:hAnsi="Arial" w:cs="Arial"/>
          <w:sz w:val="24"/>
          <w:szCs w:val="24"/>
          <w:vertAlign w:val="subscript"/>
        </w:rPr>
        <w:t>3</w:t>
      </w:r>
      <w:r>
        <w:rPr>
          <w:rFonts w:ascii="Arial" w:hAnsi="Arial" w:cs="Arial"/>
          <w:sz w:val="24"/>
          <w:szCs w:val="24"/>
        </w:rPr>
        <w:t xml:space="preserve">, BVD l &amp; </w:t>
      </w:r>
      <w:proofErr w:type="spellStart"/>
      <w:r>
        <w:rPr>
          <w:rFonts w:ascii="Arial" w:hAnsi="Arial" w:cs="Arial"/>
          <w:sz w:val="24"/>
          <w:szCs w:val="24"/>
        </w:rPr>
        <w:t>ll</w:t>
      </w:r>
      <w:proofErr w:type="spellEnd"/>
      <w:r>
        <w:rPr>
          <w:rFonts w:ascii="Arial" w:hAnsi="Arial" w:cs="Arial"/>
          <w:sz w:val="24"/>
          <w:szCs w:val="24"/>
        </w:rPr>
        <w:t xml:space="preserve">, BRSV) vaccinations given 21-28 days apart, with the second dose no later than </w:t>
      </w:r>
      <w:r>
        <w:rPr>
          <w:rFonts w:ascii="Arial" w:hAnsi="Arial" w:cs="Arial"/>
          <w:b/>
          <w:bCs/>
          <w:sz w:val="24"/>
          <w:szCs w:val="24"/>
        </w:rPr>
        <w:t xml:space="preserve">May </w:t>
      </w:r>
      <w:r w:rsidR="000B435E">
        <w:rPr>
          <w:rFonts w:ascii="Arial" w:hAnsi="Arial" w:cs="Arial"/>
          <w:b/>
          <w:bCs/>
          <w:sz w:val="24"/>
          <w:szCs w:val="24"/>
        </w:rPr>
        <w:t>2</w:t>
      </w:r>
      <w:bookmarkStart w:id="0" w:name="_GoBack"/>
      <w:bookmarkEnd w:id="0"/>
      <w:r w:rsidR="007A17D2">
        <w:rPr>
          <w:rFonts w:ascii="Arial" w:hAnsi="Arial" w:cs="Arial"/>
          <w:b/>
          <w:bCs/>
          <w:sz w:val="24"/>
          <w:szCs w:val="24"/>
        </w:rPr>
        <w:t>th</w:t>
      </w:r>
      <w:r>
        <w:rPr>
          <w:rFonts w:ascii="Arial" w:hAnsi="Arial" w:cs="Arial"/>
          <w:b/>
          <w:bCs/>
          <w:sz w:val="24"/>
          <w:szCs w:val="24"/>
        </w:rPr>
        <w:t xml:space="preserve"> </w:t>
      </w:r>
      <w:r>
        <w:rPr>
          <w:rFonts w:ascii="Arial" w:hAnsi="Arial" w:cs="Arial"/>
          <w:sz w:val="24"/>
          <w:szCs w:val="24"/>
        </w:rPr>
        <w:t>(14 days prior to sale).</w:t>
      </w:r>
    </w:p>
    <w:p w:rsidR="00B02292" w:rsidRDefault="00B02292">
      <w:pPr>
        <w:ind w:left="720" w:hanging="360"/>
        <w:rPr>
          <w:rFonts w:ascii="Arial" w:hAnsi="Arial" w:cs="Arial"/>
          <w:b/>
          <w:bCs/>
          <w:sz w:val="24"/>
          <w:szCs w:val="24"/>
        </w:rPr>
      </w:pPr>
      <w:r>
        <w:rPr>
          <w:rFonts w:ascii="Wingdings" w:hAnsi="Wingdings" w:cs="Wingdings"/>
          <w:color w:val="0D0D0D"/>
          <w:sz w:val="24"/>
          <w:szCs w:val="24"/>
        </w:rPr>
        <w:t></w:t>
      </w:r>
      <w:r>
        <w:rPr>
          <w:rFonts w:ascii="Wingdings" w:hAnsi="Wingdings" w:cs="Wingdings"/>
          <w:color w:val="0D0D0D"/>
          <w:sz w:val="24"/>
          <w:szCs w:val="24"/>
        </w:rPr>
        <w:tab/>
      </w:r>
      <w:r>
        <w:rPr>
          <w:rFonts w:ascii="Arial" w:hAnsi="Arial" w:cs="Arial"/>
          <w:b/>
          <w:bCs/>
          <w:color w:val="0D0D0D"/>
          <w:sz w:val="24"/>
          <w:szCs w:val="24"/>
        </w:rPr>
        <w:t xml:space="preserve">***Two Pasteurella vaccinations which include both </w:t>
      </w:r>
      <w:proofErr w:type="spellStart"/>
      <w:r>
        <w:rPr>
          <w:rFonts w:ascii="Arial" w:hAnsi="Arial" w:cs="Arial"/>
          <w:b/>
          <w:bCs/>
          <w:color w:val="0D0D0D"/>
          <w:sz w:val="24"/>
          <w:szCs w:val="24"/>
        </w:rPr>
        <w:t>pasteurella</w:t>
      </w:r>
      <w:proofErr w:type="spellEnd"/>
      <w:r>
        <w:rPr>
          <w:rFonts w:ascii="Arial" w:hAnsi="Arial" w:cs="Arial"/>
          <w:b/>
          <w:bCs/>
          <w:color w:val="0D0D0D"/>
          <w:sz w:val="24"/>
          <w:szCs w:val="24"/>
        </w:rPr>
        <w:t xml:space="preserve"> strains.  </w:t>
      </w:r>
    </w:p>
    <w:p w:rsidR="00B02292" w:rsidRDefault="00B02292">
      <w:pPr>
        <w:ind w:left="720" w:hanging="360"/>
        <w:rPr>
          <w:rFonts w:ascii="Arial" w:hAnsi="Arial" w:cs="Arial"/>
          <w:b/>
          <w:bCs/>
          <w:sz w:val="24"/>
          <w:szCs w:val="24"/>
        </w:rPr>
      </w:pPr>
      <w:r>
        <w:rPr>
          <w:rFonts w:ascii="Wingdings" w:hAnsi="Wingdings" w:cs="Wingdings"/>
          <w:sz w:val="24"/>
          <w:szCs w:val="24"/>
        </w:rPr>
        <w:t></w:t>
      </w:r>
      <w:r>
        <w:rPr>
          <w:rFonts w:ascii="Wingdings" w:hAnsi="Wingdings" w:cs="Wingdings"/>
          <w:sz w:val="24"/>
          <w:szCs w:val="24"/>
        </w:rPr>
        <w:tab/>
      </w:r>
      <w:r>
        <w:rPr>
          <w:rFonts w:ascii="Arial" w:hAnsi="Arial" w:cs="Arial"/>
          <w:sz w:val="24"/>
          <w:szCs w:val="24"/>
        </w:rPr>
        <w:t>Treatment of internal and external parasites.</w:t>
      </w:r>
    </w:p>
    <w:p w:rsidR="00B02292" w:rsidRDefault="00B02292">
      <w:pPr>
        <w:ind w:left="720" w:hanging="360"/>
        <w:rPr>
          <w:rFonts w:ascii="Arial" w:hAnsi="Arial" w:cs="Arial"/>
          <w:b/>
          <w:bCs/>
          <w:sz w:val="24"/>
          <w:szCs w:val="24"/>
        </w:rPr>
      </w:pPr>
      <w:r>
        <w:rPr>
          <w:rFonts w:ascii="Wingdings" w:hAnsi="Wingdings" w:cs="Wingdings"/>
          <w:sz w:val="24"/>
          <w:szCs w:val="24"/>
        </w:rPr>
        <w:t></w:t>
      </w:r>
      <w:r>
        <w:rPr>
          <w:rFonts w:ascii="Wingdings" w:hAnsi="Wingdings" w:cs="Wingdings"/>
          <w:sz w:val="24"/>
          <w:szCs w:val="24"/>
        </w:rPr>
        <w:tab/>
      </w:r>
      <w:r>
        <w:rPr>
          <w:rFonts w:ascii="Arial" w:hAnsi="Arial" w:cs="Arial"/>
          <w:sz w:val="24"/>
          <w:szCs w:val="24"/>
        </w:rPr>
        <w:t>Dehorning and castration must be healed.</w:t>
      </w:r>
    </w:p>
    <w:p w:rsidR="00B02292" w:rsidRDefault="00B02292">
      <w:pPr>
        <w:ind w:left="720" w:hanging="360"/>
        <w:rPr>
          <w:rFonts w:ascii="Arial" w:hAnsi="Arial" w:cs="Arial"/>
          <w:b/>
          <w:bCs/>
          <w:sz w:val="24"/>
          <w:szCs w:val="24"/>
        </w:rPr>
      </w:pPr>
      <w:r>
        <w:rPr>
          <w:rFonts w:ascii="Wingdings" w:hAnsi="Wingdings" w:cs="Wingdings"/>
          <w:sz w:val="24"/>
          <w:szCs w:val="24"/>
        </w:rPr>
        <w:t></w:t>
      </w:r>
      <w:r>
        <w:rPr>
          <w:rFonts w:ascii="Wingdings" w:hAnsi="Wingdings" w:cs="Wingdings"/>
          <w:sz w:val="24"/>
          <w:szCs w:val="24"/>
        </w:rPr>
        <w:tab/>
      </w:r>
      <w:r>
        <w:rPr>
          <w:rFonts w:ascii="Arial" w:hAnsi="Arial" w:cs="Arial"/>
          <w:sz w:val="24"/>
          <w:szCs w:val="24"/>
        </w:rPr>
        <w:t xml:space="preserve">Clostridial (7-way) plus Pinkeye w/ booster. </w:t>
      </w:r>
    </w:p>
    <w:p w:rsidR="00B02292" w:rsidRDefault="00B02292">
      <w:pPr>
        <w:ind w:left="720"/>
        <w:rPr>
          <w:rFonts w:ascii="Arial" w:hAnsi="Arial" w:cs="Arial"/>
          <w:b/>
          <w:bCs/>
          <w:sz w:val="10"/>
          <w:szCs w:val="10"/>
        </w:rPr>
      </w:pPr>
    </w:p>
    <w:p w:rsidR="00B02292" w:rsidRDefault="00B02292">
      <w:pPr>
        <w:ind w:left="720"/>
        <w:jc w:val="center"/>
        <w:rPr>
          <w:rFonts w:ascii="Arial" w:hAnsi="Arial" w:cs="Arial"/>
          <w:b/>
          <w:bCs/>
          <w:sz w:val="28"/>
          <w:szCs w:val="28"/>
        </w:rPr>
      </w:pPr>
      <w:r>
        <w:rPr>
          <w:rFonts w:ascii="Arial" w:hAnsi="Arial" w:cs="Arial"/>
          <w:b/>
          <w:bCs/>
          <w:sz w:val="28"/>
          <w:szCs w:val="28"/>
        </w:rPr>
        <w:t>PRODUCT OPTIONS</w:t>
      </w:r>
    </w:p>
    <w:p w:rsidR="00B02292" w:rsidRDefault="00B02292">
      <w:pPr>
        <w:jc w:val="center"/>
        <w:rPr>
          <w:rFonts w:ascii="Arial" w:hAnsi="Arial" w:cs="Arial"/>
          <w:b/>
          <w:bCs/>
          <w:color w:val="C00000"/>
          <w:sz w:val="28"/>
          <w:szCs w:val="28"/>
          <w:u w:val="single"/>
        </w:rPr>
      </w:pPr>
      <w:r>
        <w:rPr>
          <w:rFonts w:ascii="Arial" w:hAnsi="Arial" w:cs="Arial"/>
          <w:b/>
          <w:bCs/>
          <w:color w:val="0D0D0D"/>
          <w:sz w:val="28"/>
          <w:szCs w:val="28"/>
        </w:rPr>
        <w:t xml:space="preserve">The products listed below are </w:t>
      </w:r>
      <w:r>
        <w:rPr>
          <w:rFonts w:ascii="Arial" w:hAnsi="Arial" w:cs="Arial"/>
          <w:b/>
          <w:bCs/>
          <w:color w:val="0D0D0D"/>
          <w:sz w:val="28"/>
          <w:szCs w:val="28"/>
          <w:u w:val="single"/>
        </w:rPr>
        <w:t>suggestions</w:t>
      </w:r>
      <w:r>
        <w:rPr>
          <w:rFonts w:ascii="Arial" w:hAnsi="Arial" w:cs="Arial"/>
          <w:b/>
          <w:bCs/>
          <w:color w:val="0D0D0D"/>
          <w:sz w:val="28"/>
          <w:szCs w:val="28"/>
        </w:rPr>
        <w:t xml:space="preserve">.  There may be others that provide coverage of the diseases listed above.  To meet all conforming guidelines, make sure that protocol details listed above are met with whatever vaccines are used. </w:t>
      </w:r>
      <w:r>
        <w:rPr>
          <w:rFonts w:ascii="Arial" w:hAnsi="Arial" w:cs="Arial"/>
          <w:b/>
          <w:bCs/>
          <w:color w:val="0D0D0D"/>
          <w:sz w:val="28"/>
          <w:szCs w:val="28"/>
          <w:u w:val="single"/>
        </w:rPr>
        <w:t>If you have any questions at all about whether the products you use meet the protocol, please contact Pete Dusoe, Feeder Calf Sale Manager, 416-5441 or</w:t>
      </w:r>
      <w:r>
        <w:rPr>
          <w:rFonts w:ascii="Arial" w:hAnsi="Arial" w:cs="Arial"/>
          <w:b/>
          <w:bCs/>
          <w:color w:val="C00000"/>
          <w:sz w:val="28"/>
          <w:szCs w:val="28"/>
          <w:u w:val="single"/>
        </w:rPr>
        <w:t xml:space="preserve"> pbdusoe@roadrunner.com</w:t>
      </w:r>
      <w:r>
        <w:rPr>
          <w:rFonts w:ascii="Arial" w:hAnsi="Arial" w:cs="Arial"/>
          <w:b/>
          <w:bCs/>
          <w:color w:val="0D0D0D"/>
          <w:sz w:val="28"/>
          <w:szCs w:val="28"/>
          <w:u w:val="single"/>
        </w:rPr>
        <w:t>.</w:t>
      </w:r>
    </w:p>
    <w:p w:rsidR="00B02292" w:rsidRDefault="00B02292">
      <w:pPr>
        <w:ind w:left="720"/>
        <w:jc w:val="center"/>
        <w:rPr>
          <w:rFonts w:ascii="Arial" w:hAnsi="Arial" w:cs="Arial"/>
          <w:b/>
          <w:bCs/>
          <w:sz w:val="16"/>
          <w:szCs w:val="16"/>
        </w:rPr>
      </w:pPr>
    </w:p>
    <w:tbl>
      <w:tblPr>
        <w:tblW w:w="0" w:type="auto"/>
        <w:tblLayout w:type="fixed"/>
        <w:tblCellMar>
          <w:left w:w="180" w:type="dxa"/>
          <w:right w:w="180" w:type="dxa"/>
        </w:tblCellMar>
        <w:tblLook w:val="0000" w:firstRow="0" w:lastRow="0" w:firstColumn="0" w:lastColumn="0" w:noHBand="0" w:noVBand="0"/>
      </w:tblPr>
      <w:tblGrid>
        <w:gridCol w:w="2797"/>
        <w:gridCol w:w="3338"/>
        <w:gridCol w:w="1642"/>
        <w:gridCol w:w="2517"/>
      </w:tblGrid>
      <w:tr w:rsidR="00B02292">
        <w:tblPrEx>
          <w:tblCellMar>
            <w:top w:w="0" w:type="dxa"/>
            <w:bottom w:w="0" w:type="dxa"/>
          </w:tblCellMar>
        </w:tblPrEx>
        <w:trPr>
          <w:trHeight w:val="1052"/>
        </w:trPr>
        <w:tc>
          <w:tcPr>
            <w:tcW w:w="2797" w:type="dxa"/>
            <w:tcBorders>
              <w:top w:val="single" w:sz="8" w:space="0" w:color="000000"/>
              <w:left w:val="single" w:sz="8" w:space="0" w:color="000000"/>
              <w:bottom w:val="single" w:sz="8" w:space="0" w:color="000000"/>
              <w:right w:val="nil"/>
            </w:tcBorders>
          </w:tcPr>
          <w:p w:rsidR="00B02292" w:rsidRDefault="00B02292">
            <w:pPr>
              <w:overflowPunct/>
              <w:autoSpaceDE w:val="0"/>
              <w:autoSpaceDN w:val="0"/>
              <w:spacing w:after="0" w:line="240" w:lineRule="auto"/>
              <w:rPr>
                <w:rFonts w:ascii="Arial" w:hAnsi="Arial" w:cs="Arial"/>
                <w:sz w:val="24"/>
                <w:szCs w:val="24"/>
              </w:rPr>
            </w:pPr>
          </w:p>
        </w:tc>
        <w:tc>
          <w:tcPr>
            <w:tcW w:w="3338" w:type="dxa"/>
            <w:tcBorders>
              <w:top w:val="single" w:sz="8" w:space="0" w:color="000000"/>
              <w:left w:val="single" w:sz="8" w:space="0" w:color="000000"/>
              <w:bottom w:val="single" w:sz="8" w:space="0" w:color="000000"/>
              <w:right w:val="nil"/>
            </w:tcBorders>
          </w:tcPr>
          <w:p w:rsidR="00B02292" w:rsidRDefault="00B02292">
            <w:pPr>
              <w:jc w:val="center"/>
              <w:rPr>
                <w:rFonts w:ascii="Arial" w:hAnsi="Arial" w:cs="Arial"/>
                <w:b/>
                <w:bCs/>
                <w:sz w:val="28"/>
                <w:szCs w:val="28"/>
              </w:rPr>
            </w:pPr>
            <w:r>
              <w:rPr>
                <w:rFonts w:ascii="Arial" w:hAnsi="Arial" w:cs="Arial"/>
                <w:b/>
                <w:bCs/>
                <w:sz w:val="28"/>
                <w:szCs w:val="28"/>
              </w:rPr>
              <w:t>PFIZER</w:t>
            </w:r>
          </w:p>
          <w:p w:rsidR="00B02292" w:rsidRDefault="00B02292">
            <w:pPr>
              <w:jc w:val="center"/>
              <w:rPr>
                <w:rFonts w:ascii="Arial" w:hAnsi="Arial" w:cs="Arial"/>
                <w:sz w:val="24"/>
                <w:szCs w:val="24"/>
              </w:rPr>
            </w:pPr>
            <w:r>
              <w:rPr>
                <w:rFonts w:ascii="Arial" w:hAnsi="Arial" w:cs="Arial"/>
                <w:b/>
                <w:bCs/>
                <w:sz w:val="28"/>
                <w:szCs w:val="28"/>
              </w:rPr>
              <w:t>(Zoetis)</w:t>
            </w:r>
          </w:p>
        </w:tc>
        <w:tc>
          <w:tcPr>
            <w:tcW w:w="1642" w:type="dxa"/>
            <w:tcBorders>
              <w:top w:val="single" w:sz="8" w:space="0" w:color="000000"/>
              <w:left w:val="single" w:sz="8" w:space="0" w:color="000000"/>
              <w:bottom w:val="single" w:sz="8" w:space="0" w:color="000000"/>
              <w:right w:val="nil"/>
            </w:tcBorders>
          </w:tcPr>
          <w:p w:rsidR="00B02292" w:rsidRDefault="00B02292">
            <w:pPr>
              <w:jc w:val="center"/>
              <w:rPr>
                <w:rFonts w:ascii="Arial" w:hAnsi="Arial" w:cs="Arial"/>
                <w:sz w:val="24"/>
                <w:szCs w:val="24"/>
              </w:rPr>
            </w:pPr>
            <w:r>
              <w:rPr>
                <w:rFonts w:ascii="Arial" w:hAnsi="Arial" w:cs="Arial"/>
                <w:b/>
                <w:bCs/>
                <w:sz w:val="28"/>
                <w:szCs w:val="28"/>
              </w:rPr>
              <w:t>INTERVET</w:t>
            </w:r>
          </w:p>
        </w:tc>
        <w:tc>
          <w:tcPr>
            <w:tcW w:w="2517" w:type="dxa"/>
            <w:tcBorders>
              <w:top w:val="single" w:sz="8" w:space="0" w:color="000000"/>
              <w:left w:val="single" w:sz="8" w:space="0" w:color="000000"/>
              <w:bottom w:val="single" w:sz="8" w:space="0" w:color="000000"/>
              <w:right w:val="single" w:sz="8" w:space="0" w:color="000000"/>
            </w:tcBorders>
          </w:tcPr>
          <w:p w:rsidR="00B02292" w:rsidRDefault="00B02292">
            <w:pPr>
              <w:jc w:val="center"/>
              <w:rPr>
                <w:rFonts w:ascii="Arial" w:hAnsi="Arial" w:cs="Arial"/>
                <w:sz w:val="24"/>
                <w:szCs w:val="24"/>
              </w:rPr>
            </w:pPr>
            <w:r>
              <w:rPr>
                <w:rFonts w:ascii="Arial" w:hAnsi="Arial" w:cs="Arial"/>
                <w:b/>
                <w:bCs/>
                <w:sz w:val="28"/>
                <w:szCs w:val="28"/>
              </w:rPr>
              <w:t>Boehringer Ingelheim</w:t>
            </w:r>
          </w:p>
        </w:tc>
      </w:tr>
      <w:tr w:rsidR="00B02292">
        <w:tblPrEx>
          <w:tblCellMar>
            <w:top w:w="0" w:type="dxa"/>
            <w:bottom w:w="0" w:type="dxa"/>
          </w:tblCellMar>
        </w:tblPrEx>
        <w:trPr>
          <w:trHeight w:val="2831"/>
        </w:trPr>
        <w:tc>
          <w:tcPr>
            <w:tcW w:w="2797" w:type="dxa"/>
            <w:tcBorders>
              <w:top w:val="single" w:sz="8" w:space="0" w:color="000000"/>
              <w:left w:val="single" w:sz="8" w:space="0" w:color="000000"/>
              <w:bottom w:val="single" w:sz="8" w:space="0" w:color="000000"/>
              <w:right w:val="nil"/>
            </w:tcBorders>
          </w:tcPr>
          <w:p w:rsidR="00B02292" w:rsidRDefault="00B02292">
            <w:pPr>
              <w:jc w:val="center"/>
              <w:rPr>
                <w:rFonts w:ascii="Arial" w:hAnsi="Arial" w:cs="Arial"/>
              </w:rPr>
            </w:pPr>
            <w:r>
              <w:rPr>
                <w:rFonts w:ascii="Arial" w:hAnsi="Arial" w:cs="Arial"/>
              </w:rPr>
              <w:t>Modified Live (MLV) 5-way</w:t>
            </w:r>
          </w:p>
          <w:p w:rsidR="00B02292" w:rsidRDefault="00B02292">
            <w:pPr>
              <w:jc w:val="center"/>
              <w:rPr>
                <w:rFonts w:ascii="Arial" w:hAnsi="Arial" w:cs="Arial"/>
              </w:rPr>
            </w:pPr>
            <w:r>
              <w:rPr>
                <w:rFonts w:ascii="Arial" w:hAnsi="Arial" w:cs="Arial"/>
              </w:rPr>
              <w:t>(IBR, PI</w:t>
            </w:r>
            <w:r>
              <w:rPr>
                <w:rFonts w:ascii="Arial" w:hAnsi="Arial" w:cs="Arial"/>
                <w:vertAlign w:val="subscript"/>
              </w:rPr>
              <w:t>3</w:t>
            </w:r>
            <w:r>
              <w:rPr>
                <w:rFonts w:ascii="Arial" w:hAnsi="Arial" w:cs="Arial"/>
              </w:rPr>
              <w:t xml:space="preserve">, BVD l &amp; </w:t>
            </w:r>
            <w:proofErr w:type="spellStart"/>
            <w:r>
              <w:rPr>
                <w:rFonts w:ascii="Arial" w:hAnsi="Arial" w:cs="Arial"/>
              </w:rPr>
              <w:t>ll</w:t>
            </w:r>
            <w:proofErr w:type="spellEnd"/>
            <w:r>
              <w:rPr>
                <w:rFonts w:ascii="Arial" w:hAnsi="Arial" w:cs="Arial"/>
              </w:rPr>
              <w:t>, BRSV)</w:t>
            </w:r>
          </w:p>
          <w:p w:rsidR="00B02292" w:rsidRDefault="00B02292">
            <w:pPr>
              <w:jc w:val="center"/>
              <w:rPr>
                <w:rFonts w:ascii="Arial" w:hAnsi="Arial" w:cs="Arial"/>
              </w:rPr>
            </w:pPr>
            <w:proofErr w:type="gramStart"/>
            <w:r>
              <w:rPr>
                <w:rFonts w:ascii="Arial" w:hAnsi="Arial" w:cs="Arial"/>
              </w:rPr>
              <w:t>Plus</w:t>
            </w:r>
            <w:proofErr w:type="gramEnd"/>
            <w:r>
              <w:rPr>
                <w:rFonts w:ascii="Arial" w:hAnsi="Arial" w:cs="Arial"/>
              </w:rPr>
              <w:t xml:space="preserve"> both Pasteurella strains</w:t>
            </w:r>
          </w:p>
          <w:p w:rsidR="00B02292" w:rsidRDefault="00B02292">
            <w:pPr>
              <w:jc w:val="center"/>
              <w:rPr>
                <w:rFonts w:ascii="Arial" w:hAnsi="Arial" w:cs="Arial"/>
                <w:sz w:val="24"/>
                <w:szCs w:val="24"/>
              </w:rPr>
            </w:pPr>
            <w:r>
              <w:rPr>
                <w:rFonts w:ascii="Arial" w:hAnsi="Arial" w:cs="Arial"/>
              </w:rPr>
              <w:t xml:space="preserve">*Booster needed </w:t>
            </w:r>
          </w:p>
        </w:tc>
        <w:tc>
          <w:tcPr>
            <w:tcW w:w="3338" w:type="dxa"/>
            <w:tcBorders>
              <w:top w:val="single" w:sz="8" w:space="0" w:color="000000"/>
              <w:left w:val="single" w:sz="8" w:space="0" w:color="000000"/>
              <w:bottom w:val="single" w:sz="8" w:space="0" w:color="000000"/>
              <w:right w:val="nil"/>
            </w:tcBorders>
          </w:tcPr>
          <w:p w:rsidR="00B02292" w:rsidRDefault="00B02292">
            <w:pPr>
              <w:jc w:val="center"/>
              <w:rPr>
                <w:rFonts w:ascii="Arial" w:hAnsi="Arial" w:cs="Arial"/>
              </w:rPr>
            </w:pPr>
          </w:p>
          <w:p w:rsidR="00B02292" w:rsidRDefault="00B02292">
            <w:pPr>
              <w:jc w:val="center"/>
              <w:rPr>
                <w:rFonts w:ascii="Arial" w:hAnsi="Arial" w:cs="Arial"/>
              </w:rPr>
            </w:pPr>
            <w:r>
              <w:rPr>
                <w:rFonts w:ascii="Arial" w:hAnsi="Arial" w:cs="Arial"/>
              </w:rPr>
              <w:t>**</w:t>
            </w:r>
            <w:proofErr w:type="spellStart"/>
            <w:r>
              <w:rPr>
                <w:rFonts w:ascii="Arial" w:hAnsi="Arial" w:cs="Arial"/>
              </w:rPr>
              <w:t>Bovi</w:t>
            </w:r>
            <w:proofErr w:type="spellEnd"/>
            <w:r>
              <w:rPr>
                <w:rFonts w:ascii="Arial" w:hAnsi="Arial" w:cs="Arial"/>
              </w:rPr>
              <w:t>-Shield Gold</w:t>
            </w:r>
          </w:p>
          <w:p w:rsidR="00B02292" w:rsidRDefault="00B02292">
            <w:pPr>
              <w:jc w:val="center"/>
              <w:rPr>
                <w:rFonts w:ascii="Arial" w:hAnsi="Arial" w:cs="Arial"/>
                <w:sz w:val="24"/>
                <w:szCs w:val="24"/>
              </w:rPr>
            </w:pPr>
          </w:p>
        </w:tc>
        <w:tc>
          <w:tcPr>
            <w:tcW w:w="1642" w:type="dxa"/>
            <w:tcBorders>
              <w:top w:val="single" w:sz="8" w:space="0" w:color="000000"/>
              <w:left w:val="single" w:sz="8" w:space="0" w:color="000000"/>
              <w:bottom w:val="single" w:sz="8" w:space="0" w:color="000000"/>
              <w:right w:val="nil"/>
            </w:tcBorders>
          </w:tcPr>
          <w:p w:rsidR="00B02292" w:rsidRDefault="00B02292">
            <w:pPr>
              <w:jc w:val="center"/>
              <w:rPr>
                <w:rFonts w:ascii="Arial" w:hAnsi="Arial" w:cs="Arial"/>
              </w:rPr>
            </w:pPr>
          </w:p>
          <w:p w:rsidR="00B02292" w:rsidRDefault="00B02292">
            <w:pPr>
              <w:jc w:val="center"/>
              <w:rPr>
                <w:rFonts w:ascii="Arial" w:hAnsi="Arial" w:cs="Arial"/>
                <w:sz w:val="24"/>
                <w:szCs w:val="24"/>
              </w:rPr>
            </w:pPr>
            <w:r>
              <w:rPr>
                <w:rFonts w:ascii="Arial" w:hAnsi="Arial" w:cs="Arial"/>
              </w:rPr>
              <w:t>Vista Once SQ</w:t>
            </w:r>
          </w:p>
        </w:tc>
        <w:tc>
          <w:tcPr>
            <w:tcW w:w="2517" w:type="dxa"/>
            <w:tcBorders>
              <w:top w:val="single" w:sz="8" w:space="0" w:color="000000"/>
              <w:left w:val="single" w:sz="8" w:space="0" w:color="000000"/>
              <w:bottom w:val="single" w:sz="8" w:space="0" w:color="000000"/>
              <w:right w:val="single" w:sz="8" w:space="0" w:color="000000"/>
            </w:tcBorders>
          </w:tcPr>
          <w:p w:rsidR="00B02292" w:rsidRDefault="00B02292">
            <w:pPr>
              <w:jc w:val="center"/>
              <w:rPr>
                <w:rFonts w:ascii="Arial" w:hAnsi="Arial" w:cs="Arial"/>
              </w:rPr>
            </w:pPr>
          </w:p>
          <w:p w:rsidR="00B02292" w:rsidRDefault="00B02292">
            <w:pPr>
              <w:jc w:val="center"/>
              <w:rPr>
                <w:rFonts w:ascii="Arial" w:hAnsi="Arial" w:cs="Arial"/>
              </w:rPr>
            </w:pPr>
            <w:r>
              <w:rPr>
                <w:rFonts w:ascii="Arial" w:hAnsi="Arial" w:cs="Arial"/>
              </w:rPr>
              <w:t>**Express 5</w:t>
            </w:r>
          </w:p>
          <w:p w:rsidR="00B02292" w:rsidRDefault="00B02292">
            <w:pPr>
              <w:jc w:val="center"/>
              <w:rPr>
                <w:rFonts w:ascii="Arial" w:hAnsi="Arial" w:cs="Arial"/>
              </w:rPr>
            </w:pPr>
            <w:r>
              <w:rPr>
                <w:rFonts w:ascii="Arial" w:hAnsi="Arial" w:cs="Arial"/>
              </w:rPr>
              <w:t xml:space="preserve">And </w:t>
            </w:r>
          </w:p>
          <w:p w:rsidR="00B02292" w:rsidRDefault="00B02292">
            <w:pPr>
              <w:jc w:val="center"/>
              <w:rPr>
                <w:rFonts w:ascii="Arial" w:hAnsi="Arial" w:cs="Arial"/>
              </w:rPr>
            </w:pPr>
            <w:proofErr w:type="spellStart"/>
            <w:r>
              <w:rPr>
                <w:rFonts w:ascii="Arial" w:hAnsi="Arial" w:cs="Arial"/>
              </w:rPr>
              <w:t>Presponse</w:t>
            </w:r>
            <w:proofErr w:type="spellEnd"/>
            <w:r>
              <w:rPr>
                <w:rFonts w:ascii="Arial" w:hAnsi="Arial" w:cs="Arial"/>
              </w:rPr>
              <w:t xml:space="preserve"> HM</w:t>
            </w:r>
          </w:p>
          <w:p w:rsidR="00B02292" w:rsidRDefault="00B02292">
            <w:pPr>
              <w:jc w:val="center"/>
              <w:rPr>
                <w:rFonts w:ascii="Arial" w:hAnsi="Arial" w:cs="Arial"/>
                <w:sz w:val="24"/>
                <w:szCs w:val="24"/>
              </w:rPr>
            </w:pPr>
          </w:p>
        </w:tc>
      </w:tr>
      <w:tr w:rsidR="00B02292">
        <w:tblPrEx>
          <w:tblCellMar>
            <w:top w:w="0" w:type="dxa"/>
            <w:bottom w:w="0" w:type="dxa"/>
          </w:tblCellMar>
        </w:tblPrEx>
        <w:trPr>
          <w:trHeight w:val="2298"/>
        </w:trPr>
        <w:tc>
          <w:tcPr>
            <w:tcW w:w="2797" w:type="dxa"/>
            <w:tcBorders>
              <w:top w:val="single" w:sz="8" w:space="0" w:color="auto"/>
              <w:left w:val="single" w:sz="8" w:space="0" w:color="000000"/>
              <w:bottom w:val="single" w:sz="8" w:space="0" w:color="000000"/>
              <w:right w:val="nil"/>
            </w:tcBorders>
          </w:tcPr>
          <w:p w:rsidR="00B02292" w:rsidRDefault="00B02292">
            <w:pPr>
              <w:jc w:val="center"/>
              <w:rPr>
                <w:rFonts w:ascii="Arial" w:hAnsi="Arial" w:cs="Arial"/>
              </w:rPr>
            </w:pPr>
            <w:r>
              <w:rPr>
                <w:rFonts w:ascii="Arial" w:hAnsi="Arial" w:cs="Arial"/>
              </w:rPr>
              <w:lastRenderedPageBreak/>
              <w:t xml:space="preserve">7-way clostridial (Cl. </w:t>
            </w:r>
            <w:proofErr w:type="spellStart"/>
            <w:r>
              <w:rPr>
                <w:rFonts w:ascii="Arial" w:hAnsi="Arial" w:cs="Arial"/>
              </w:rPr>
              <w:t>Chauvoei</w:t>
            </w:r>
            <w:proofErr w:type="spellEnd"/>
            <w:r>
              <w:rPr>
                <w:rFonts w:ascii="Arial" w:hAnsi="Arial" w:cs="Arial"/>
              </w:rPr>
              <w:t>,</w:t>
            </w:r>
          </w:p>
          <w:p w:rsidR="00B02292" w:rsidRDefault="00B02292">
            <w:pPr>
              <w:jc w:val="center"/>
              <w:rPr>
                <w:rFonts w:ascii="Arial" w:hAnsi="Arial" w:cs="Arial"/>
              </w:rPr>
            </w:pPr>
            <w:proofErr w:type="spellStart"/>
            <w:r>
              <w:rPr>
                <w:rFonts w:ascii="Arial" w:hAnsi="Arial" w:cs="Arial"/>
              </w:rPr>
              <w:t>Septicum</w:t>
            </w:r>
            <w:proofErr w:type="spellEnd"/>
            <w:r>
              <w:rPr>
                <w:rFonts w:ascii="Arial" w:hAnsi="Arial" w:cs="Arial"/>
              </w:rPr>
              <w:t xml:space="preserve">, </w:t>
            </w:r>
            <w:proofErr w:type="spellStart"/>
            <w:r>
              <w:rPr>
                <w:rFonts w:ascii="Arial" w:hAnsi="Arial" w:cs="Arial"/>
              </w:rPr>
              <w:t>novyi</w:t>
            </w:r>
            <w:proofErr w:type="spellEnd"/>
            <w:r>
              <w:rPr>
                <w:rFonts w:ascii="Arial" w:hAnsi="Arial" w:cs="Arial"/>
              </w:rPr>
              <w:t xml:space="preserve">, </w:t>
            </w:r>
            <w:proofErr w:type="spellStart"/>
            <w:r>
              <w:rPr>
                <w:rFonts w:ascii="Arial" w:hAnsi="Arial" w:cs="Arial"/>
              </w:rPr>
              <w:t>sordellii</w:t>
            </w:r>
            <w:proofErr w:type="spellEnd"/>
            <w:r>
              <w:rPr>
                <w:rFonts w:ascii="Arial" w:hAnsi="Arial" w:cs="Arial"/>
              </w:rPr>
              <w:t>,</w:t>
            </w:r>
          </w:p>
          <w:p w:rsidR="00B02292" w:rsidRDefault="00B02292">
            <w:pPr>
              <w:jc w:val="center"/>
              <w:rPr>
                <w:rFonts w:ascii="Arial" w:hAnsi="Arial" w:cs="Arial"/>
                <w:sz w:val="24"/>
                <w:szCs w:val="24"/>
              </w:rPr>
            </w:pPr>
            <w:r>
              <w:rPr>
                <w:rFonts w:ascii="Arial" w:hAnsi="Arial" w:cs="Arial"/>
              </w:rPr>
              <w:t xml:space="preserve">Perfringens type C &amp; D) plus Pinkeye </w:t>
            </w:r>
          </w:p>
        </w:tc>
        <w:tc>
          <w:tcPr>
            <w:tcW w:w="3338" w:type="dxa"/>
            <w:tcBorders>
              <w:top w:val="single" w:sz="8" w:space="0" w:color="000000"/>
              <w:left w:val="single" w:sz="8" w:space="0" w:color="000000"/>
              <w:bottom w:val="single" w:sz="8" w:space="0" w:color="000000"/>
              <w:right w:val="nil"/>
            </w:tcBorders>
          </w:tcPr>
          <w:p w:rsidR="00B02292" w:rsidRDefault="00B02292">
            <w:pPr>
              <w:jc w:val="center"/>
              <w:rPr>
                <w:rFonts w:ascii="Arial" w:hAnsi="Arial" w:cs="Arial"/>
                <w:sz w:val="24"/>
                <w:szCs w:val="24"/>
              </w:rPr>
            </w:pPr>
            <w:r>
              <w:rPr>
                <w:rFonts w:ascii="Arial" w:hAnsi="Arial" w:cs="Arial"/>
              </w:rPr>
              <w:t xml:space="preserve">Pfizer does not offer a 7-way + Pinkeye vaccine </w:t>
            </w:r>
          </w:p>
        </w:tc>
        <w:tc>
          <w:tcPr>
            <w:tcW w:w="1642" w:type="dxa"/>
            <w:tcBorders>
              <w:top w:val="single" w:sz="8" w:space="0" w:color="000000"/>
              <w:left w:val="single" w:sz="8" w:space="0" w:color="000000"/>
              <w:bottom w:val="single" w:sz="8" w:space="0" w:color="000000"/>
              <w:right w:val="nil"/>
            </w:tcBorders>
          </w:tcPr>
          <w:p w:rsidR="00B02292" w:rsidRDefault="00B02292">
            <w:pPr>
              <w:jc w:val="center"/>
              <w:rPr>
                <w:rFonts w:ascii="Arial" w:hAnsi="Arial" w:cs="Arial"/>
              </w:rPr>
            </w:pPr>
          </w:p>
          <w:p w:rsidR="00B02292" w:rsidRDefault="00B02292">
            <w:pPr>
              <w:jc w:val="center"/>
              <w:rPr>
                <w:rFonts w:ascii="Arial" w:hAnsi="Arial" w:cs="Arial"/>
                <w:sz w:val="24"/>
                <w:szCs w:val="24"/>
              </w:rPr>
            </w:pPr>
            <w:r>
              <w:rPr>
                <w:rFonts w:ascii="Arial" w:hAnsi="Arial" w:cs="Arial"/>
              </w:rPr>
              <w:t>20/20 Vision 7</w:t>
            </w:r>
          </w:p>
        </w:tc>
        <w:tc>
          <w:tcPr>
            <w:tcW w:w="2517" w:type="dxa"/>
            <w:tcBorders>
              <w:top w:val="single" w:sz="8" w:space="0" w:color="000000"/>
              <w:left w:val="single" w:sz="8" w:space="0" w:color="000000"/>
              <w:bottom w:val="single" w:sz="8" w:space="0" w:color="000000"/>
              <w:right w:val="single" w:sz="8" w:space="0" w:color="000000"/>
            </w:tcBorders>
          </w:tcPr>
          <w:p w:rsidR="00B02292" w:rsidRDefault="00B02292">
            <w:pPr>
              <w:jc w:val="center"/>
              <w:rPr>
                <w:rFonts w:ascii="Arial" w:hAnsi="Arial" w:cs="Arial"/>
              </w:rPr>
            </w:pPr>
          </w:p>
          <w:p w:rsidR="00B02292" w:rsidRDefault="00B02292">
            <w:pPr>
              <w:jc w:val="center"/>
              <w:rPr>
                <w:rFonts w:ascii="Arial" w:hAnsi="Arial" w:cs="Arial"/>
                <w:sz w:val="24"/>
                <w:szCs w:val="24"/>
              </w:rPr>
            </w:pPr>
            <w:r>
              <w:rPr>
                <w:rFonts w:ascii="Arial" w:hAnsi="Arial" w:cs="Arial"/>
              </w:rPr>
              <w:t>Alpha-7/MB1</w:t>
            </w:r>
          </w:p>
        </w:tc>
      </w:tr>
    </w:tbl>
    <w:p w:rsidR="00B02292" w:rsidRDefault="00B02292">
      <w:pPr>
        <w:overflowPunct/>
        <w:autoSpaceDE w:val="0"/>
        <w:autoSpaceDN w:val="0"/>
        <w:spacing w:after="0" w:line="240" w:lineRule="auto"/>
        <w:rPr>
          <w:rFonts w:ascii="Arial" w:hAnsi="Arial" w:cs="Arial"/>
          <w:sz w:val="10"/>
          <w:szCs w:val="10"/>
        </w:rPr>
      </w:pPr>
    </w:p>
    <w:p w:rsidR="00B02292" w:rsidRDefault="00B02292">
      <w:pPr>
        <w:rPr>
          <w:rFonts w:ascii="Arial" w:hAnsi="Arial" w:cs="Arial"/>
          <w:sz w:val="10"/>
          <w:szCs w:val="10"/>
        </w:rPr>
      </w:pPr>
    </w:p>
    <w:p w:rsidR="00B02292" w:rsidRDefault="00B02292">
      <w:pPr>
        <w:rPr>
          <w:rFonts w:ascii="Arial" w:hAnsi="Arial" w:cs="Arial"/>
          <w:b/>
          <w:bCs/>
          <w:sz w:val="24"/>
          <w:szCs w:val="24"/>
        </w:rPr>
      </w:pPr>
      <w:r>
        <w:rPr>
          <w:rFonts w:ascii="Arial" w:hAnsi="Arial" w:cs="Arial"/>
          <w:b/>
          <w:bCs/>
          <w:sz w:val="24"/>
          <w:szCs w:val="24"/>
        </w:rPr>
        <w:t>Yearlings that received protocol as calves need boosters.  Yearlings not receiving protocol as calves need to follow the time schedule and receive both initial and booster vaccinations.</w:t>
      </w:r>
    </w:p>
    <w:p w:rsidR="00B02292" w:rsidRDefault="00B02292">
      <w:pPr>
        <w:rPr>
          <w:rFonts w:ascii="Arial" w:hAnsi="Arial" w:cs="Arial"/>
          <w:sz w:val="8"/>
          <w:szCs w:val="8"/>
        </w:rPr>
      </w:pPr>
    </w:p>
    <w:p w:rsidR="00B02292" w:rsidRDefault="00B02292">
      <w:pPr>
        <w:rPr>
          <w:rFonts w:ascii="Arial" w:hAnsi="Arial" w:cs="Arial"/>
          <w:sz w:val="24"/>
          <w:szCs w:val="24"/>
        </w:rPr>
      </w:pPr>
      <w:r>
        <w:rPr>
          <w:rFonts w:ascii="Arial" w:hAnsi="Arial" w:cs="Arial"/>
          <w:sz w:val="24"/>
          <w:szCs w:val="24"/>
        </w:rPr>
        <w:t>Cattle not meeting preconditioning protocol will be separated and sold as non-conforming cattle.</w:t>
      </w:r>
    </w:p>
    <w:p w:rsidR="00B02292" w:rsidRDefault="00B02292">
      <w:pPr>
        <w:rPr>
          <w:rFonts w:ascii="Arial" w:hAnsi="Arial" w:cs="Arial"/>
          <w:sz w:val="8"/>
          <w:szCs w:val="8"/>
        </w:rPr>
      </w:pPr>
    </w:p>
    <w:p w:rsidR="00B02292" w:rsidRDefault="00B02292">
      <w:pPr>
        <w:rPr>
          <w:rFonts w:ascii="Arial" w:hAnsi="Arial" w:cs="Arial"/>
          <w:sz w:val="24"/>
          <w:szCs w:val="24"/>
        </w:rPr>
      </w:pPr>
      <w:r>
        <w:rPr>
          <w:rFonts w:ascii="Arial" w:hAnsi="Arial" w:cs="Arial"/>
          <w:sz w:val="24"/>
          <w:szCs w:val="24"/>
        </w:rPr>
        <w:t xml:space="preserve">Beef Quality Assurance (BQA) recommends using subcutaneous (SC) products when possible, 16 – </w:t>
      </w:r>
      <w:proofErr w:type="gramStart"/>
      <w:r>
        <w:rPr>
          <w:rFonts w:ascii="Arial" w:hAnsi="Arial" w:cs="Arial"/>
          <w:sz w:val="24"/>
          <w:szCs w:val="24"/>
        </w:rPr>
        <w:t>18 gauge</w:t>
      </w:r>
      <w:proofErr w:type="gramEnd"/>
      <w:r>
        <w:rPr>
          <w:rFonts w:ascii="Arial" w:hAnsi="Arial" w:cs="Arial"/>
          <w:sz w:val="24"/>
          <w:szCs w:val="24"/>
        </w:rPr>
        <w:t xml:space="preserve"> needles, ½ - ¾ inch for SQ, 1 – 1 ½ inch for IM.</w:t>
      </w:r>
    </w:p>
    <w:p w:rsidR="00B02292" w:rsidRDefault="00B02292">
      <w:pPr>
        <w:rPr>
          <w:rFonts w:ascii="Arial" w:hAnsi="Arial" w:cs="Arial"/>
          <w:sz w:val="8"/>
          <w:szCs w:val="8"/>
        </w:rPr>
      </w:pPr>
    </w:p>
    <w:p w:rsidR="00B02292" w:rsidRDefault="00B02292">
      <w:pPr>
        <w:rPr>
          <w:rFonts w:ascii="Arial" w:hAnsi="Arial" w:cs="Arial"/>
          <w:sz w:val="24"/>
          <w:szCs w:val="24"/>
        </w:rPr>
      </w:pPr>
      <w:r>
        <w:rPr>
          <w:rFonts w:ascii="Arial" w:hAnsi="Arial" w:cs="Arial"/>
          <w:sz w:val="24"/>
          <w:szCs w:val="24"/>
        </w:rPr>
        <w:t>Vaccines work best with reduced stress including weaning, nutrition and handling.</w:t>
      </w:r>
    </w:p>
    <w:p w:rsidR="00B02292" w:rsidRDefault="00B02292">
      <w:pPr>
        <w:rPr>
          <w:rFonts w:ascii="Arial" w:hAnsi="Arial" w:cs="Arial"/>
          <w:sz w:val="12"/>
          <w:szCs w:val="12"/>
        </w:rPr>
      </w:pPr>
    </w:p>
    <w:p w:rsidR="00B02292" w:rsidRDefault="00B02292">
      <w:pPr>
        <w:rPr>
          <w:rFonts w:ascii="Arial" w:hAnsi="Arial" w:cs="Arial"/>
          <w:b/>
          <w:bCs/>
          <w:sz w:val="24"/>
          <w:szCs w:val="24"/>
        </w:rPr>
      </w:pPr>
      <w:r>
        <w:rPr>
          <w:rFonts w:ascii="Arial" w:hAnsi="Arial" w:cs="Arial"/>
          <w:b/>
          <w:bCs/>
          <w:sz w:val="24"/>
          <w:szCs w:val="24"/>
        </w:rPr>
        <w:t xml:space="preserve">For those wishing to use Agri-Labs products, Titanium 5 will cover the MLV 5-way, </w:t>
      </w:r>
      <w:proofErr w:type="spellStart"/>
      <w:r>
        <w:rPr>
          <w:rFonts w:ascii="Arial" w:hAnsi="Arial" w:cs="Arial"/>
          <w:b/>
          <w:bCs/>
          <w:sz w:val="24"/>
          <w:szCs w:val="24"/>
        </w:rPr>
        <w:t>Pulmo</w:t>
      </w:r>
      <w:proofErr w:type="spellEnd"/>
      <w:r>
        <w:rPr>
          <w:rFonts w:ascii="Arial" w:hAnsi="Arial" w:cs="Arial"/>
          <w:b/>
          <w:bCs/>
          <w:sz w:val="24"/>
          <w:szCs w:val="24"/>
        </w:rPr>
        <w:t>-Guard PHM-1 for Pasteurella (see below)</w:t>
      </w:r>
      <w:r>
        <w:rPr>
          <w:rFonts w:ascii="Arial" w:hAnsi="Arial" w:cs="Arial"/>
          <w:b/>
          <w:bCs/>
          <w:color w:val="C00000"/>
          <w:sz w:val="24"/>
          <w:szCs w:val="24"/>
        </w:rPr>
        <w:t xml:space="preserve">, </w:t>
      </w:r>
      <w:r>
        <w:rPr>
          <w:rFonts w:ascii="Arial" w:hAnsi="Arial" w:cs="Arial"/>
          <w:b/>
          <w:bCs/>
          <w:sz w:val="24"/>
          <w:szCs w:val="24"/>
        </w:rPr>
        <w:t>and Cobalt 7 will cover the 7-way clostridial.</w:t>
      </w:r>
    </w:p>
    <w:p w:rsidR="00B02292" w:rsidRDefault="00B02292">
      <w:pPr>
        <w:ind w:left="720"/>
        <w:rPr>
          <w:rFonts w:ascii="Arial" w:hAnsi="Arial" w:cs="Arial"/>
          <w:b/>
          <w:bCs/>
          <w:sz w:val="12"/>
          <w:szCs w:val="12"/>
        </w:rPr>
      </w:pPr>
    </w:p>
    <w:p w:rsidR="00B02292" w:rsidRDefault="00B02292">
      <w:pPr>
        <w:rPr>
          <w:rFonts w:ascii="Arial" w:hAnsi="Arial" w:cs="Arial"/>
          <w:b/>
          <w:bCs/>
          <w:color w:val="C00000"/>
          <w:sz w:val="24"/>
          <w:szCs w:val="24"/>
        </w:rPr>
      </w:pPr>
      <w:r>
        <w:rPr>
          <w:rFonts w:ascii="Arial" w:hAnsi="Arial" w:cs="Arial"/>
          <w:b/>
          <w:bCs/>
          <w:color w:val="C00000"/>
          <w:sz w:val="24"/>
          <w:szCs w:val="24"/>
        </w:rPr>
        <w:t xml:space="preserve">**If other vaccines have already been purchased (for instance Pfizer’s </w:t>
      </w:r>
      <w:proofErr w:type="spellStart"/>
      <w:r>
        <w:rPr>
          <w:rFonts w:ascii="Arial" w:hAnsi="Arial" w:cs="Arial"/>
          <w:b/>
          <w:bCs/>
          <w:color w:val="C00000"/>
          <w:sz w:val="24"/>
          <w:szCs w:val="24"/>
        </w:rPr>
        <w:t>Bovi</w:t>
      </w:r>
      <w:proofErr w:type="spellEnd"/>
      <w:r>
        <w:rPr>
          <w:rFonts w:ascii="Arial" w:hAnsi="Arial" w:cs="Arial"/>
          <w:b/>
          <w:bCs/>
          <w:color w:val="C00000"/>
          <w:sz w:val="24"/>
          <w:szCs w:val="24"/>
        </w:rPr>
        <w:t>-Shield Gold) one of the following must also be provided (2 doses</w:t>
      </w:r>
      <w:proofErr w:type="gramStart"/>
      <w:r>
        <w:rPr>
          <w:rFonts w:ascii="Arial" w:hAnsi="Arial" w:cs="Arial"/>
          <w:b/>
          <w:bCs/>
          <w:color w:val="C00000"/>
          <w:sz w:val="24"/>
          <w:szCs w:val="24"/>
        </w:rPr>
        <w:t>);  BI’s</w:t>
      </w:r>
      <w:proofErr w:type="gramEnd"/>
      <w:r>
        <w:rPr>
          <w:rFonts w:ascii="Arial" w:hAnsi="Arial" w:cs="Arial"/>
          <w:b/>
          <w:bCs/>
          <w:color w:val="C00000"/>
          <w:sz w:val="24"/>
          <w:szCs w:val="24"/>
        </w:rPr>
        <w:t xml:space="preserve"> </w:t>
      </w:r>
      <w:proofErr w:type="spellStart"/>
      <w:r>
        <w:rPr>
          <w:rFonts w:ascii="Arial" w:hAnsi="Arial" w:cs="Arial"/>
          <w:b/>
          <w:bCs/>
          <w:color w:val="C00000"/>
          <w:sz w:val="24"/>
          <w:szCs w:val="24"/>
        </w:rPr>
        <w:t>Presponse</w:t>
      </w:r>
      <w:proofErr w:type="spellEnd"/>
      <w:r>
        <w:rPr>
          <w:rFonts w:ascii="Arial" w:hAnsi="Arial" w:cs="Arial"/>
          <w:b/>
          <w:bCs/>
          <w:sz w:val="24"/>
          <w:szCs w:val="24"/>
        </w:rPr>
        <w:t xml:space="preserve"> </w:t>
      </w:r>
      <w:r>
        <w:rPr>
          <w:rFonts w:ascii="Arial" w:hAnsi="Arial" w:cs="Arial"/>
          <w:b/>
          <w:bCs/>
          <w:color w:val="C00000"/>
          <w:sz w:val="24"/>
          <w:szCs w:val="24"/>
        </w:rPr>
        <w:t xml:space="preserve">HM (NOT SQ!) or Agri-Labs </w:t>
      </w:r>
      <w:proofErr w:type="spellStart"/>
      <w:r>
        <w:rPr>
          <w:rFonts w:ascii="Arial" w:hAnsi="Arial" w:cs="Arial"/>
          <w:b/>
          <w:bCs/>
          <w:color w:val="C00000"/>
          <w:sz w:val="24"/>
          <w:szCs w:val="24"/>
        </w:rPr>
        <w:t>Pulmo</w:t>
      </w:r>
      <w:proofErr w:type="spellEnd"/>
      <w:r>
        <w:rPr>
          <w:rFonts w:ascii="Arial" w:hAnsi="Arial" w:cs="Arial"/>
          <w:b/>
          <w:bCs/>
          <w:color w:val="C00000"/>
          <w:sz w:val="24"/>
          <w:szCs w:val="24"/>
        </w:rPr>
        <w:t xml:space="preserve">-Guard PHM-1.  </w:t>
      </w:r>
      <w:r>
        <w:rPr>
          <w:rFonts w:ascii="Arial" w:hAnsi="Arial" w:cs="Arial"/>
          <w:b/>
          <w:bCs/>
          <w:sz w:val="24"/>
          <w:szCs w:val="24"/>
        </w:rPr>
        <w:t xml:space="preserve">Pfizer’s One-Shot does NOT protect against Pasteurella </w:t>
      </w:r>
      <w:proofErr w:type="spellStart"/>
      <w:r>
        <w:rPr>
          <w:rFonts w:ascii="Arial" w:hAnsi="Arial" w:cs="Arial"/>
          <w:b/>
          <w:bCs/>
          <w:sz w:val="24"/>
          <w:szCs w:val="24"/>
        </w:rPr>
        <w:t>Multocida</w:t>
      </w:r>
      <w:proofErr w:type="spellEnd"/>
      <w:r>
        <w:rPr>
          <w:rFonts w:ascii="Arial" w:hAnsi="Arial" w:cs="Arial"/>
          <w:b/>
          <w:bCs/>
          <w:sz w:val="24"/>
          <w:szCs w:val="24"/>
        </w:rPr>
        <w:t>, therefore is not recommended.</w:t>
      </w:r>
      <w:r>
        <w:rPr>
          <w:rFonts w:ascii="Arial" w:hAnsi="Arial" w:cs="Arial"/>
          <w:b/>
          <w:bCs/>
          <w:color w:val="C00000"/>
          <w:sz w:val="24"/>
          <w:szCs w:val="24"/>
        </w:rPr>
        <w:t xml:space="preserve">  </w:t>
      </w:r>
    </w:p>
    <w:p w:rsidR="00B02292" w:rsidRDefault="003952BE">
      <w:pPr>
        <w:rPr>
          <w:rFonts w:ascii="Arial" w:hAnsi="Arial" w:cs="Arial"/>
          <w:b/>
          <w:bCs/>
          <w:color w:val="C00000"/>
          <w:sz w:val="24"/>
          <w:szCs w:val="24"/>
        </w:rPr>
      </w:pPr>
      <w:r>
        <w:rPr>
          <w:rFonts w:ascii="Arial" w:hAnsi="Arial" w:cs="Arial"/>
          <w:b/>
          <w:bCs/>
          <w:noProof/>
          <w:color w:val="C00000"/>
          <w:sz w:val="24"/>
          <w:szCs w:val="24"/>
        </w:rPr>
        <w:lastRenderedPageBreak/>
        <w:drawing>
          <wp:inline distT="0" distB="0" distL="0" distR="0">
            <wp:extent cx="6770370" cy="85217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70370" cy="8521700"/>
                    </a:xfrm>
                    <a:prstGeom prst="rect">
                      <a:avLst/>
                    </a:prstGeom>
                    <a:noFill/>
                    <a:ln>
                      <a:noFill/>
                    </a:ln>
                  </pic:spPr>
                </pic:pic>
              </a:graphicData>
            </a:graphic>
          </wp:inline>
        </w:drawing>
      </w:r>
    </w:p>
    <w:p w:rsidR="00B02292" w:rsidRDefault="00B02292">
      <w:pPr>
        <w:rPr>
          <w:rFonts w:ascii="Arial" w:hAnsi="Arial" w:cs="Arial"/>
          <w:b/>
          <w:bCs/>
          <w:color w:val="C00000"/>
          <w:sz w:val="24"/>
          <w:szCs w:val="24"/>
        </w:rPr>
      </w:pPr>
    </w:p>
    <w:p w:rsidR="00B02292" w:rsidRDefault="003952BE">
      <w:pPr>
        <w:rPr>
          <w:rFonts w:ascii="Arial" w:hAnsi="Arial" w:cs="Arial"/>
          <w:b/>
          <w:bCs/>
          <w:color w:val="C00000"/>
          <w:sz w:val="24"/>
          <w:szCs w:val="24"/>
        </w:rPr>
      </w:pPr>
      <w:r>
        <w:rPr>
          <w:rFonts w:ascii="Arial" w:hAnsi="Arial" w:cs="Arial"/>
          <w:b/>
          <w:bCs/>
          <w:noProof/>
          <w:color w:val="C00000"/>
          <w:sz w:val="24"/>
          <w:szCs w:val="24"/>
        </w:rPr>
        <w:lastRenderedPageBreak/>
        <w:drawing>
          <wp:inline distT="0" distB="0" distL="0" distR="0">
            <wp:extent cx="5379085" cy="810323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9085" cy="8103235"/>
                    </a:xfrm>
                    <a:prstGeom prst="rect">
                      <a:avLst/>
                    </a:prstGeom>
                    <a:noFill/>
                    <a:ln>
                      <a:noFill/>
                    </a:ln>
                  </pic:spPr>
                </pic:pic>
              </a:graphicData>
            </a:graphic>
          </wp:inline>
        </w:drawing>
      </w:r>
    </w:p>
    <w:p w:rsidR="00B02292" w:rsidRDefault="00B02292">
      <w:pPr>
        <w:rPr>
          <w:rFonts w:ascii="Arial" w:hAnsi="Arial" w:cs="Arial"/>
          <w:b/>
          <w:bCs/>
          <w:color w:val="C00000"/>
          <w:sz w:val="24"/>
          <w:szCs w:val="24"/>
        </w:rPr>
      </w:pPr>
    </w:p>
    <w:p w:rsidR="00B02292" w:rsidRDefault="00B02292">
      <w:pPr>
        <w:rPr>
          <w:rFonts w:ascii="Arial" w:hAnsi="Arial" w:cs="Arial"/>
          <w:b/>
          <w:bCs/>
          <w:color w:val="C00000"/>
          <w:sz w:val="24"/>
          <w:szCs w:val="24"/>
        </w:rPr>
      </w:pPr>
    </w:p>
    <w:p w:rsidR="00B02292" w:rsidRDefault="003952BE">
      <w:pPr>
        <w:rPr>
          <w:rFonts w:ascii="Arial" w:hAnsi="Arial" w:cs="Arial"/>
          <w:b/>
          <w:bCs/>
          <w:color w:val="C00000"/>
          <w:sz w:val="24"/>
          <w:szCs w:val="24"/>
        </w:rPr>
      </w:pPr>
      <w:r>
        <w:rPr>
          <w:rFonts w:ascii="Arial" w:hAnsi="Arial" w:cs="Arial"/>
          <w:b/>
          <w:bCs/>
          <w:noProof/>
          <w:color w:val="C00000"/>
          <w:sz w:val="24"/>
          <w:szCs w:val="24"/>
        </w:rPr>
        <w:lastRenderedPageBreak/>
        <w:drawing>
          <wp:inline distT="0" distB="0" distL="0" distR="0">
            <wp:extent cx="6731635" cy="900811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1635" cy="9008110"/>
                    </a:xfrm>
                    <a:prstGeom prst="rect">
                      <a:avLst/>
                    </a:prstGeom>
                    <a:noFill/>
                    <a:ln>
                      <a:noFill/>
                    </a:ln>
                  </pic:spPr>
                </pic:pic>
              </a:graphicData>
            </a:graphic>
          </wp:inline>
        </w:drawing>
      </w:r>
    </w:p>
    <w:sectPr w:rsidR="00B02292" w:rsidSect="00B02292">
      <w:headerReference w:type="default" r:id="rId9"/>
      <w:footerReference w:type="default" r:id="rId10"/>
      <w:pgSz w:w="12240" w:h="15840"/>
      <w:pgMar w:top="720" w:right="720" w:bottom="720" w:left="720" w:header="125" w:footer="125"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67A4" w:rsidRDefault="008567A4" w:rsidP="00B02292">
      <w:pPr>
        <w:spacing w:after="0" w:line="240" w:lineRule="auto"/>
      </w:pPr>
      <w:r>
        <w:separator/>
      </w:r>
    </w:p>
  </w:endnote>
  <w:endnote w:type="continuationSeparator" w:id="0">
    <w:p w:rsidR="008567A4" w:rsidRDefault="008567A4" w:rsidP="00B022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2292" w:rsidRDefault="00B02292">
    <w:pPr>
      <w:tabs>
        <w:tab w:val="center" w:pos="5400"/>
        <w:tab w:val="right" w:pos="10800"/>
      </w:tabs>
      <w:rPr>
        <w:rFonts w:cs="Times New Roman"/>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67A4" w:rsidRDefault="008567A4" w:rsidP="00B02292">
      <w:pPr>
        <w:spacing w:after="0" w:line="240" w:lineRule="auto"/>
      </w:pPr>
      <w:r>
        <w:separator/>
      </w:r>
    </w:p>
  </w:footnote>
  <w:footnote w:type="continuationSeparator" w:id="0">
    <w:p w:rsidR="008567A4" w:rsidRDefault="008567A4" w:rsidP="00B022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2292" w:rsidRDefault="00B02292">
    <w:pPr>
      <w:tabs>
        <w:tab w:val="center" w:pos="5400"/>
        <w:tab w:val="right" w:pos="10800"/>
      </w:tabs>
      <w:rPr>
        <w:rFonts w:cs="Times New Roman"/>
        <w:kern w:val="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rPos" w:val="-1"/>
    <w:docVar w:name="ColorSet" w:val="-1"/>
    <w:docVar w:name="StylePos" w:val="-1"/>
    <w:docVar w:name="StyleSet" w:val="-1"/>
  </w:docVars>
  <w:rsids>
    <w:rsidRoot w:val="00B02292"/>
    <w:rsid w:val="00001BAB"/>
    <w:rsid w:val="00055638"/>
    <w:rsid w:val="000B1361"/>
    <w:rsid w:val="000B435E"/>
    <w:rsid w:val="00101E6B"/>
    <w:rsid w:val="00102136"/>
    <w:rsid w:val="001D699A"/>
    <w:rsid w:val="002A05BE"/>
    <w:rsid w:val="003952BE"/>
    <w:rsid w:val="003F2B91"/>
    <w:rsid w:val="00445EC4"/>
    <w:rsid w:val="00672CF4"/>
    <w:rsid w:val="007A17D2"/>
    <w:rsid w:val="008567A4"/>
    <w:rsid w:val="00B02292"/>
    <w:rsid w:val="00C11A26"/>
    <w:rsid w:val="00C17375"/>
    <w:rsid w:val="00C34505"/>
    <w:rsid w:val="00D009C4"/>
    <w:rsid w:val="00E77F6F"/>
    <w:rsid w:val="00ED2ADF"/>
    <w:rsid w:val="00F232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D50084D"/>
  <w15:chartTrackingRefBased/>
  <w15:docId w15:val="{F644D447-D7E8-2744-82E1-96F5FDCCE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djustRightInd w:val="0"/>
      <w:spacing w:after="240" w:line="275" w:lineRule="auto"/>
    </w:pPr>
    <w:rPr>
      <w:rFonts w:cs="Calibri"/>
      <w:kern w:val="2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367</Words>
  <Characters>2098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Donna Rae Coffin</cp:lastModifiedBy>
  <cp:revision>2</cp:revision>
  <dcterms:created xsi:type="dcterms:W3CDTF">2020-01-31T18:23:00Z</dcterms:created>
  <dcterms:modified xsi:type="dcterms:W3CDTF">2020-01-31T18:25:00Z</dcterms:modified>
</cp:coreProperties>
</file>