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F030" w14:textId="3B1A01B6" w:rsidR="00051F8D" w:rsidRPr="00051F8D" w:rsidRDefault="00051F8D" w:rsidP="004B7955">
      <w:pPr>
        <w:pStyle w:val="NormalWeb"/>
        <w:shd w:val="clear" w:color="auto" w:fill="FFFFFF"/>
        <w:rPr>
          <w:rFonts w:asciiTheme="minorHAnsi" w:hAnsiTheme="minorHAnsi" w:cstheme="minorHAnsi"/>
          <w:b/>
          <w:bCs/>
          <w:color w:val="333333"/>
          <w:sz w:val="32"/>
          <w:szCs w:val="32"/>
        </w:rPr>
      </w:pPr>
      <w:r w:rsidRPr="00051F8D">
        <w:rPr>
          <w:rFonts w:asciiTheme="minorHAnsi" w:hAnsiTheme="minorHAnsi" w:cstheme="minorHAnsi"/>
          <w:b/>
          <w:bCs/>
          <w:color w:val="333333"/>
          <w:sz w:val="32"/>
          <w:szCs w:val="32"/>
        </w:rPr>
        <w:t>Information blocking requirements on the horizon</w:t>
      </w:r>
    </w:p>
    <w:p w14:paraId="08EB5594" w14:textId="1603B29F" w:rsidR="00F33805" w:rsidRPr="00051F8D" w:rsidRDefault="004B7955" w:rsidP="004B7955">
      <w:pPr>
        <w:pStyle w:val="NormalWeb"/>
        <w:shd w:val="clear" w:color="auto" w:fill="FFFFFF"/>
        <w:rPr>
          <w:rFonts w:asciiTheme="minorHAnsi" w:hAnsiTheme="minorHAnsi" w:cstheme="minorHAnsi"/>
          <w:color w:val="333333"/>
        </w:rPr>
      </w:pPr>
      <w:r w:rsidRPr="00051F8D">
        <w:rPr>
          <w:rFonts w:asciiTheme="minorHAnsi" w:hAnsiTheme="minorHAnsi" w:cstheme="minorHAnsi"/>
          <w:color w:val="333333"/>
        </w:rPr>
        <w:t>In April 202</w:t>
      </w:r>
      <w:r w:rsidR="00F730E8">
        <w:rPr>
          <w:rFonts w:asciiTheme="minorHAnsi" w:hAnsiTheme="minorHAnsi" w:cstheme="minorHAnsi"/>
          <w:color w:val="333333"/>
        </w:rPr>
        <w:t>1</w:t>
      </w:r>
      <w:r w:rsidRPr="00051F8D">
        <w:rPr>
          <w:rFonts w:asciiTheme="minorHAnsi" w:hAnsiTheme="minorHAnsi" w:cstheme="minorHAnsi"/>
          <w:color w:val="333333"/>
        </w:rPr>
        <w:t xml:space="preserve">, the Office of the National Coordinator for Health Information Technology’s (ONC) rules on information blocking went into effect. </w:t>
      </w:r>
      <w:hyperlink r:id="rId5" w:history="1">
        <w:r w:rsidRPr="006A1663">
          <w:rPr>
            <w:rStyle w:val="Hyperlink"/>
            <w:rFonts w:asciiTheme="minorHAnsi" w:hAnsiTheme="minorHAnsi" w:cstheme="minorHAnsi"/>
          </w:rPr>
          <w:t>Information blocking</w:t>
        </w:r>
      </w:hyperlink>
      <w:r w:rsidRPr="00051F8D">
        <w:rPr>
          <w:rFonts w:asciiTheme="minorHAnsi" w:hAnsiTheme="minorHAnsi" w:cstheme="minorHAnsi"/>
          <w:color w:val="333333"/>
        </w:rPr>
        <w:t xml:space="preserve"> is defined as practices that are likely to interfere with, prevent or materially discourage the access, exchange</w:t>
      </w:r>
      <w:r w:rsidR="005117C9">
        <w:rPr>
          <w:rFonts w:asciiTheme="minorHAnsi" w:hAnsiTheme="minorHAnsi" w:cstheme="minorHAnsi"/>
          <w:color w:val="333333"/>
        </w:rPr>
        <w:t>,</w:t>
      </w:r>
      <w:r w:rsidRPr="00051F8D">
        <w:rPr>
          <w:rFonts w:asciiTheme="minorHAnsi" w:hAnsiTheme="minorHAnsi" w:cstheme="minorHAnsi"/>
          <w:color w:val="333333"/>
        </w:rPr>
        <w:t xml:space="preserve"> or use of </w:t>
      </w:r>
      <w:hyperlink r:id="rId6" w:history="1">
        <w:r w:rsidRPr="006C7ED8">
          <w:rPr>
            <w:rStyle w:val="Hyperlink"/>
            <w:rFonts w:asciiTheme="minorHAnsi" w:hAnsiTheme="minorHAnsi" w:cstheme="minorHAnsi"/>
          </w:rPr>
          <w:t>electronic health information</w:t>
        </w:r>
      </w:hyperlink>
      <w:r w:rsidRPr="00051F8D">
        <w:rPr>
          <w:rFonts w:asciiTheme="minorHAnsi" w:hAnsiTheme="minorHAnsi" w:cstheme="minorHAnsi"/>
          <w:color w:val="333333"/>
        </w:rPr>
        <w:t xml:space="preserve"> (EHI). Physicians, hospitals, electronic health record (EHR) vendors, health information exchanges (HIE) and health information networks (HIN) are all subject to ONC's </w:t>
      </w:r>
      <w:r w:rsidR="0000443B">
        <w:rPr>
          <w:rFonts w:asciiTheme="minorHAnsi" w:hAnsiTheme="minorHAnsi" w:cstheme="minorHAnsi"/>
          <w:color w:val="333333"/>
        </w:rPr>
        <w:t>regulations</w:t>
      </w:r>
      <w:r w:rsidRPr="00051F8D">
        <w:rPr>
          <w:rFonts w:asciiTheme="minorHAnsi" w:hAnsiTheme="minorHAnsi" w:cstheme="minorHAnsi"/>
          <w:color w:val="333333"/>
        </w:rPr>
        <w:t xml:space="preserve"> and are referred to as "</w:t>
      </w:r>
      <w:hyperlink r:id="rId7" w:history="1">
        <w:r w:rsidRPr="00AC70D7">
          <w:rPr>
            <w:rStyle w:val="Hyperlink"/>
            <w:rFonts w:asciiTheme="minorHAnsi" w:hAnsiTheme="minorHAnsi" w:cstheme="minorHAnsi"/>
          </w:rPr>
          <w:t>Actors</w:t>
        </w:r>
      </w:hyperlink>
      <w:r w:rsidRPr="00051F8D">
        <w:rPr>
          <w:rFonts w:asciiTheme="minorHAnsi" w:hAnsiTheme="minorHAnsi" w:cstheme="minorHAnsi"/>
          <w:color w:val="333333"/>
        </w:rPr>
        <w:t>." Actors whose actions are likely to interfere with the access, exchange, or use of EHI could be considered information blockers and subject to penalties or disincentives. EHR vendors and HIE/HINs can receive up to $1 million in civil monetary penalties per violation. Penalties and other "disincentives" for physicians have yet to be determined by the U.S. Department of Health and Human Services</w:t>
      </w:r>
      <w:r w:rsidR="007D193C">
        <w:rPr>
          <w:rFonts w:asciiTheme="minorHAnsi" w:hAnsiTheme="minorHAnsi" w:cstheme="minorHAnsi"/>
          <w:color w:val="333333"/>
        </w:rPr>
        <w:t xml:space="preserve"> (HHS)</w:t>
      </w:r>
      <w:r w:rsidRPr="00051F8D">
        <w:rPr>
          <w:rFonts w:asciiTheme="minorHAnsi" w:hAnsiTheme="minorHAnsi" w:cstheme="minorHAnsi"/>
          <w:color w:val="333333"/>
        </w:rPr>
        <w:t xml:space="preserve">. </w:t>
      </w:r>
      <w:r w:rsidR="00E14D59">
        <w:rPr>
          <w:rFonts w:asciiTheme="minorHAnsi" w:hAnsiTheme="minorHAnsi" w:cstheme="minorHAnsi"/>
          <w:color w:val="333333"/>
        </w:rPr>
        <w:t>We are expecting a proposed rule</w:t>
      </w:r>
      <w:r w:rsidR="00F56325">
        <w:rPr>
          <w:rFonts w:asciiTheme="minorHAnsi" w:hAnsiTheme="minorHAnsi" w:cstheme="minorHAnsi"/>
          <w:color w:val="333333"/>
        </w:rPr>
        <w:t xml:space="preserve"> on disincentives</w:t>
      </w:r>
      <w:r w:rsidR="00E14D59">
        <w:rPr>
          <w:rFonts w:asciiTheme="minorHAnsi" w:hAnsiTheme="minorHAnsi" w:cstheme="minorHAnsi"/>
          <w:color w:val="333333"/>
        </w:rPr>
        <w:t xml:space="preserve"> in late 2022.</w:t>
      </w:r>
      <w:r w:rsidRPr="00051F8D">
        <w:rPr>
          <w:rFonts w:asciiTheme="minorHAnsi" w:hAnsiTheme="minorHAnsi" w:cstheme="minorHAnsi"/>
          <w:color w:val="333333"/>
        </w:rPr>
        <w:t xml:space="preserve"> </w:t>
      </w:r>
      <w:r w:rsidR="00A158A1">
        <w:rPr>
          <w:rFonts w:asciiTheme="minorHAnsi" w:hAnsiTheme="minorHAnsi" w:cstheme="minorHAnsi"/>
          <w:color w:val="333333"/>
        </w:rPr>
        <w:t>For now, p</w:t>
      </w:r>
      <w:r w:rsidRPr="00051F8D">
        <w:rPr>
          <w:rFonts w:asciiTheme="minorHAnsi" w:hAnsiTheme="minorHAnsi" w:cstheme="minorHAnsi"/>
          <w:color w:val="333333"/>
        </w:rPr>
        <w:t xml:space="preserve">hysicians participating in the Promoting Interoperability Program could see an impact to their Centers for Medicare &amp; Medicaid Services </w:t>
      </w:r>
      <w:r w:rsidR="00F33805" w:rsidRPr="00051F8D">
        <w:rPr>
          <w:rFonts w:asciiTheme="minorHAnsi" w:hAnsiTheme="minorHAnsi" w:cstheme="minorHAnsi"/>
          <w:color w:val="333333"/>
        </w:rPr>
        <w:t>Quality Payment Program</w:t>
      </w:r>
      <w:r w:rsidRPr="00051F8D">
        <w:rPr>
          <w:rFonts w:asciiTheme="minorHAnsi" w:hAnsiTheme="minorHAnsi" w:cstheme="minorHAnsi"/>
          <w:color w:val="333333"/>
        </w:rPr>
        <w:t xml:space="preserve"> incentives if they are found to be information blockers. </w:t>
      </w:r>
    </w:p>
    <w:p w14:paraId="634458E2" w14:textId="65993FF2" w:rsidR="00C9736F" w:rsidRPr="00C9736F" w:rsidRDefault="00F33805" w:rsidP="00C9736F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A2A2A"/>
        </w:rPr>
      </w:pPr>
      <w:r w:rsidRPr="00051F8D">
        <w:rPr>
          <w:rFonts w:asciiTheme="minorHAnsi" w:hAnsiTheme="minorHAnsi" w:cstheme="minorHAnsi"/>
          <w:color w:val="2A2A2A"/>
        </w:rPr>
        <w:t>Since April</w:t>
      </w:r>
      <w:r w:rsidR="0049183D">
        <w:rPr>
          <w:rFonts w:asciiTheme="minorHAnsi" w:hAnsiTheme="minorHAnsi" w:cstheme="minorHAnsi"/>
          <w:color w:val="2A2A2A"/>
        </w:rPr>
        <w:t xml:space="preserve"> 202</w:t>
      </w:r>
      <w:r w:rsidR="00F730E8">
        <w:rPr>
          <w:rFonts w:asciiTheme="minorHAnsi" w:hAnsiTheme="minorHAnsi" w:cstheme="minorHAnsi"/>
          <w:color w:val="2A2A2A"/>
        </w:rPr>
        <w:t>1</w:t>
      </w:r>
      <w:r w:rsidR="0049183D">
        <w:rPr>
          <w:rFonts w:asciiTheme="minorHAnsi" w:hAnsiTheme="minorHAnsi" w:cstheme="minorHAnsi"/>
          <w:color w:val="2A2A2A"/>
        </w:rPr>
        <w:t>,</w:t>
      </w:r>
      <w:r w:rsidRPr="00051F8D">
        <w:rPr>
          <w:rFonts w:asciiTheme="minorHAnsi" w:hAnsiTheme="minorHAnsi" w:cstheme="minorHAnsi"/>
          <w:color w:val="2A2A2A"/>
        </w:rPr>
        <w:t xml:space="preserve"> </w:t>
      </w:r>
      <w:r w:rsidR="006743FD" w:rsidRPr="00051F8D">
        <w:rPr>
          <w:rFonts w:asciiTheme="minorHAnsi" w:hAnsiTheme="minorHAnsi" w:cstheme="minorHAnsi"/>
          <w:color w:val="2A2A2A"/>
        </w:rPr>
        <w:t xml:space="preserve">information blocking requirements have been focused on a narrow subset all EHI. </w:t>
      </w:r>
      <w:r w:rsidR="002D4670">
        <w:rPr>
          <w:rFonts w:asciiTheme="minorHAnsi" w:hAnsiTheme="minorHAnsi" w:cstheme="minorHAnsi"/>
          <w:color w:val="2A2A2A"/>
        </w:rPr>
        <w:t xml:space="preserve">While Actors are encouraged to send the full </w:t>
      </w:r>
      <w:r w:rsidR="00A126DF">
        <w:rPr>
          <w:rFonts w:asciiTheme="minorHAnsi" w:hAnsiTheme="minorHAnsi" w:cstheme="minorHAnsi"/>
          <w:color w:val="2A2A2A"/>
        </w:rPr>
        <w:t xml:space="preserve">set of </w:t>
      </w:r>
      <w:r w:rsidR="002D4670">
        <w:rPr>
          <w:rFonts w:asciiTheme="minorHAnsi" w:hAnsiTheme="minorHAnsi" w:cstheme="minorHAnsi"/>
          <w:color w:val="2A2A2A"/>
        </w:rPr>
        <w:t>EHI upon request, they</w:t>
      </w:r>
      <w:r w:rsidR="006743FD" w:rsidRPr="00051F8D">
        <w:rPr>
          <w:rFonts w:asciiTheme="minorHAnsi" w:hAnsiTheme="minorHAnsi" w:cstheme="minorHAnsi"/>
          <w:color w:val="2A2A2A"/>
        </w:rPr>
        <w:t xml:space="preserve"> </w:t>
      </w:r>
      <w:r w:rsidR="00792C37">
        <w:rPr>
          <w:rFonts w:asciiTheme="minorHAnsi" w:hAnsiTheme="minorHAnsi" w:cstheme="minorHAnsi"/>
          <w:color w:val="2A2A2A"/>
        </w:rPr>
        <w:t>are</w:t>
      </w:r>
      <w:r w:rsidR="002D4670">
        <w:rPr>
          <w:rFonts w:asciiTheme="minorHAnsi" w:hAnsiTheme="minorHAnsi" w:cstheme="minorHAnsi"/>
          <w:color w:val="2A2A2A"/>
        </w:rPr>
        <w:t xml:space="preserve"> only</w:t>
      </w:r>
      <w:r w:rsidR="006743FD" w:rsidRPr="00051F8D">
        <w:rPr>
          <w:rFonts w:asciiTheme="minorHAnsi" w:hAnsiTheme="minorHAnsi" w:cstheme="minorHAnsi"/>
          <w:color w:val="2A2A2A"/>
        </w:rPr>
        <w:t xml:space="preserve"> responsible to provide a </w:t>
      </w:r>
      <w:r w:rsidR="00A126DF">
        <w:rPr>
          <w:rFonts w:asciiTheme="minorHAnsi" w:hAnsiTheme="minorHAnsi" w:cstheme="minorHAnsi"/>
          <w:color w:val="2A2A2A"/>
        </w:rPr>
        <w:t xml:space="preserve">limited subset of </w:t>
      </w:r>
      <w:r w:rsidR="006743FD" w:rsidRPr="00051F8D">
        <w:rPr>
          <w:rFonts w:asciiTheme="minorHAnsi" w:hAnsiTheme="minorHAnsi" w:cstheme="minorHAnsi"/>
          <w:color w:val="2A2A2A"/>
        </w:rPr>
        <w:t>health data</w:t>
      </w:r>
      <w:r w:rsidRPr="00051F8D">
        <w:rPr>
          <w:rFonts w:asciiTheme="minorHAnsi" w:hAnsiTheme="minorHAnsi" w:cstheme="minorHAnsi"/>
          <w:color w:val="2A2A2A"/>
        </w:rPr>
        <w:t xml:space="preserve"> </w:t>
      </w:r>
      <w:r w:rsidR="006743FD" w:rsidRPr="00051F8D">
        <w:rPr>
          <w:rFonts w:asciiTheme="minorHAnsi" w:hAnsiTheme="minorHAnsi" w:cstheme="minorHAnsi"/>
          <w:color w:val="2A2A2A"/>
        </w:rPr>
        <w:t xml:space="preserve">called the </w:t>
      </w:r>
      <w:hyperlink r:id="rId8" w:anchor="uscdi-v1" w:history="1">
        <w:r w:rsidR="006743FD" w:rsidRPr="00344347">
          <w:rPr>
            <w:rStyle w:val="Hyperlink"/>
            <w:rFonts w:asciiTheme="minorHAnsi" w:hAnsiTheme="minorHAnsi" w:cstheme="minorHAnsi"/>
          </w:rPr>
          <w:t>United States Core Date for Interoperability</w:t>
        </w:r>
      </w:hyperlink>
      <w:r w:rsidR="006743FD" w:rsidRPr="00051F8D">
        <w:rPr>
          <w:rFonts w:asciiTheme="minorHAnsi" w:hAnsiTheme="minorHAnsi" w:cstheme="minorHAnsi"/>
          <w:color w:val="2A2A2A"/>
        </w:rPr>
        <w:t xml:space="preserve"> (USCDI).</w:t>
      </w:r>
      <w:r w:rsidR="006B7534">
        <w:rPr>
          <w:rFonts w:asciiTheme="minorHAnsi" w:hAnsiTheme="minorHAnsi" w:cstheme="minorHAnsi"/>
          <w:color w:val="2A2A2A"/>
        </w:rPr>
        <w:t xml:space="preserve"> </w:t>
      </w:r>
      <w:r w:rsidR="006743FD" w:rsidRPr="00051F8D">
        <w:rPr>
          <w:rFonts w:asciiTheme="minorHAnsi" w:hAnsiTheme="minorHAnsi" w:cstheme="minorHAnsi"/>
          <w:color w:val="2A2A2A"/>
        </w:rPr>
        <w:t xml:space="preserve">The USCDI accounts for most of the common information you would likely find in </w:t>
      </w:r>
      <w:r w:rsidR="0035242B">
        <w:rPr>
          <w:rFonts w:asciiTheme="minorHAnsi" w:hAnsiTheme="minorHAnsi" w:cstheme="minorHAnsi"/>
          <w:color w:val="2A2A2A"/>
        </w:rPr>
        <w:t>a</w:t>
      </w:r>
      <w:r w:rsidR="00F8213F" w:rsidRPr="00051F8D">
        <w:rPr>
          <w:rFonts w:asciiTheme="minorHAnsi" w:hAnsiTheme="minorHAnsi" w:cstheme="minorHAnsi"/>
          <w:color w:val="2A2A2A"/>
        </w:rPr>
        <w:t xml:space="preserve"> </w:t>
      </w:r>
      <w:r w:rsidR="006743FD" w:rsidRPr="00051F8D">
        <w:rPr>
          <w:rFonts w:asciiTheme="minorHAnsi" w:hAnsiTheme="minorHAnsi" w:cstheme="minorHAnsi"/>
          <w:color w:val="2A2A2A"/>
        </w:rPr>
        <w:t xml:space="preserve">medical record, including a patient’s lab results, vital signs, clinical notes, allergies, and procedures. The USCDI is a federally defined requirement that all </w:t>
      </w:r>
      <w:r w:rsidR="00CB58FF">
        <w:rPr>
          <w:rFonts w:asciiTheme="minorHAnsi" w:hAnsiTheme="minorHAnsi" w:cstheme="minorHAnsi"/>
          <w:color w:val="2A2A2A"/>
        </w:rPr>
        <w:t>EHR</w:t>
      </w:r>
      <w:r w:rsidR="006743FD" w:rsidRPr="00051F8D">
        <w:rPr>
          <w:rFonts w:asciiTheme="minorHAnsi" w:hAnsiTheme="minorHAnsi" w:cstheme="minorHAnsi"/>
          <w:color w:val="2A2A2A"/>
        </w:rPr>
        <w:t xml:space="preserve"> systems must meet. However, </w:t>
      </w:r>
      <w:r w:rsidR="00F8213F" w:rsidRPr="00051F8D">
        <w:rPr>
          <w:rFonts w:asciiTheme="minorHAnsi" w:hAnsiTheme="minorHAnsi" w:cstheme="minorHAnsi"/>
          <w:color w:val="2A2A2A"/>
        </w:rPr>
        <w:t xml:space="preserve">starting </w:t>
      </w:r>
      <w:r w:rsidR="00F8213F" w:rsidRPr="00051F8D">
        <w:rPr>
          <w:rFonts w:asciiTheme="minorHAnsi" w:hAnsiTheme="minorHAnsi" w:cstheme="minorHAnsi"/>
          <w:b/>
          <w:bCs/>
          <w:color w:val="2A2A2A"/>
        </w:rPr>
        <w:t>October 6, 2022</w:t>
      </w:r>
      <w:r w:rsidR="00F8213F" w:rsidRPr="00051F8D">
        <w:rPr>
          <w:rFonts w:asciiTheme="minorHAnsi" w:hAnsiTheme="minorHAnsi" w:cstheme="minorHAnsi"/>
          <w:color w:val="2A2A2A"/>
        </w:rPr>
        <w:t xml:space="preserve">, </w:t>
      </w:r>
      <w:r w:rsidR="007720D7">
        <w:rPr>
          <w:rFonts w:asciiTheme="minorHAnsi" w:hAnsiTheme="minorHAnsi" w:cstheme="minorHAnsi"/>
          <w:color w:val="2A2A2A"/>
        </w:rPr>
        <w:t xml:space="preserve">HHS’ information blocking </w:t>
      </w:r>
      <w:r w:rsidR="00095412">
        <w:rPr>
          <w:rFonts w:asciiTheme="minorHAnsi" w:hAnsiTheme="minorHAnsi" w:cstheme="minorHAnsi"/>
          <w:color w:val="2A2A2A"/>
        </w:rPr>
        <w:t>requirements</w:t>
      </w:r>
      <w:r w:rsidR="007720D7">
        <w:rPr>
          <w:rFonts w:asciiTheme="minorHAnsi" w:hAnsiTheme="minorHAnsi" w:cstheme="minorHAnsi"/>
          <w:color w:val="2A2A2A"/>
        </w:rPr>
        <w:t xml:space="preserve"> </w:t>
      </w:r>
      <w:r w:rsidR="00470C2E">
        <w:rPr>
          <w:rFonts w:asciiTheme="minorHAnsi" w:hAnsiTheme="minorHAnsi" w:cstheme="minorHAnsi"/>
          <w:color w:val="2A2A2A"/>
        </w:rPr>
        <w:t>shift to the entire</w:t>
      </w:r>
      <w:r w:rsidR="008923D7">
        <w:rPr>
          <w:rFonts w:asciiTheme="minorHAnsi" w:hAnsiTheme="minorHAnsi" w:cstheme="minorHAnsi"/>
          <w:color w:val="2A2A2A"/>
        </w:rPr>
        <w:t xml:space="preserve"> </w:t>
      </w:r>
      <w:r w:rsidR="007720D7">
        <w:rPr>
          <w:rFonts w:asciiTheme="minorHAnsi" w:hAnsiTheme="minorHAnsi" w:cstheme="minorHAnsi"/>
          <w:color w:val="2A2A2A"/>
        </w:rPr>
        <w:t xml:space="preserve">EHI. </w:t>
      </w:r>
      <w:r w:rsidR="007720D7" w:rsidRPr="00BF3C19">
        <w:rPr>
          <w:rFonts w:asciiTheme="minorHAnsi" w:hAnsiTheme="minorHAnsi" w:cstheme="minorHAnsi"/>
          <w:color w:val="2A2A2A"/>
          <w:u w:val="single"/>
        </w:rPr>
        <w:t>After October 6, p</w:t>
      </w:r>
      <w:r w:rsidR="00F8213F" w:rsidRPr="00BF3C19">
        <w:rPr>
          <w:rFonts w:asciiTheme="minorHAnsi" w:hAnsiTheme="minorHAnsi" w:cstheme="minorHAnsi"/>
          <w:color w:val="2A2A2A"/>
          <w:u w:val="single"/>
        </w:rPr>
        <w:t xml:space="preserve">hysicians and other Actors will be responsible for the access, exchange, </w:t>
      </w:r>
      <w:r w:rsidR="009967F7" w:rsidRPr="00BF3C19">
        <w:rPr>
          <w:rFonts w:asciiTheme="minorHAnsi" w:hAnsiTheme="minorHAnsi" w:cstheme="minorHAnsi"/>
          <w:color w:val="2A2A2A"/>
          <w:u w:val="single"/>
        </w:rPr>
        <w:t>or</w:t>
      </w:r>
      <w:r w:rsidR="00F8213F" w:rsidRPr="00BF3C19">
        <w:rPr>
          <w:rFonts w:asciiTheme="minorHAnsi" w:hAnsiTheme="minorHAnsi" w:cstheme="minorHAnsi"/>
          <w:color w:val="2A2A2A"/>
          <w:u w:val="single"/>
        </w:rPr>
        <w:t xml:space="preserve"> use of the full EHI requirement</w:t>
      </w:r>
      <w:r w:rsidR="009F5641" w:rsidRPr="00BF3C19">
        <w:rPr>
          <w:rFonts w:asciiTheme="minorHAnsi" w:hAnsiTheme="minorHAnsi" w:cstheme="minorHAnsi"/>
          <w:color w:val="2A2A2A"/>
          <w:u w:val="single"/>
        </w:rPr>
        <w:t xml:space="preserve"> and no longer limited to just </w:t>
      </w:r>
      <w:r w:rsidR="004D4070">
        <w:rPr>
          <w:rFonts w:asciiTheme="minorHAnsi" w:hAnsiTheme="minorHAnsi" w:cstheme="minorHAnsi"/>
          <w:color w:val="2A2A2A"/>
          <w:u w:val="single"/>
        </w:rPr>
        <w:t xml:space="preserve">the </w:t>
      </w:r>
      <w:r w:rsidR="009F5641" w:rsidRPr="00BF3C19">
        <w:rPr>
          <w:rFonts w:asciiTheme="minorHAnsi" w:hAnsiTheme="minorHAnsi" w:cstheme="minorHAnsi"/>
          <w:color w:val="2A2A2A"/>
          <w:u w:val="single"/>
        </w:rPr>
        <w:t>USCDI</w:t>
      </w:r>
      <w:r w:rsidR="00F8213F" w:rsidRPr="00BF3C19">
        <w:rPr>
          <w:rFonts w:asciiTheme="minorHAnsi" w:hAnsiTheme="minorHAnsi" w:cstheme="minorHAnsi"/>
          <w:color w:val="2A2A2A"/>
          <w:u w:val="single"/>
        </w:rPr>
        <w:t>.</w:t>
      </w:r>
    </w:p>
    <w:p w14:paraId="5012CC90" w14:textId="03D70327" w:rsidR="00C9736F" w:rsidRPr="00051F8D" w:rsidRDefault="00C9736F" w:rsidP="00051F8D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051F8D">
        <w:rPr>
          <w:rFonts w:asciiTheme="minorHAnsi" w:hAnsiTheme="minorHAnsi" w:cstheme="minorHAnsi"/>
          <w:b/>
          <w:bCs/>
          <w:sz w:val="32"/>
          <w:szCs w:val="32"/>
        </w:rPr>
        <w:t>What</w:t>
      </w:r>
      <w:r w:rsidR="003C1235">
        <w:rPr>
          <w:rFonts w:asciiTheme="minorHAnsi" w:hAnsiTheme="minorHAnsi" w:cstheme="minorHAnsi"/>
          <w:b/>
          <w:bCs/>
          <w:sz w:val="32"/>
          <w:szCs w:val="32"/>
        </w:rPr>
        <w:t xml:space="preserve"> i</w:t>
      </w:r>
      <w:r w:rsidRPr="00051F8D">
        <w:rPr>
          <w:rFonts w:asciiTheme="minorHAnsi" w:hAnsiTheme="minorHAnsi" w:cstheme="minorHAnsi"/>
          <w:b/>
          <w:bCs/>
          <w:sz w:val="32"/>
          <w:szCs w:val="32"/>
        </w:rPr>
        <w:t>s EHI?</w:t>
      </w:r>
    </w:p>
    <w:p w14:paraId="6A50D476" w14:textId="77777777" w:rsidR="00051F8D" w:rsidRDefault="00051F8D" w:rsidP="00397881">
      <w:pPr>
        <w:rPr>
          <w:rFonts w:asciiTheme="minorHAnsi" w:hAnsiTheme="minorHAnsi" w:cstheme="minorHAnsi"/>
        </w:rPr>
      </w:pPr>
    </w:p>
    <w:p w14:paraId="03DF2CA1" w14:textId="7D272422" w:rsidR="00397881" w:rsidRDefault="00C9736F" w:rsidP="00397881">
      <w:pPr>
        <w:rPr>
          <w:rFonts w:asciiTheme="minorHAnsi" w:hAnsiTheme="minorHAnsi" w:cstheme="minorHAnsi"/>
          <w:color w:val="2A2A2A"/>
          <w:shd w:val="clear" w:color="auto" w:fill="FFFFFF"/>
        </w:rPr>
      </w:pPr>
      <w:r w:rsidRPr="00C9736F">
        <w:rPr>
          <w:rFonts w:asciiTheme="minorHAnsi" w:hAnsiTheme="minorHAnsi" w:cstheme="minorHAnsi"/>
        </w:rPr>
        <w:t xml:space="preserve">EHI is </w:t>
      </w:r>
      <w:r w:rsidRPr="00C9736F">
        <w:rPr>
          <w:rFonts w:asciiTheme="minorHAnsi" w:hAnsiTheme="minorHAnsi" w:cstheme="minorHAnsi"/>
          <w:color w:val="2A2A2A"/>
        </w:rPr>
        <w:t>defined as </w:t>
      </w:r>
      <w:hyperlink r:id="rId9" w:history="1">
        <w:r w:rsidRPr="00C9736F">
          <w:rPr>
            <w:rStyle w:val="Hyperlink"/>
            <w:rFonts w:asciiTheme="minorHAnsi" w:hAnsiTheme="minorHAnsi" w:cstheme="minorHAnsi"/>
          </w:rPr>
          <w:t>electronic protected health information (ePHI)</w:t>
        </w:r>
      </w:hyperlink>
      <w:r w:rsidRPr="00C9736F">
        <w:rPr>
          <w:rFonts w:asciiTheme="minorHAnsi" w:hAnsiTheme="minorHAnsi" w:cstheme="minorHAnsi"/>
          <w:color w:val="2A2A2A"/>
        </w:rPr>
        <w:t> to the extent that it would be included in a </w:t>
      </w:r>
      <w:hyperlink r:id="rId10" w:history="1">
        <w:r w:rsidRPr="00C9736F">
          <w:rPr>
            <w:rStyle w:val="Hyperlink"/>
            <w:rFonts w:asciiTheme="minorHAnsi" w:hAnsiTheme="minorHAnsi" w:cstheme="minorHAnsi"/>
          </w:rPr>
          <w:t>designated record set (DRS)</w:t>
        </w:r>
      </w:hyperlink>
      <w:r w:rsidR="00F8213F" w:rsidRPr="00051F8D">
        <w:rPr>
          <w:rFonts w:asciiTheme="minorHAnsi" w:hAnsiTheme="minorHAnsi" w:cstheme="minorHAnsi"/>
          <w:color w:val="2A2A2A"/>
        </w:rPr>
        <w:t xml:space="preserve">. The DRS is defined within the Health Insurance Portability and Accountability Act (HIPAA). </w:t>
      </w:r>
      <w:r w:rsidR="00397881" w:rsidRPr="00051F8D">
        <w:rPr>
          <w:rFonts w:asciiTheme="minorHAnsi" w:hAnsiTheme="minorHAnsi" w:cstheme="minorHAnsi"/>
          <w:color w:val="2A2A2A"/>
          <w:shd w:val="clear" w:color="auto" w:fill="FFFFFF"/>
        </w:rPr>
        <w:t xml:space="preserve">A DRS is a group of records maintained by or for a HIPAA covered entity (e.g., physician or hospital) that is: 1) the medical records and billing records about individuals maintained by or for a covered health care provider; 2) the enrollment, payment, claims adjudication, and case or medical management record systems maintained by or for a health plan; or 3) used, in whole or in part, by or for the covered entity to make decisions about individuals. </w:t>
      </w:r>
    </w:p>
    <w:p w14:paraId="61A21579" w14:textId="221EBD2B" w:rsidR="005117C9" w:rsidRDefault="005117C9" w:rsidP="00397881">
      <w:pPr>
        <w:rPr>
          <w:rFonts w:asciiTheme="minorHAnsi" w:hAnsiTheme="minorHAnsi" w:cstheme="minorHAnsi"/>
          <w:color w:val="2A2A2A"/>
          <w:shd w:val="clear" w:color="auto" w:fill="FFFFFF"/>
        </w:rPr>
      </w:pPr>
    </w:p>
    <w:p w14:paraId="371D7B8E" w14:textId="32D205BB" w:rsidR="005117C9" w:rsidRDefault="005117C9" w:rsidP="005117C9">
      <w:pPr>
        <w:jc w:val="center"/>
      </w:pPr>
      <w:r>
        <w:lastRenderedPageBreak/>
        <w:fldChar w:fldCharType="begin"/>
      </w:r>
      <w:r>
        <w:instrText xml:space="preserve"> INCLUDEPICTURE "https://www.healthit.gov/buzz-blog/wp-content/uploads/2021/12/Understanding_EHI-Scope-Diagram-Full-2A.jpg"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B4A2942" wp14:editId="62AAFB86">
            <wp:extent cx="5152390" cy="3153086"/>
            <wp:effectExtent l="0" t="0" r="3810" b="0"/>
            <wp:docPr id="1" name="Picture 1" descr="Image describing how EHI relates to USCDI 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describing how EHI relates to USCDI V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718" cy="319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04BD7EA" w14:textId="438F893E" w:rsidR="005117C9" w:rsidRPr="00576927" w:rsidRDefault="005E45B2" w:rsidP="007F06F4">
      <w:pPr>
        <w:jc w:val="right"/>
        <w:rPr>
          <w:rFonts w:asciiTheme="minorHAnsi" w:hAnsiTheme="minorHAnsi" w:cstheme="minorHAnsi"/>
          <w:sz w:val="16"/>
          <w:szCs w:val="16"/>
        </w:rPr>
      </w:pPr>
      <w:r w:rsidRPr="00576927">
        <w:rPr>
          <w:rFonts w:asciiTheme="minorHAnsi" w:hAnsiTheme="minorHAnsi" w:cstheme="minorHAnsi"/>
          <w:sz w:val="16"/>
          <w:szCs w:val="16"/>
        </w:rPr>
        <w:t>Source</w:t>
      </w:r>
      <w:r w:rsidR="00576927" w:rsidRPr="00576927">
        <w:rPr>
          <w:rFonts w:asciiTheme="minorHAnsi" w:hAnsiTheme="minorHAnsi" w:cstheme="minorHAnsi"/>
          <w:sz w:val="16"/>
          <w:szCs w:val="16"/>
        </w:rPr>
        <w:t>: HHS</w:t>
      </w:r>
    </w:p>
    <w:p w14:paraId="7C3E90D1" w14:textId="59D821CE" w:rsidR="00C9736F" w:rsidRDefault="00C9736F" w:rsidP="00C9736F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A2A2A"/>
        </w:rPr>
      </w:pPr>
      <w:r w:rsidRPr="00C9736F">
        <w:rPr>
          <w:rFonts w:asciiTheme="minorHAnsi" w:hAnsiTheme="minorHAnsi" w:cstheme="minorHAnsi"/>
          <w:color w:val="2A2A2A"/>
        </w:rPr>
        <w:t xml:space="preserve">The EHI definition incorporates terms (ePHI and DRS) defined by </w:t>
      </w:r>
      <w:r w:rsidR="00051F8D">
        <w:rPr>
          <w:rFonts w:asciiTheme="minorHAnsi" w:hAnsiTheme="minorHAnsi" w:cstheme="minorHAnsi"/>
          <w:color w:val="2A2A2A"/>
        </w:rPr>
        <w:t xml:space="preserve">HIPAA. </w:t>
      </w:r>
      <w:r w:rsidRPr="00C9736F">
        <w:rPr>
          <w:rFonts w:asciiTheme="minorHAnsi" w:hAnsiTheme="minorHAnsi" w:cstheme="minorHAnsi"/>
          <w:color w:val="2A2A2A"/>
        </w:rPr>
        <w:t>The definition of EHI, however, specifically excludes </w:t>
      </w:r>
      <w:hyperlink r:id="rId12" w:anchor="164.501" w:history="1">
        <w:r w:rsidRPr="00C9736F">
          <w:rPr>
            <w:rStyle w:val="Hyperlink"/>
            <w:rFonts w:asciiTheme="minorHAnsi" w:hAnsiTheme="minorHAnsi" w:cstheme="minorHAnsi"/>
          </w:rPr>
          <w:t>psychotherapy notes</w:t>
        </w:r>
      </w:hyperlink>
      <w:r w:rsidRPr="00C9736F">
        <w:rPr>
          <w:rFonts w:asciiTheme="minorHAnsi" w:hAnsiTheme="minorHAnsi" w:cstheme="minorHAnsi"/>
        </w:rPr>
        <w:t> </w:t>
      </w:r>
      <w:r w:rsidRPr="00C9736F">
        <w:rPr>
          <w:rFonts w:asciiTheme="minorHAnsi" w:hAnsiTheme="minorHAnsi" w:cstheme="minorHAnsi"/>
          <w:color w:val="2A2A2A"/>
        </w:rPr>
        <w:t>as defined in the HIPAA Rules and information compiled in anticipation of legal proceedings</w:t>
      </w:r>
      <w:r w:rsidR="00051F8D">
        <w:rPr>
          <w:rFonts w:asciiTheme="minorHAnsi" w:hAnsiTheme="minorHAnsi" w:cstheme="minorHAnsi"/>
          <w:color w:val="2A2A2A"/>
        </w:rPr>
        <w:t>.</w:t>
      </w:r>
      <w:r w:rsidRPr="00C9736F">
        <w:rPr>
          <w:rFonts w:asciiTheme="minorHAnsi" w:hAnsiTheme="minorHAnsi" w:cstheme="minorHAnsi"/>
          <w:color w:val="2A2A2A"/>
        </w:rPr>
        <w:t xml:space="preserve"> EHI relies on the electronic part of what the HIPAA Rules define as the DRS. </w:t>
      </w:r>
    </w:p>
    <w:p w14:paraId="0240673A" w14:textId="7E5D8C15" w:rsidR="007D193C" w:rsidRPr="00C9736F" w:rsidRDefault="007D193C" w:rsidP="00C9736F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A2A2A"/>
        </w:rPr>
      </w:pPr>
      <w:r>
        <w:rPr>
          <w:rFonts w:asciiTheme="minorHAnsi" w:hAnsiTheme="minorHAnsi" w:cstheme="minorHAnsi"/>
          <w:color w:val="2A2A2A"/>
        </w:rPr>
        <w:t>HHS has created several resources</w:t>
      </w:r>
      <w:r w:rsidR="00D81E02">
        <w:rPr>
          <w:rFonts w:asciiTheme="minorHAnsi" w:hAnsiTheme="minorHAnsi" w:cstheme="minorHAnsi"/>
          <w:color w:val="2A2A2A"/>
        </w:rPr>
        <w:t xml:space="preserve"> (</w:t>
      </w:r>
      <w:r w:rsidR="000B4E79">
        <w:rPr>
          <w:rFonts w:asciiTheme="minorHAnsi" w:hAnsiTheme="minorHAnsi" w:cstheme="minorHAnsi"/>
          <w:color w:val="2A2A2A"/>
        </w:rPr>
        <w:t>listed</w:t>
      </w:r>
      <w:r w:rsidR="00D81E02">
        <w:rPr>
          <w:rFonts w:asciiTheme="minorHAnsi" w:hAnsiTheme="minorHAnsi" w:cstheme="minorHAnsi"/>
          <w:color w:val="2A2A2A"/>
        </w:rPr>
        <w:t xml:space="preserve"> below)</w:t>
      </w:r>
      <w:r>
        <w:rPr>
          <w:rFonts w:asciiTheme="minorHAnsi" w:hAnsiTheme="minorHAnsi" w:cstheme="minorHAnsi"/>
          <w:color w:val="2A2A2A"/>
        </w:rPr>
        <w:t xml:space="preserve"> to assist in better understanding EHI. However, </w:t>
      </w:r>
      <w:r w:rsidR="00B8034D">
        <w:rPr>
          <w:rFonts w:asciiTheme="minorHAnsi" w:hAnsiTheme="minorHAnsi" w:cstheme="minorHAnsi"/>
          <w:color w:val="2A2A2A"/>
        </w:rPr>
        <w:t xml:space="preserve">there is </w:t>
      </w:r>
      <w:r w:rsidR="003C5845">
        <w:rPr>
          <w:rFonts w:asciiTheme="minorHAnsi" w:hAnsiTheme="minorHAnsi" w:cstheme="minorHAnsi"/>
          <w:color w:val="2A2A2A"/>
        </w:rPr>
        <w:t>not a</w:t>
      </w:r>
      <w:r w:rsidR="00B8034D">
        <w:rPr>
          <w:rFonts w:asciiTheme="minorHAnsi" w:hAnsiTheme="minorHAnsi" w:cstheme="minorHAnsi"/>
          <w:color w:val="2A2A2A"/>
        </w:rPr>
        <w:t xml:space="preserve"> consensus across Actors, individuals, </w:t>
      </w:r>
      <w:r w:rsidR="001D5D48">
        <w:rPr>
          <w:rFonts w:asciiTheme="minorHAnsi" w:hAnsiTheme="minorHAnsi" w:cstheme="minorHAnsi"/>
          <w:color w:val="2A2A2A"/>
        </w:rPr>
        <w:t>and</w:t>
      </w:r>
      <w:r w:rsidR="00B8034D">
        <w:rPr>
          <w:rFonts w:asciiTheme="minorHAnsi" w:hAnsiTheme="minorHAnsi" w:cstheme="minorHAnsi"/>
          <w:color w:val="2A2A2A"/>
        </w:rPr>
        <w:t xml:space="preserve"> </w:t>
      </w:r>
      <w:r w:rsidR="00B5310C">
        <w:rPr>
          <w:rFonts w:asciiTheme="minorHAnsi" w:hAnsiTheme="minorHAnsi" w:cstheme="minorHAnsi"/>
          <w:color w:val="2A2A2A"/>
        </w:rPr>
        <w:t>other EHI requestors</w:t>
      </w:r>
      <w:r w:rsidR="00B8034D">
        <w:rPr>
          <w:rFonts w:asciiTheme="minorHAnsi" w:hAnsiTheme="minorHAnsi" w:cstheme="minorHAnsi"/>
          <w:color w:val="2A2A2A"/>
        </w:rPr>
        <w:t xml:space="preserve"> </w:t>
      </w:r>
      <w:r w:rsidR="00400979">
        <w:rPr>
          <w:rFonts w:asciiTheme="minorHAnsi" w:hAnsiTheme="minorHAnsi" w:cstheme="minorHAnsi"/>
          <w:color w:val="2A2A2A"/>
        </w:rPr>
        <w:t>about the</w:t>
      </w:r>
      <w:r w:rsidR="00B8034D">
        <w:rPr>
          <w:rFonts w:asciiTheme="minorHAnsi" w:hAnsiTheme="minorHAnsi" w:cstheme="minorHAnsi"/>
          <w:color w:val="2A2A2A"/>
        </w:rPr>
        <w:t xml:space="preserve"> definition of EHI</w:t>
      </w:r>
      <w:r w:rsidR="0045727F">
        <w:rPr>
          <w:rFonts w:asciiTheme="minorHAnsi" w:hAnsiTheme="minorHAnsi" w:cstheme="minorHAnsi"/>
          <w:color w:val="2A2A2A"/>
        </w:rPr>
        <w:t xml:space="preserve"> </w:t>
      </w:r>
      <w:r w:rsidR="008F0717">
        <w:rPr>
          <w:rFonts w:asciiTheme="minorHAnsi" w:hAnsiTheme="minorHAnsi" w:cstheme="minorHAnsi"/>
          <w:color w:val="2A2A2A"/>
        </w:rPr>
        <w:t>nor</w:t>
      </w:r>
      <w:r w:rsidR="00AD6EB3">
        <w:rPr>
          <w:rFonts w:asciiTheme="minorHAnsi" w:hAnsiTheme="minorHAnsi" w:cstheme="minorHAnsi"/>
          <w:color w:val="2A2A2A"/>
        </w:rPr>
        <w:t xml:space="preserve"> is there widespread availability of the </w:t>
      </w:r>
      <w:r w:rsidR="003C5845">
        <w:rPr>
          <w:rFonts w:asciiTheme="minorHAnsi" w:hAnsiTheme="minorHAnsi" w:cstheme="minorHAnsi"/>
          <w:color w:val="2A2A2A"/>
        </w:rPr>
        <w:t>technologies needed</w:t>
      </w:r>
      <w:r w:rsidR="00386E1C">
        <w:rPr>
          <w:rFonts w:asciiTheme="minorHAnsi" w:hAnsiTheme="minorHAnsi" w:cstheme="minorHAnsi"/>
          <w:color w:val="2A2A2A"/>
        </w:rPr>
        <w:t xml:space="preserve"> to support EHI access</w:t>
      </w:r>
      <w:r w:rsidR="00EB4D38">
        <w:rPr>
          <w:rFonts w:asciiTheme="minorHAnsi" w:hAnsiTheme="minorHAnsi" w:cstheme="minorHAnsi"/>
          <w:color w:val="2A2A2A"/>
        </w:rPr>
        <w:t>,</w:t>
      </w:r>
      <w:r w:rsidR="00386E1C">
        <w:rPr>
          <w:rFonts w:asciiTheme="minorHAnsi" w:hAnsiTheme="minorHAnsi" w:cstheme="minorHAnsi"/>
          <w:color w:val="2A2A2A"/>
        </w:rPr>
        <w:t xml:space="preserve"> exchange,</w:t>
      </w:r>
      <w:r w:rsidR="00EB4D38">
        <w:rPr>
          <w:rFonts w:asciiTheme="minorHAnsi" w:hAnsiTheme="minorHAnsi" w:cstheme="minorHAnsi"/>
          <w:color w:val="2A2A2A"/>
        </w:rPr>
        <w:t xml:space="preserve"> or</w:t>
      </w:r>
      <w:r w:rsidR="00386E1C">
        <w:rPr>
          <w:rFonts w:asciiTheme="minorHAnsi" w:hAnsiTheme="minorHAnsi" w:cstheme="minorHAnsi"/>
          <w:color w:val="2A2A2A"/>
        </w:rPr>
        <w:t xml:space="preserve"> use. </w:t>
      </w:r>
      <w:r w:rsidR="00DC41B3">
        <w:rPr>
          <w:rFonts w:asciiTheme="minorHAnsi" w:hAnsiTheme="minorHAnsi" w:cstheme="minorHAnsi"/>
          <w:color w:val="2A2A2A"/>
        </w:rPr>
        <w:t>HHS has</w:t>
      </w:r>
      <w:r w:rsidR="00E50F17">
        <w:rPr>
          <w:rFonts w:asciiTheme="minorHAnsi" w:hAnsiTheme="minorHAnsi" w:cstheme="minorHAnsi"/>
          <w:color w:val="2A2A2A"/>
        </w:rPr>
        <w:t xml:space="preserve"> </w:t>
      </w:r>
      <w:r w:rsidR="00DC41B3">
        <w:rPr>
          <w:rFonts w:asciiTheme="minorHAnsi" w:hAnsiTheme="minorHAnsi" w:cstheme="minorHAnsi"/>
          <w:color w:val="2A2A2A"/>
        </w:rPr>
        <w:t xml:space="preserve">created </w:t>
      </w:r>
      <w:hyperlink r:id="rId13" w:history="1">
        <w:r w:rsidR="00DC41B3" w:rsidRPr="00683A07">
          <w:rPr>
            <w:rStyle w:val="Hyperlink"/>
            <w:rFonts w:asciiTheme="minorHAnsi" w:hAnsiTheme="minorHAnsi" w:cstheme="minorHAnsi"/>
          </w:rPr>
          <w:t>several exceptions</w:t>
        </w:r>
      </w:hyperlink>
      <w:r w:rsidR="00DC41B3">
        <w:rPr>
          <w:rFonts w:asciiTheme="minorHAnsi" w:hAnsiTheme="minorHAnsi" w:cstheme="minorHAnsi"/>
          <w:color w:val="2A2A2A"/>
        </w:rPr>
        <w:t xml:space="preserve"> for situations where </w:t>
      </w:r>
      <w:r w:rsidR="000F375A">
        <w:rPr>
          <w:rFonts w:asciiTheme="minorHAnsi" w:hAnsiTheme="minorHAnsi" w:cstheme="minorHAnsi"/>
          <w:color w:val="2A2A2A"/>
        </w:rPr>
        <w:t>an Actor</w:t>
      </w:r>
      <w:r w:rsidR="00DC41B3">
        <w:rPr>
          <w:rFonts w:asciiTheme="minorHAnsi" w:hAnsiTheme="minorHAnsi" w:cstheme="minorHAnsi"/>
          <w:color w:val="2A2A2A"/>
        </w:rPr>
        <w:t xml:space="preserve"> cannot or should not release EHI. </w:t>
      </w:r>
      <w:r w:rsidR="006B6600">
        <w:rPr>
          <w:rFonts w:asciiTheme="minorHAnsi" w:hAnsiTheme="minorHAnsi" w:cstheme="minorHAnsi"/>
          <w:color w:val="2A2A2A"/>
        </w:rPr>
        <w:t xml:space="preserve">While it is important to understand each </w:t>
      </w:r>
      <w:r w:rsidR="007B2DB7">
        <w:rPr>
          <w:rFonts w:asciiTheme="minorHAnsi" w:hAnsiTheme="minorHAnsi" w:cstheme="minorHAnsi"/>
          <w:color w:val="2A2A2A"/>
        </w:rPr>
        <w:t>of these exceptions</w:t>
      </w:r>
      <w:r w:rsidR="006B6600">
        <w:rPr>
          <w:rFonts w:asciiTheme="minorHAnsi" w:hAnsiTheme="minorHAnsi" w:cstheme="minorHAnsi"/>
          <w:color w:val="2A2A2A"/>
        </w:rPr>
        <w:t xml:space="preserve"> fully, </w:t>
      </w:r>
      <w:r w:rsidR="00CF1344">
        <w:rPr>
          <w:rFonts w:asciiTheme="minorHAnsi" w:hAnsiTheme="minorHAnsi" w:cstheme="minorHAnsi"/>
          <w:color w:val="2A2A2A"/>
        </w:rPr>
        <w:t xml:space="preserve">the </w:t>
      </w:r>
      <w:r w:rsidR="00F47422">
        <w:rPr>
          <w:rFonts w:asciiTheme="minorHAnsi" w:hAnsiTheme="minorHAnsi" w:cstheme="minorHAnsi"/>
          <w:color w:val="2A2A2A"/>
        </w:rPr>
        <w:t>“</w:t>
      </w:r>
      <w:r w:rsidR="00462BED">
        <w:rPr>
          <w:rFonts w:asciiTheme="minorHAnsi" w:hAnsiTheme="minorHAnsi" w:cstheme="minorHAnsi"/>
          <w:color w:val="2A2A2A"/>
        </w:rPr>
        <w:t>Infeasibility” and “</w:t>
      </w:r>
      <w:r w:rsidR="00632A45">
        <w:rPr>
          <w:rFonts w:asciiTheme="minorHAnsi" w:hAnsiTheme="minorHAnsi" w:cstheme="minorHAnsi"/>
          <w:color w:val="2A2A2A"/>
        </w:rPr>
        <w:t>Content and Manner” exceptions</w:t>
      </w:r>
      <w:r w:rsidR="00AE229C">
        <w:rPr>
          <w:rFonts w:asciiTheme="minorHAnsi" w:hAnsiTheme="minorHAnsi" w:cstheme="minorHAnsi"/>
          <w:color w:val="2A2A2A"/>
        </w:rPr>
        <w:t xml:space="preserve"> will likely</w:t>
      </w:r>
      <w:r w:rsidR="002B6746">
        <w:rPr>
          <w:rFonts w:asciiTheme="minorHAnsi" w:hAnsiTheme="minorHAnsi" w:cstheme="minorHAnsi"/>
          <w:color w:val="2A2A2A"/>
        </w:rPr>
        <w:t xml:space="preserve"> a</w:t>
      </w:r>
      <w:r w:rsidR="00AE229C">
        <w:rPr>
          <w:rFonts w:asciiTheme="minorHAnsi" w:hAnsiTheme="minorHAnsi" w:cstheme="minorHAnsi"/>
          <w:color w:val="2A2A2A"/>
        </w:rPr>
        <w:t xml:space="preserve"> play major role when you or your EHR cannot provide the full EHI</w:t>
      </w:r>
      <w:r w:rsidR="00AD6EB3">
        <w:rPr>
          <w:rFonts w:asciiTheme="minorHAnsi" w:hAnsiTheme="minorHAnsi" w:cstheme="minorHAnsi"/>
          <w:color w:val="2A2A2A"/>
        </w:rPr>
        <w:t xml:space="preserve"> to a requestor</w:t>
      </w:r>
      <w:r w:rsidR="000F375A">
        <w:rPr>
          <w:rFonts w:asciiTheme="minorHAnsi" w:hAnsiTheme="minorHAnsi" w:cstheme="minorHAnsi"/>
          <w:color w:val="2A2A2A"/>
        </w:rPr>
        <w:t>,</w:t>
      </w:r>
      <w:r w:rsidR="00047373">
        <w:rPr>
          <w:rFonts w:asciiTheme="minorHAnsi" w:hAnsiTheme="minorHAnsi" w:cstheme="minorHAnsi"/>
          <w:color w:val="2A2A2A"/>
        </w:rPr>
        <w:t xml:space="preserve"> or if there is a discrepancy </w:t>
      </w:r>
      <w:r w:rsidR="00CB06A4">
        <w:rPr>
          <w:rFonts w:asciiTheme="minorHAnsi" w:hAnsiTheme="minorHAnsi" w:cstheme="minorHAnsi"/>
          <w:color w:val="2A2A2A"/>
        </w:rPr>
        <w:t xml:space="preserve">the </w:t>
      </w:r>
      <w:r w:rsidR="00494A4F">
        <w:rPr>
          <w:rFonts w:asciiTheme="minorHAnsi" w:hAnsiTheme="minorHAnsi" w:cstheme="minorHAnsi"/>
          <w:color w:val="2A2A2A"/>
        </w:rPr>
        <w:t>interpretation</w:t>
      </w:r>
      <w:r w:rsidR="00CB06A4">
        <w:rPr>
          <w:rFonts w:asciiTheme="minorHAnsi" w:hAnsiTheme="minorHAnsi" w:cstheme="minorHAnsi"/>
          <w:color w:val="2A2A2A"/>
        </w:rPr>
        <w:t xml:space="preserve"> of </w:t>
      </w:r>
      <w:r w:rsidR="00047373">
        <w:rPr>
          <w:rFonts w:asciiTheme="minorHAnsi" w:hAnsiTheme="minorHAnsi" w:cstheme="minorHAnsi"/>
          <w:color w:val="2A2A2A"/>
        </w:rPr>
        <w:t>EHI.</w:t>
      </w:r>
    </w:p>
    <w:p w14:paraId="209AD17F" w14:textId="0FEAA4B6" w:rsidR="005500FF" w:rsidRDefault="00051F8D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051F8D">
        <w:rPr>
          <w:rFonts w:asciiTheme="minorHAnsi" w:hAnsiTheme="minorHAnsi" w:cstheme="minorHAnsi"/>
          <w:b/>
          <w:bCs/>
          <w:sz w:val="32"/>
          <w:szCs w:val="32"/>
        </w:rPr>
        <w:t>What does this mean for me and my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medical</w:t>
      </w:r>
      <w:r w:rsidRPr="00051F8D">
        <w:rPr>
          <w:rFonts w:asciiTheme="minorHAnsi" w:hAnsiTheme="minorHAnsi" w:cstheme="minorHAnsi"/>
          <w:b/>
          <w:bCs/>
          <w:sz w:val="32"/>
          <w:szCs w:val="32"/>
        </w:rPr>
        <w:t xml:space="preserve"> practice?</w:t>
      </w:r>
    </w:p>
    <w:p w14:paraId="37BD905E" w14:textId="7E582D1A" w:rsidR="00051F8D" w:rsidRDefault="00051F8D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17C73F2D" w14:textId="17966937" w:rsidR="00051F8D" w:rsidRDefault="00A10C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first step is to make sure your practice has implemented a process to evaluate and comply with the </w:t>
      </w:r>
      <w:r w:rsidR="00F23D57">
        <w:rPr>
          <w:rFonts w:asciiTheme="minorHAnsi" w:hAnsiTheme="minorHAnsi" w:cstheme="minorHAnsi"/>
        </w:rPr>
        <w:t>information blocking requirements</w:t>
      </w:r>
      <w:r>
        <w:rPr>
          <w:rFonts w:asciiTheme="minorHAnsi" w:hAnsiTheme="minorHAnsi" w:cstheme="minorHAnsi"/>
        </w:rPr>
        <w:t xml:space="preserve">. The AMA has created a </w:t>
      </w:r>
      <w:hyperlink r:id="rId14" w:history="1">
        <w:r w:rsidRPr="00E53289">
          <w:rPr>
            <w:rStyle w:val="Hyperlink"/>
            <w:rFonts w:asciiTheme="minorHAnsi" w:hAnsiTheme="minorHAnsi" w:cstheme="minorHAnsi"/>
          </w:rPr>
          <w:t>two-part educational resource</w:t>
        </w:r>
      </w:hyperlink>
      <w:r>
        <w:rPr>
          <w:rFonts w:asciiTheme="minorHAnsi" w:hAnsiTheme="minorHAnsi" w:cstheme="minorHAnsi"/>
        </w:rPr>
        <w:t xml:space="preserve"> to help you understand </w:t>
      </w:r>
      <w:r w:rsidR="00023089">
        <w:rPr>
          <w:rFonts w:asciiTheme="minorHAnsi" w:hAnsiTheme="minorHAnsi" w:cstheme="minorHAnsi"/>
        </w:rPr>
        <w:t xml:space="preserve">what information blocking is and how to comply. The AMA has also </w:t>
      </w:r>
      <w:hyperlink r:id="rId15" w:history="1">
        <w:r w:rsidR="00023089" w:rsidRPr="001B7D72">
          <w:rPr>
            <w:rStyle w:val="Hyperlink"/>
            <w:rFonts w:asciiTheme="minorHAnsi" w:hAnsiTheme="minorHAnsi" w:cstheme="minorHAnsi"/>
          </w:rPr>
          <w:t>created a</w:t>
        </w:r>
        <w:r w:rsidR="004426C8" w:rsidRPr="001B7D72">
          <w:rPr>
            <w:rStyle w:val="Hyperlink"/>
            <w:rFonts w:asciiTheme="minorHAnsi" w:hAnsiTheme="minorHAnsi" w:cstheme="minorHAnsi"/>
          </w:rPr>
          <w:t xml:space="preserve"> learning module</w:t>
        </w:r>
      </w:hyperlink>
      <w:r w:rsidR="004426C8">
        <w:rPr>
          <w:rFonts w:asciiTheme="minorHAnsi" w:hAnsiTheme="minorHAnsi" w:cstheme="minorHAnsi"/>
        </w:rPr>
        <w:t xml:space="preserve"> that provides </w:t>
      </w:r>
      <w:r w:rsidR="008C30CD">
        <w:rPr>
          <w:rFonts w:asciiTheme="minorHAnsi" w:hAnsiTheme="minorHAnsi" w:cstheme="minorHAnsi"/>
        </w:rPr>
        <w:t>c</w:t>
      </w:r>
      <w:r w:rsidR="008C30CD" w:rsidRPr="00FA78D5">
        <w:rPr>
          <w:rFonts w:asciiTheme="minorHAnsi" w:hAnsiTheme="minorHAnsi" w:cstheme="minorHAnsi"/>
        </w:rPr>
        <w:t xml:space="preserve">ontinuing medical education </w:t>
      </w:r>
      <w:r w:rsidR="008C30CD">
        <w:rPr>
          <w:rFonts w:asciiTheme="minorHAnsi" w:hAnsiTheme="minorHAnsi" w:cstheme="minorHAnsi"/>
        </w:rPr>
        <w:t xml:space="preserve">(CME) </w:t>
      </w:r>
      <w:r w:rsidR="004426C8">
        <w:rPr>
          <w:rFonts w:asciiTheme="minorHAnsi" w:hAnsiTheme="minorHAnsi" w:cstheme="minorHAnsi"/>
        </w:rPr>
        <w:t xml:space="preserve">credit. </w:t>
      </w:r>
    </w:p>
    <w:p w14:paraId="3C4AA5DD" w14:textId="16C9D918" w:rsidR="0092629A" w:rsidRDefault="0092629A">
      <w:pPr>
        <w:rPr>
          <w:rFonts w:asciiTheme="minorHAnsi" w:hAnsiTheme="minorHAnsi" w:cstheme="minorHAnsi"/>
        </w:rPr>
      </w:pPr>
    </w:p>
    <w:p w14:paraId="589A2C5C" w14:textId="632EE71B" w:rsidR="0092629A" w:rsidRDefault="008039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Second</w:t>
      </w:r>
      <w:r w:rsidR="00E53289">
        <w:rPr>
          <w:rFonts w:asciiTheme="minorHAnsi" w:hAnsiTheme="minorHAnsi" w:cstheme="minorHAnsi"/>
        </w:rPr>
        <w:t>, y</w:t>
      </w:r>
      <w:r w:rsidR="0092629A">
        <w:rPr>
          <w:rFonts w:asciiTheme="minorHAnsi" w:hAnsiTheme="minorHAnsi" w:cstheme="minorHAnsi"/>
        </w:rPr>
        <w:t xml:space="preserve">ou are not alone. Your EHR vendor is </w:t>
      </w:r>
      <w:r>
        <w:rPr>
          <w:rFonts w:asciiTheme="minorHAnsi" w:hAnsiTheme="minorHAnsi" w:cstheme="minorHAnsi"/>
        </w:rPr>
        <w:t xml:space="preserve">also </w:t>
      </w:r>
      <w:r w:rsidR="0092629A">
        <w:rPr>
          <w:rFonts w:asciiTheme="minorHAnsi" w:hAnsiTheme="minorHAnsi" w:cstheme="minorHAnsi"/>
        </w:rPr>
        <w:t xml:space="preserve">an Actor under the information blocking </w:t>
      </w:r>
      <w:r w:rsidR="000E6EB3">
        <w:rPr>
          <w:rFonts w:asciiTheme="minorHAnsi" w:hAnsiTheme="minorHAnsi" w:cstheme="minorHAnsi"/>
        </w:rPr>
        <w:t>regulation</w:t>
      </w:r>
      <w:r w:rsidR="00A52797">
        <w:rPr>
          <w:rFonts w:asciiTheme="minorHAnsi" w:hAnsiTheme="minorHAnsi" w:cstheme="minorHAnsi"/>
        </w:rPr>
        <w:t>s</w:t>
      </w:r>
      <w:r w:rsidR="000E6EB3">
        <w:rPr>
          <w:rFonts w:asciiTheme="minorHAnsi" w:hAnsiTheme="minorHAnsi" w:cstheme="minorHAnsi"/>
        </w:rPr>
        <w:t>. Since April 202</w:t>
      </w:r>
      <w:r w:rsidR="00F611A5">
        <w:rPr>
          <w:rFonts w:asciiTheme="minorHAnsi" w:hAnsiTheme="minorHAnsi" w:cstheme="minorHAnsi"/>
        </w:rPr>
        <w:t>1</w:t>
      </w:r>
      <w:r w:rsidR="000E6EB3">
        <w:rPr>
          <w:rFonts w:asciiTheme="minorHAnsi" w:hAnsiTheme="minorHAnsi" w:cstheme="minorHAnsi"/>
        </w:rPr>
        <w:t xml:space="preserve">, your EHR vendor should have enabled you, your patients, and other requestors </w:t>
      </w:r>
      <w:r>
        <w:rPr>
          <w:rFonts w:asciiTheme="minorHAnsi" w:hAnsiTheme="minorHAnsi" w:cstheme="minorHAnsi"/>
        </w:rPr>
        <w:t xml:space="preserve">to </w:t>
      </w:r>
      <w:r w:rsidR="000E6EB3">
        <w:rPr>
          <w:rFonts w:asciiTheme="minorHAnsi" w:hAnsiTheme="minorHAnsi" w:cstheme="minorHAnsi"/>
        </w:rPr>
        <w:t xml:space="preserve">access </w:t>
      </w:r>
      <w:r>
        <w:rPr>
          <w:rFonts w:asciiTheme="minorHAnsi" w:hAnsiTheme="minorHAnsi" w:cstheme="minorHAnsi"/>
        </w:rPr>
        <w:t xml:space="preserve">at </w:t>
      </w:r>
      <w:r w:rsidR="000E6EB3">
        <w:rPr>
          <w:rFonts w:asciiTheme="minorHAnsi" w:hAnsiTheme="minorHAnsi" w:cstheme="minorHAnsi"/>
        </w:rPr>
        <w:t>least the USCDI.</w:t>
      </w:r>
      <w:r w:rsidR="00A470D0">
        <w:rPr>
          <w:rFonts w:asciiTheme="minorHAnsi" w:hAnsiTheme="minorHAnsi" w:cstheme="minorHAnsi"/>
        </w:rPr>
        <w:t xml:space="preserve"> By December 31</w:t>
      </w:r>
      <w:r w:rsidR="00B73D4B" w:rsidRPr="00B73D4B">
        <w:rPr>
          <w:rFonts w:asciiTheme="minorHAnsi" w:hAnsiTheme="minorHAnsi" w:cstheme="minorHAnsi"/>
          <w:vertAlign w:val="superscript"/>
        </w:rPr>
        <w:t>st</w:t>
      </w:r>
      <w:r w:rsidR="00A470D0">
        <w:rPr>
          <w:rFonts w:asciiTheme="minorHAnsi" w:hAnsiTheme="minorHAnsi" w:cstheme="minorHAnsi"/>
        </w:rPr>
        <w:t xml:space="preserve">, 2022, all EHRs are required to provide their customers new technology that better enables access to EHI. </w:t>
      </w:r>
      <w:r w:rsidR="004D1CA1">
        <w:rPr>
          <w:rFonts w:asciiTheme="minorHAnsi" w:hAnsiTheme="minorHAnsi" w:cstheme="minorHAnsi"/>
        </w:rPr>
        <w:t xml:space="preserve">Your EHR vendor </w:t>
      </w:r>
      <w:r w:rsidR="00E75B1B">
        <w:rPr>
          <w:rFonts w:asciiTheme="minorHAnsi" w:hAnsiTheme="minorHAnsi" w:cstheme="minorHAnsi"/>
        </w:rPr>
        <w:t xml:space="preserve">is </w:t>
      </w:r>
      <w:r w:rsidR="00E75B1B">
        <w:rPr>
          <w:rFonts w:asciiTheme="minorHAnsi" w:hAnsiTheme="minorHAnsi" w:cstheme="minorHAnsi"/>
        </w:rPr>
        <w:lastRenderedPageBreak/>
        <w:t>also likely</w:t>
      </w:r>
      <w:r w:rsidR="004D1CA1">
        <w:rPr>
          <w:rFonts w:asciiTheme="minorHAnsi" w:hAnsiTheme="minorHAnsi" w:cstheme="minorHAnsi"/>
        </w:rPr>
        <w:t xml:space="preserve"> </w:t>
      </w:r>
      <w:r w:rsidR="00FD1E96">
        <w:rPr>
          <w:rFonts w:asciiTheme="minorHAnsi" w:hAnsiTheme="minorHAnsi" w:cstheme="minorHAnsi"/>
        </w:rPr>
        <w:t>planning</w:t>
      </w:r>
      <w:r w:rsidR="004D1CA1">
        <w:rPr>
          <w:rFonts w:asciiTheme="minorHAnsi" w:hAnsiTheme="minorHAnsi" w:cstheme="minorHAnsi"/>
        </w:rPr>
        <w:t xml:space="preserve"> for the </w:t>
      </w:r>
      <w:r w:rsidR="00FD1E96">
        <w:rPr>
          <w:rFonts w:asciiTheme="minorHAnsi" w:hAnsiTheme="minorHAnsi" w:cstheme="minorHAnsi"/>
        </w:rPr>
        <w:t>full EHI requirement</w:t>
      </w:r>
      <w:r w:rsidR="005B5DBD">
        <w:rPr>
          <w:rFonts w:asciiTheme="minorHAnsi" w:hAnsiTheme="minorHAnsi" w:cstheme="minorHAnsi"/>
        </w:rPr>
        <w:t xml:space="preserve"> in October</w:t>
      </w:r>
      <w:r w:rsidR="00FD1E96">
        <w:rPr>
          <w:rFonts w:asciiTheme="minorHAnsi" w:hAnsiTheme="minorHAnsi" w:cstheme="minorHAnsi"/>
        </w:rPr>
        <w:t xml:space="preserve">. </w:t>
      </w:r>
      <w:r w:rsidR="00A470D0">
        <w:rPr>
          <w:rFonts w:asciiTheme="minorHAnsi" w:hAnsiTheme="minorHAnsi" w:cstheme="minorHAnsi"/>
        </w:rPr>
        <w:t xml:space="preserve">In addition to reviewing your information blocking compliance policies and procedures, </w:t>
      </w:r>
      <w:r w:rsidR="005B5DBD">
        <w:rPr>
          <w:rFonts w:asciiTheme="minorHAnsi" w:hAnsiTheme="minorHAnsi" w:cstheme="minorHAnsi"/>
        </w:rPr>
        <w:t xml:space="preserve">you should </w:t>
      </w:r>
      <w:r w:rsidR="002D49C9">
        <w:rPr>
          <w:rFonts w:asciiTheme="minorHAnsi" w:hAnsiTheme="minorHAnsi" w:cstheme="minorHAnsi"/>
        </w:rPr>
        <w:t>contact</w:t>
      </w:r>
      <w:r w:rsidR="00A470D0">
        <w:rPr>
          <w:rFonts w:asciiTheme="minorHAnsi" w:hAnsiTheme="minorHAnsi" w:cstheme="minorHAnsi"/>
        </w:rPr>
        <w:t xml:space="preserve"> your EHR vendor </w:t>
      </w:r>
      <w:r w:rsidR="00B73D4B">
        <w:rPr>
          <w:rFonts w:asciiTheme="minorHAnsi" w:hAnsiTheme="minorHAnsi" w:cstheme="minorHAnsi"/>
        </w:rPr>
        <w:t xml:space="preserve">to find out how they are preparing to assist you and your practice </w:t>
      </w:r>
      <w:r w:rsidR="005B5DBD">
        <w:rPr>
          <w:rFonts w:asciiTheme="minorHAnsi" w:hAnsiTheme="minorHAnsi" w:cstheme="minorHAnsi"/>
        </w:rPr>
        <w:t>in</w:t>
      </w:r>
      <w:r w:rsidR="00B73D4B">
        <w:rPr>
          <w:rFonts w:asciiTheme="minorHAnsi" w:hAnsiTheme="minorHAnsi" w:cstheme="minorHAnsi"/>
        </w:rPr>
        <w:t xml:space="preserve"> meet</w:t>
      </w:r>
      <w:r w:rsidR="005B5DBD">
        <w:rPr>
          <w:rFonts w:asciiTheme="minorHAnsi" w:hAnsiTheme="minorHAnsi" w:cstheme="minorHAnsi"/>
        </w:rPr>
        <w:t>ing</w:t>
      </w:r>
      <w:r w:rsidR="00B73D4B">
        <w:rPr>
          <w:rFonts w:asciiTheme="minorHAnsi" w:hAnsiTheme="minorHAnsi" w:cstheme="minorHAnsi"/>
        </w:rPr>
        <w:t xml:space="preserve"> the October 6</w:t>
      </w:r>
      <w:r w:rsidR="007054A8">
        <w:rPr>
          <w:rFonts w:asciiTheme="minorHAnsi" w:hAnsiTheme="minorHAnsi" w:cstheme="minorHAnsi"/>
          <w:vertAlign w:val="superscript"/>
        </w:rPr>
        <w:t xml:space="preserve"> </w:t>
      </w:r>
      <w:r w:rsidR="0003226D">
        <w:rPr>
          <w:rFonts w:asciiTheme="minorHAnsi" w:hAnsiTheme="minorHAnsi" w:cstheme="minorHAnsi"/>
        </w:rPr>
        <w:t xml:space="preserve">EHI deadline. </w:t>
      </w:r>
    </w:p>
    <w:p w14:paraId="04C644A7" w14:textId="45447018" w:rsidR="0003226D" w:rsidRDefault="0003226D">
      <w:pPr>
        <w:rPr>
          <w:rFonts w:asciiTheme="minorHAnsi" w:hAnsiTheme="minorHAnsi" w:cstheme="minorHAnsi"/>
        </w:rPr>
      </w:pPr>
    </w:p>
    <w:p w14:paraId="6D8D0FC0" w14:textId="10B822D2" w:rsidR="0003226D" w:rsidRDefault="007D19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Due to the complexity of HHS’ regulation and lack of clarity around EHI, i</w:t>
      </w:r>
      <w:r w:rsidR="0003226D">
        <w:rPr>
          <w:rFonts w:asciiTheme="minorHAnsi" w:hAnsiTheme="minorHAnsi" w:cstheme="minorHAnsi"/>
        </w:rPr>
        <w:t xml:space="preserve">t is likely that each Actor, e.g., physician practice, EHR vendor, hospital, etc., will </w:t>
      </w:r>
      <w:r>
        <w:rPr>
          <w:rFonts w:asciiTheme="minorHAnsi" w:hAnsiTheme="minorHAnsi" w:cstheme="minorHAnsi"/>
        </w:rPr>
        <w:t>interpret</w:t>
      </w:r>
      <w:r w:rsidR="0003226D">
        <w:rPr>
          <w:rFonts w:asciiTheme="minorHAnsi" w:hAnsiTheme="minorHAnsi" w:cstheme="minorHAnsi"/>
        </w:rPr>
        <w:t xml:space="preserve"> </w:t>
      </w:r>
      <w:r w:rsidR="00287DC8">
        <w:rPr>
          <w:rFonts w:asciiTheme="minorHAnsi" w:hAnsiTheme="minorHAnsi" w:cstheme="minorHAnsi"/>
        </w:rPr>
        <w:t xml:space="preserve">EHI differently. </w:t>
      </w:r>
      <w:r w:rsidR="0018298D">
        <w:rPr>
          <w:rFonts w:asciiTheme="minorHAnsi" w:hAnsiTheme="minorHAnsi" w:cstheme="minorHAnsi"/>
        </w:rPr>
        <w:t>For instance, a</w:t>
      </w:r>
      <w:r w:rsidR="00E75B1B">
        <w:rPr>
          <w:rFonts w:asciiTheme="minorHAnsi" w:hAnsiTheme="minorHAnsi" w:cstheme="minorHAnsi"/>
        </w:rPr>
        <w:t xml:space="preserve"> hospital may request the full EHI on </w:t>
      </w:r>
      <w:r w:rsidR="00210CA4">
        <w:rPr>
          <w:rFonts w:asciiTheme="minorHAnsi" w:hAnsiTheme="minorHAnsi" w:cstheme="minorHAnsi"/>
        </w:rPr>
        <w:t xml:space="preserve">one of your patients but </w:t>
      </w:r>
      <w:r w:rsidR="0018298D">
        <w:rPr>
          <w:rFonts w:asciiTheme="minorHAnsi" w:hAnsiTheme="minorHAnsi" w:cstheme="minorHAnsi"/>
        </w:rPr>
        <w:t>expect</w:t>
      </w:r>
      <w:r w:rsidR="00210CA4">
        <w:rPr>
          <w:rFonts w:asciiTheme="minorHAnsi" w:hAnsiTheme="minorHAnsi" w:cstheme="minorHAnsi"/>
        </w:rPr>
        <w:t xml:space="preserve"> a </w:t>
      </w:r>
      <w:r w:rsidR="001F2F5F">
        <w:rPr>
          <w:rFonts w:asciiTheme="minorHAnsi" w:hAnsiTheme="minorHAnsi" w:cstheme="minorHAnsi"/>
        </w:rPr>
        <w:t xml:space="preserve">slightly </w:t>
      </w:r>
      <w:r w:rsidR="00210CA4">
        <w:rPr>
          <w:rFonts w:asciiTheme="minorHAnsi" w:hAnsiTheme="minorHAnsi" w:cstheme="minorHAnsi"/>
        </w:rPr>
        <w:t xml:space="preserve">different set of </w:t>
      </w:r>
      <w:r w:rsidR="00973E15">
        <w:rPr>
          <w:rFonts w:asciiTheme="minorHAnsi" w:hAnsiTheme="minorHAnsi" w:cstheme="minorHAnsi"/>
        </w:rPr>
        <w:t>records</w:t>
      </w:r>
      <w:r w:rsidR="00210CA4">
        <w:rPr>
          <w:rFonts w:asciiTheme="minorHAnsi" w:hAnsiTheme="minorHAnsi" w:cstheme="minorHAnsi"/>
        </w:rPr>
        <w:t xml:space="preserve"> </w:t>
      </w:r>
      <w:r w:rsidR="002D49C9">
        <w:rPr>
          <w:rFonts w:asciiTheme="minorHAnsi" w:hAnsiTheme="minorHAnsi" w:cstheme="minorHAnsi"/>
        </w:rPr>
        <w:t>than you</w:t>
      </w:r>
      <w:r w:rsidR="00210CA4">
        <w:rPr>
          <w:rFonts w:asciiTheme="minorHAnsi" w:hAnsiTheme="minorHAnsi" w:cstheme="minorHAnsi"/>
        </w:rPr>
        <w:t xml:space="preserve"> can make available. </w:t>
      </w:r>
      <w:r w:rsidR="00AF5CA9">
        <w:rPr>
          <w:rFonts w:asciiTheme="minorHAnsi" w:hAnsiTheme="minorHAnsi" w:cstheme="minorHAnsi"/>
        </w:rPr>
        <w:t>You may also see an increase in requests from patients seeking their EHI using</w:t>
      </w:r>
      <w:r w:rsidR="001F2F5F">
        <w:rPr>
          <w:rFonts w:asciiTheme="minorHAnsi" w:hAnsiTheme="minorHAnsi" w:cstheme="minorHAnsi"/>
        </w:rPr>
        <w:t xml:space="preserve"> personal</w:t>
      </w:r>
      <w:r w:rsidR="00AF5CA9">
        <w:rPr>
          <w:rFonts w:asciiTheme="minorHAnsi" w:hAnsiTheme="minorHAnsi" w:cstheme="minorHAnsi"/>
        </w:rPr>
        <w:t xml:space="preserve"> </w:t>
      </w:r>
      <w:r w:rsidR="002D49C9">
        <w:rPr>
          <w:rFonts w:asciiTheme="minorHAnsi" w:hAnsiTheme="minorHAnsi" w:cstheme="minorHAnsi"/>
        </w:rPr>
        <w:t xml:space="preserve">digital </w:t>
      </w:r>
      <w:r w:rsidR="001F2F5F">
        <w:rPr>
          <w:rFonts w:asciiTheme="minorHAnsi" w:hAnsiTheme="minorHAnsi" w:cstheme="minorHAnsi"/>
        </w:rPr>
        <w:t xml:space="preserve">health applications. </w:t>
      </w:r>
      <w:r w:rsidR="00784E50">
        <w:rPr>
          <w:rFonts w:asciiTheme="minorHAnsi" w:hAnsiTheme="minorHAnsi" w:cstheme="minorHAnsi"/>
        </w:rPr>
        <w:t xml:space="preserve">Make sure to raise this issue with your EHR vendor and consider developing policies and procedures at your medical practices </w:t>
      </w:r>
      <w:r w:rsidR="00A578B4">
        <w:rPr>
          <w:rFonts w:asciiTheme="minorHAnsi" w:hAnsiTheme="minorHAnsi" w:cstheme="minorHAnsi"/>
        </w:rPr>
        <w:t xml:space="preserve">to address this </w:t>
      </w:r>
      <w:r w:rsidR="00AD7DED">
        <w:rPr>
          <w:rFonts w:asciiTheme="minorHAnsi" w:hAnsiTheme="minorHAnsi" w:cstheme="minorHAnsi"/>
        </w:rPr>
        <w:t xml:space="preserve">issue </w:t>
      </w:r>
      <w:r w:rsidR="0018298D">
        <w:rPr>
          <w:rFonts w:asciiTheme="minorHAnsi" w:hAnsiTheme="minorHAnsi" w:cstheme="minorHAnsi"/>
        </w:rPr>
        <w:t>before</w:t>
      </w:r>
      <w:r w:rsidR="00A578B4">
        <w:rPr>
          <w:rFonts w:asciiTheme="minorHAnsi" w:hAnsiTheme="minorHAnsi" w:cstheme="minorHAnsi"/>
        </w:rPr>
        <w:t xml:space="preserve"> it comes up. </w:t>
      </w:r>
      <w:r w:rsidR="00973E15">
        <w:rPr>
          <w:rFonts w:asciiTheme="minorHAnsi" w:hAnsiTheme="minorHAnsi" w:cstheme="minorHAnsi"/>
        </w:rPr>
        <w:t xml:space="preserve">The AMA is actively engaged with HHS to </w:t>
      </w:r>
      <w:r w:rsidR="008A63CB">
        <w:rPr>
          <w:rFonts w:asciiTheme="minorHAnsi" w:hAnsiTheme="minorHAnsi" w:cstheme="minorHAnsi"/>
        </w:rPr>
        <w:t>address the shortcomings of its rules and is urging flexibility i</w:t>
      </w:r>
      <w:r w:rsidR="008F42D1">
        <w:rPr>
          <w:rFonts w:asciiTheme="minorHAnsi" w:hAnsiTheme="minorHAnsi" w:cstheme="minorHAnsi"/>
        </w:rPr>
        <w:t>n HHS’ enforcement of</w:t>
      </w:r>
      <w:r w:rsidR="008A63CB">
        <w:rPr>
          <w:rFonts w:asciiTheme="minorHAnsi" w:hAnsiTheme="minorHAnsi" w:cstheme="minorHAnsi"/>
        </w:rPr>
        <w:t xml:space="preserve"> </w:t>
      </w:r>
      <w:r w:rsidR="00252E4F">
        <w:rPr>
          <w:rFonts w:asciiTheme="minorHAnsi" w:hAnsiTheme="minorHAnsi" w:cstheme="minorHAnsi"/>
        </w:rPr>
        <w:t xml:space="preserve">information blocking. </w:t>
      </w:r>
    </w:p>
    <w:p w14:paraId="2729583E" w14:textId="782B14A5" w:rsidR="00844A52" w:rsidRDefault="00844A52">
      <w:pPr>
        <w:rPr>
          <w:rFonts w:asciiTheme="minorHAnsi" w:hAnsiTheme="minorHAnsi" w:cstheme="minorHAnsi"/>
        </w:rPr>
      </w:pPr>
    </w:p>
    <w:p w14:paraId="27C3E648" w14:textId="35C68F08" w:rsidR="00844A52" w:rsidRDefault="00844A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Below are resources to help you and your medical practice prepare for the upcoming EHI requirements. </w:t>
      </w:r>
    </w:p>
    <w:p w14:paraId="6FBD437D" w14:textId="4AD2F730" w:rsidR="00870B56" w:rsidRDefault="00870B56">
      <w:pPr>
        <w:rPr>
          <w:rFonts w:asciiTheme="minorHAnsi" w:hAnsiTheme="minorHAnsi" w:cstheme="minorHAnsi"/>
        </w:rPr>
      </w:pPr>
    </w:p>
    <w:p w14:paraId="1A61D21E" w14:textId="46274046" w:rsidR="00870B56" w:rsidRDefault="00870B56">
      <w:pPr>
        <w:rPr>
          <w:rFonts w:asciiTheme="minorHAnsi" w:hAnsiTheme="minorHAnsi" w:cstheme="minorHAnsi"/>
          <w:u w:val="single"/>
        </w:rPr>
      </w:pPr>
      <w:r w:rsidRPr="00870B56">
        <w:rPr>
          <w:rFonts w:asciiTheme="minorHAnsi" w:hAnsiTheme="minorHAnsi" w:cstheme="minorHAnsi"/>
          <w:u w:val="single"/>
        </w:rPr>
        <w:t>HHS resources</w:t>
      </w:r>
    </w:p>
    <w:p w14:paraId="6AD984D6" w14:textId="35C9E38E" w:rsidR="00870B56" w:rsidRDefault="00870B56">
      <w:pPr>
        <w:rPr>
          <w:rFonts w:asciiTheme="minorHAnsi" w:hAnsiTheme="minorHAnsi" w:cstheme="minorHAnsi"/>
          <w:u w:val="single"/>
        </w:rPr>
      </w:pPr>
    </w:p>
    <w:p w14:paraId="1D2B81F3" w14:textId="0950D976" w:rsidR="00870B56" w:rsidRPr="00336081" w:rsidRDefault="00000000" w:rsidP="00B467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hyperlink r:id="rId16" w:history="1">
        <w:r w:rsidR="00B467A8" w:rsidRPr="00812826">
          <w:rPr>
            <w:rStyle w:val="Hyperlink"/>
            <w:rFonts w:asciiTheme="minorHAnsi" w:hAnsiTheme="minorHAnsi" w:cstheme="minorHAnsi"/>
          </w:rPr>
          <w:t xml:space="preserve">Information </w:t>
        </w:r>
        <w:r w:rsidR="006C04E2" w:rsidRPr="00812826">
          <w:rPr>
            <w:rStyle w:val="Hyperlink"/>
            <w:rFonts w:asciiTheme="minorHAnsi" w:hAnsiTheme="minorHAnsi" w:cstheme="minorHAnsi"/>
          </w:rPr>
          <w:t xml:space="preserve">blocking </w:t>
        </w:r>
        <w:r w:rsidR="00812826" w:rsidRPr="00812826">
          <w:rPr>
            <w:rStyle w:val="Hyperlink"/>
            <w:rFonts w:asciiTheme="minorHAnsi" w:hAnsiTheme="minorHAnsi" w:cstheme="minorHAnsi"/>
          </w:rPr>
          <w:t>overview</w:t>
        </w:r>
      </w:hyperlink>
    </w:p>
    <w:p w14:paraId="41F09555" w14:textId="77777777" w:rsidR="00336081" w:rsidRPr="00A3657B" w:rsidRDefault="00000000" w:rsidP="0033608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hyperlink r:id="rId17" w:history="1">
        <w:r w:rsidR="00336081" w:rsidRPr="00A3657B">
          <w:rPr>
            <w:rStyle w:val="Hyperlink"/>
            <w:rFonts w:asciiTheme="minorHAnsi" w:hAnsiTheme="minorHAnsi" w:cstheme="minorHAnsi"/>
          </w:rPr>
          <w:t>EHI blog post</w:t>
        </w:r>
      </w:hyperlink>
    </w:p>
    <w:p w14:paraId="7DB33F22" w14:textId="4F1B41F4" w:rsidR="00336081" w:rsidRPr="00812826" w:rsidRDefault="00000000" w:rsidP="00B467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hyperlink r:id="rId18" w:history="1">
        <w:r w:rsidR="00336081" w:rsidRPr="00336081">
          <w:rPr>
            <w:rStyle w:val="Hyperlink"/>
            <w:rFonts w:asciiTheme="minorHAnsi" w:hAnsiTheme="minorHAnsi" w:cstheme="minorHAnsi"/>
          </w:rPr>
          <w:t>Understanding EHI</w:t>
        </w:r>
      </w:hyperlink>
    </w:p>
    <w:p w14:paraId="68836A03" w14:textId="271F0EE6" w:rsidR="00812826" w:rsidRPr="00CA70FB" w:rsidRDefault="00000000" w:rsidP="00B467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hyperlink r:id="rId19" w:history="1">
        <w:r w:rsidR="00CA70FB" w:rsidRPr="00CA70FB">
          <w:rPr>
            <w:rStyle w:val="Hyperlink"/>
            <w:rFonts w:asciiTheme="minorHAnsi" w:hAnsiTheme="minorHAnsi" w:cstheme="minorHAnsi"/>
          </w:rPr>
          <w:t>EHI frequently asked questions</w:t>
        </w:r>
      </w:hyperlink>
    </w:p>
    <w:p w14:paraId="6E9A1905" w14:textId="625A303A" w:rsidR="00A3657B" w:rsidRPr="00A3657B" w:rsidRDefault="00000000" w:rsidP="00B467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hyperlink r:id="rId20" w:history="1">
        <w:r w:rsidR="00A3657B" w:rsidRPr="00A3657B">
          <w:rPr>
            <w:rStyle w:val="Hyperlink"/>
            <w:rFonts w:asciiTheme="minorHAnsi" w:hAnsiTheme="minorHAnsi" w:cstheme="minorHAnsi"/>
          </w:rPr>
          <w:t>Information blocking exceptions</w:t>
        </w:r>
      </w:hyperlink>
    </w:p>
    <w:p w14:paraId="38F913F0" w14:textId="279304E3" w:rsidR="00A3657B" w:rsidRDefault="00A3657B" w:rsidP="00A3657B">
      <w:pPr>
        <w:rPr>
          <w:rFonts w:asciiTheme="minorHAnsi" w:hAnsiTheme="minorHAnsi" w:cstheme="minorHAnsi"/>
          <w:u w:val="single"/>
        </w:rPr>
      </w:pPr>
    </w:p>
    <w:p w14:paraId="4E2F4245" w14:textId="40406AEB" w:rsidR="00A3657B" w:rsidRDefault="00A3657B" w:rsidP="00A3657B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AMA resources</w:t>
      </w:r>
    </w:p>
    <w:p w14:paraId="0252A306" w14:textId="3744D501" w:rsidR="00A3657B" w:rsidRDefault="00A3657B" w:rsidP="00A3657B">
      <w:pPr>
        <w:rPr>
          <w:rFonts w:asciiTheme="minorHAnsi" w:hAnsiTheme="minorHAnsi" w:cstheme="minorHAnsi"/>
          <w:u w:val="single"/>
        </w:rPr>
      </w:pPr>
    </w:p>
    <w:p w14:paraId="401439EB" w14:textId="77777777" w:rsidR="000B1854" w:rsidRPr="000B1854" w:rsidRDefault="000B1854" w:rsidP="000B185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0B1854">
        <w:rPr>
          <w:rFonts w:asciiTheme="minorHAnsi" w:hAnsiTheme="minorHAnsi" w:cstheme="minorHAnsi"/>
        </w:rPr>
        <w:t>Part one—</w:t>
      </w:r>
      <w:hyperlink r:id="rId21" w:tgtFrame="_blank" w:history="1">
        <w:r w:rsidRPr="000B1854">
          <w:rPr>
            <w:rStyle w:val="Hyperlink"/>
            <w:rFonts w:asciiTheme="minorHAnsi" w:hAnsiTheme="minorHAnsi" w:cstheme="minorHAnsi"/>
          </w:rPr>
          <w:t>What is information blocking?</w:t>
        </w:r>
      </w:hyperlink>
      <w:r w:rsidRPr="000B1854">
        <w:rPr>
          <w:rFonts w:asciiTheme="minorHAnsi" w:hAnsiTheme="minorHAnsi" w:cstheme="minorHAnsi"/>
        </w:rPr>
        <w:t>—defines information blocking, outlines key terms, illustrates information blocking practices and a summarizes exceptions.</w:t>
      </w:r>
    </w:p>
    <w:p w14:paraId="403C4471" w14:textId="77777777" w:rsidR="00EB264B" w:rsidRPr="00EB264B" w:rsidRDefault="00EB264B" w:rsidP="00EB26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B264B">
        <w:rPr>
          <w:rFonts w:asciiTheme="minorHAnsi" w:hAnsiTheme="minorHAnsi" w:cstheme="minorHAnsi"/>
        </w:rPr>
        <w:t>Part two—</w:t>
      </w:r>
      <w:hyperlink r:id="rId22" w:tgtFrame="_blank" w:history="1">
        <w:r w:rsidRPr="00EB264B">
          <w:rPr>
            <w:rStyle w:val="Hyperlink"/>
            <w:rFonts w:asciiTheme="minorHAnsi" w:hAnsiTheme="minorHAnsi" w:cstheme="minorHAnsi"/>
          </w:rPr>
          <w:t>How do I comply with info blocking and where do I start?</w:t>
        </w:r>
      </w:hyperlink>
      <w:r w:rsidRPr="00EB264B">
        <w:rPr>
          <w:rFonts w:asciiTheme="minorHAnsi" w:hAnsiTheme="minorHAnsi" w:cstheme="minorHAnsi"/>
        </w:rPr>
        <w:t>—provides a roadmap for compliance, including questions to consider, factors for maintaining a compliance program and next steps.</w:t>
      </w:r>
    </w:p>
    <w:p w14:paraId="701559C7" w14:textId="5E061525" w:rsidR="002F0B4F" w:rsidRPr="00FA78D5" w:rsidRDefault="00FA78D5" w:rsidP="00FA78D5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CME </w:t>
      </w:r>
      <w:r w:rsidRPr="00FA78D5">
        <w:rPr>
          <w:rFonts w:asciiTheme="minorHAnsi" w:hAnsiTheme="minorHAnsi" w:cstheme="minorHAnsi"/>
        </w:rPr>
        <w:t>module “</w:t>
      </w:r>
      <w:hyperlink r:id="rId23" w:tgtFrame="_blank" w:history="1">
        <w:r w:rsidRPr="00FA78D5">
          <w:rPr>
            <w:rStyle w:val="Hyperlink"/>
            <w:rFonts w:asciiTheme="minorHAnsi" w:hAnsiTheme="minorHAnsi" w:cstheme="minorHAnsi"/>
          </w:rPr>
          <w:t>Information Blocking Regulations: What to know and how to comply</w:t>
        </w:r>
      </w:hyperlink>
      <w:r w:rsidRPr="00FA78D5">
        <w:rPr>
          <w:rFonts w:asciiTheme="minorHAnsi" w:hAnsiTheme="minorHAnsi" w:cstheme="minorHAnsi"/>
        </w:rPr>
        <w:t>” accessible through the </w:t>
      </w:r>
      <w:hyperlink r:id="rId24" w:tgtFrame="_blank" w:history="1">
        <w:r w:rsidRPr="00FA78D5">
          <w:rPr>
            <w:rStyle w:val="Hyperlink"/>
            <w:rFonts w:asciiTheme="minorHAnsi" w:hAnsiTheme="minorHAnsi" w:cstheme="minorHAnsi"/>
          </w:rPr>
          <w:t>AMA Ed Hub</w:t>
        </w:r>
      </w:hyperlink>
      <w:r w:rsidRPr="00FA78D5">
        <w:rPr>
          <w:rFonts w:asciiTheme="minorHAnsi" w:hAnsiTheme="minorHAnsi" w:cstheme="minorHAnsi"/>
        </w:rPr>
        <w:t>™ online learning platform.</w:t>
      </w:r>
    </w:p>
    <w:sectPr w:rsidR="002F0B4F" w:rsidRPr="00FA7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274"/>
    <w:multiLevelType w:val="hybridMultilevel"/>
    <w:tmpl w:val="99C2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37508"/>
    <w:multiLevelType w:val="multilevel"/>
    <w:tmpl w:val="1BA8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375AA"/>
    <w:multiLevelType w:val="multilevel"/>
    <w:tmpl w:val="97F4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7413C"/>
    <w:multiLevelType w:val="hybridMultilevel"/>
    <w:tmpl w:val="CF5A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81570">
    <w:abstractNumId w:val="3"/>
  </w:num>
  <w:num w:numId="2" w16cid:durableId="1465345837">
    <w:abstractNumId w:val="0"/>
  </w:num>
  <w:num w:numId="3" w16cid:durableId="1361781030">
    <w:abstractNumId w:val="2"/>
  </w:num>
  <w:num w:numId="4" w16cid:durableId="458303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6F"/>
    <w:rsid w:val="0000443B"/>
    <w:rsid w:val="00023089"/>
    <w:rsid w:val="0003226D"/>
    <w:rsid w:val="00046C42"/>
    <w:rsid w:val="00047373"/>
    <w:rsid w:val="00051F8D"/>
    <w:rsid w:val="00095412"/>
    <w:rsid w:val="000B1854"/>
    <w:rsid w:val="000B4E79"/>
    <w:rsid w:val="000C5C99"/>
    <w:rsid w:val="000E6EB3"/>
    <w:rsid w:val="000F375A"/>
    <w:rsid w:val="00163343"/>
    <w:rsid w:val="0018298D"/>
    <w:rsid w:val="00187D1C"/>
    <w:rsid w:val="001B7D72"/>
    <w:rsid w:val="001D5D48"/>
    <w:rsid w:val="001F2F5F"/>
    <w:rsid w:val="00210CA4"/>
    <w:rsid w:val="002446BF"/>
    <w:rsid w:val="00252E4F"/>
    <w:rsid w:val="00287DC8"/>
    <w:rsid w:val="0029621F"/>
    <w:rsid w:val="002B6746"/>
    <w:rsid w:val="002D4670"/>
    <w:rsid w:val="002D49C9"/>
    <w:rsid w:val="002F0B4F"/>
    <w:rsid w:val="003329FB"/>
    <w:rsid w:val="00336081"/>
    <w:rsid w:val="00344347"/>
    <w:rsid w:val="0035242B"/>
    <w:rsid w:val="00386E1C"/>
    <w:rsid w:val="00397881"/>
    <w:rsid w:val="003C1235"/>
    <w:rsid w:val="003C5845"/>
    <w:rsid w:val="00400979"/>
    <w:rsid w:val="004148ED"/>
    <w:rsid w:val="004232CE"/>
    <w:rsid w:val="004400F5"/>
    <w:rsid w:val="004426C8"/>
    <w:rsid w:val="0045727F"/>
    <w:rsid w:val="00462BED"/>
    <w:rsid w:val="00470C2E"/>
    <w:rsid w:val="0049183D"/>
    <w:rsid w:val="004947A5"/>
    <w:rsid w:val="00494A4F"/>
    <w:rsid w:val="004B7955"/>
    <w:rsid w:val="004D1CA1"/>
    <w:rsid w:val="004D4070"/>
    <w:rsid w:val="005117C9"/>
    <w:rsid w:val="00536539"/>
    <w:rsid w:val="005500FF"/>
    <w:rsid w:val="00576927"/>
    <w:rsid w:val="005B5DBD"/>
    <w:rsid w:val="005E45B2"/>
    <w:rsid w:val="00632A45"/>
    <w:rsid w:val="006743FD"/>
    <w:rsid w:val="00683A07"/>
    <w:rsid w:val="006A1663"/>
    <w:rsid w:val="006B6600"/>
    <w:rsid w:val="006B7534"/>
    <w:rsid w:val="006C04E2"/>
    <w:rsid w:val="006C7ED8"/>
    <w:rsid w:val="007054A8"/>
    <w:rsid w:val="007720D7"/>
    <w:rsid w:val="00784E50"/>
    <w:rsid w:val="00792C37"/>
    <w:rsid w:val="007B2DB7"/>
    <w:rsid w:val="007D193C"/>
    <w:rsid w:val="007F06F4"/>
    <w:rsid w:val="0080397E"/>
    <w:rsid w:val="00812826"/>
    <w:rsid w:val="00830B9E"/>
    <w:rsid w:val="00844A52"/>
    <w:rsid w:val="00870B56"/>
    <w:rsid w:val="008923D7"/>
    <w:rsid w:val="008A63CB"/>
    <w:rsid w:val="008C30CD"/>
    <w:rsid w:val="008F0717"/>
    <w:rsid w:val="008F42D1"/>
    <w:rsid w:val="00905A69"/>
    <w:rsid w:val="009159FB"/>
    <w:rsid w:val="0092629A"/>
    <w:rsid w:val="00973E15"/>
    <w:rsid w:val="009967F7"/>
    <w:rsid w:val="009F5641"/>
    <w:rsid w:val="00A052A9"/>
    <w:rsid w:val="00A10C6A"/>
    <w:rsid w:val="00A126DF"/>
    <w:rsid w:val="00A158A1"/>
    <w:rsid w:val="00A3657B"/>
    <w:rsid w:val="00A470D0"/>
    <w:rsid w:val="00A52797"/>
    <w:rsid w:val="00A578B4"/>
    <w:rsid w:val="00AC70D7"/>
    <w:rsid w:val="00AD6EB3"/>
    <w:rsid w:val="00AD7DED"/>
    <w:rsid w:val="00AE229C"/>
    <w:rsid w:val="00AE292B"/>
    <w:rsid w:val="00AF5CA9"/>
    <w:rsid w:val="00B467A8"/>
    <w:rsid w:val="00B5310C"/>
    <w:rsid w:val="00B73D4B"/>
    <w:rsid w:val="00B8034D"/>
    <w:rsid w:val="00BF3C19"/>
    <w:rsid w:val="00C21D29"/>
    <w:rsid w:val="00C9736F"/>
    <w:rsid w:val="00CA70FB"/>
    <w:rsid w:val="00CB06A4"/>
    <w:rsid w:val="00CB58FF"/>
    <w:rsid w:val="00CF1344"/>
    <w:rsid w:val="00D36A21"/>
    <w:rsid w:val="00D56EE2"/>
    <w:rsid w:val="00D81E02"/>
    <w:rsid w:val="00DC41B3"/>
    <w:rsid w:val="00DE13F3"/>
    <w:rsid w:val="00E14D59"/>
    <w:rsid w:val="00E50F17"/>
    <w:rsid w:val="00E53289"/>
    <w:rsid w:val="00E75B1B"/>
    <w:rsid w:val="00EB264B"/>
    <w:rsid w:val="00EB4D38"/>
    <w:rsid w:val="00F008B4"/>
    <w:rsid w:val="00F23D57"/>
    <w:rsid w:val="00F33805"/>
    <w:rsid w:val="00F47422"/>
    <w:rsid w:val="00F56325"/>
    <w:rsid w:val="00F611A5"/>
    <w:rsid w:val="00F730E8"/>
    <w:rsid w:val="00F8213F"/>
    <w:rsid w:val="00FA78D5"/>
    <w:rsid w:val="00FD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84927C"/>
  <w15:chartTrackingRefBased/>
  <w15:docId w15:val="{16FDDE86-B839-3444-AA7E-8A7F993E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81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C973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73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9736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9736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9736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83A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67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C30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it.gov/isa/united-states-core-data-interoperability-uscdi" TargetMode="External"/><Relationship Id="rId13" Type="http://schemas.openxmlformats.org/officeDocument/2006/relationships/hyperlink" Target="https://www.healthit.gov/sites/default/files/page2/2020-03/InformationBlockingExceptions.pdf" TargetMode="External"/><Relationship Id="rId18" Type="http://schemas.openxmlformats.org/officeDocument/2006/relationships/hyperlink" Target="https://www.healthit.gov/sites/default/files/page2/2021-12/Understanding_EHI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ma-assn.org/system/files/2021-01/information-blocking-part-1.pdf" TargetMode="External"/><Relationship Id="rId7" Type="http://schemas.openxmlformats.org/officeDocument/2006/relationships/hyperlink" Target="https://www.healthit.gov/sites/default/files/page2/2020-03/InformationBlockingActors.pdf" TargetMode="External"/><Relationship Id="rId12" Type="http://schemas.openxmlformats.org/officeDocument/2006/relationships/hyperlink" Target="https://www.ecfr.gov/current/title-45/subtitle-A/subchapter-C/part-164" TargetMode="External"/><Relationship Id="rId17" Type="http://schemas.openxmlformats.org/officeDocument/2006/relationships/hyperlink" Target="https://www.healthit.gov/buzz-blog/information-blocking/say-hi-to-eh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healthit.gov/topic/information-blocking?options=2450b60a-e96a-4f4c-ab17-40aac81e40be" TargetMode="External"/><Relationship Id="rId20" Type="http://schemas.openxmlformats.org/officeDocument/2006/relationships/hyperlink" Target="https://www.healthit.gov/sites/default/files/page2/2020-03/InformationBlockingException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ealthit.gov/sites/default/files/page2/2021-12/Understanding_EHI.pdf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edhub.ama-assn.org/" TargetMode="External"/><Relationship Id="rId5" Type="http://schemas.openxmlformats.org/officeDocument/2006/relationships/hyperlink" Target="https://www.healthit.gov/topic/information-blocking?options=2450b60a-e96a-4f4c-ab17-40aac81e40be" TargetMode="External"/><Relationship Id="rId15" Type="http://schemas.openxmlformats.org/officeDocument/2006/relationships/hyperlink" Target="https://edhub.ama-assn.org/interactive/18602106" TargetMode="External"/><Relationship Id="rId23" Type="http://schemas.openxmlformats.org/officeDocument/2006/relationships/hyperlink" Target="https://edhub.ama-assn.org/interactive/18602106" TargetMode="External"/><Relationship Id="rId10" Type="http://schemas.openxmlformats.org/officeDocument/2006/relationships/hyperlink" Target="https://www.federalregister.gov/d/00-32678/p-4317" TargetMode="External"/><Relationship Id="rId19" Type="http://schemas.openxmlformats.org/officeDocument/2006/relationships/hyperlink" Target="https://www.healthit.gov/faqs?f%5B0%5D=subtopic%3A7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ederalregister.gov/d/03-3877/p-714" TargetMode="External"/><Relationship Id="rId14" Type="http://schemas.openxmlformats.org/officeDocument/2006/relationships/hyperlink" Target="https://www.ama-assn.org/press-center/press-releases/new-ama-resources-aid-physicians-information-blocking-rule" TargetMode="External"/><Relationship Id="rId22" Type="http://schemas.openxmlformats.org/officeDocument/2006/relationships/hyperlink" Target="https://www.ama-assn.org/system/files/2020-11/info-blocking-compli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Reid</dc:creator>
  <cp:keywords/>
  <dc:description/>
  <cp:lastModifiedBy>Matt Reid</cp:lastModifiedBy>
  <cp:revision>123</cp:revision>
  <dcterms:created xsi:type="dcterms:W3CDTF">2022-09-01T13:40:00Z</dcterms:created>
  <dcterms:modified xsi:type="dcterms:W3CDTF">2022-09-22T13:17:00Z</dcterms:modified>
</cp:coreProperties>
</file>