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6DE3C0" w14:textId="303396A5" w:rsidR="00DD73CF" w:rsidRDefault="00154206" w:rsidP="00DD73CF">
      <w:r>
        <w:rPr>
          <w:noProof/>
        </w:rPr>
        <w:drawing>
          <wp:anchor distT="0" distB="0" distL="114300" distR="114300" simplePos="0" relativeHeight="251658240" behindDoc="0" locked="0" layoutInCell="1" allowOverlap="1" wp14:anchorId="5DC7226D" wp14:editId="5BAECAF9">
            <wp:simplePos x="0" y="0"/>
            <wp:positionH relativeFrom="margin">
              <wp:posOffset>180975</wp:posOffset>
            </wp:positionH>
            <wp:positionV relativeFrom="paragraph">
              <wp:posOffset>-793115</wp:posOffset>
            </wp:positionV>
            <wp:extent cx="5943600" cy="2909570"/>
            <wp:effectExtent l="0" t="0" r="0" b="5080"/>
            <wp:wrapNone/>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lth Choices Map - Treatment Centers.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2909570"/>
                    </a:xfrm>
                    <a:prstGeom prst="rect">
                      <a:avLst/>
                    </a:prstGeom>
                  </pic:spPr>
                </pic:pic>
              </a:graphicData>
            </a:graphic>
            <wp14:sizeRelH relativeFrom="page">
              <wp14:pctWidth>0</wp14:pctWidth>
            </wp14:sizeRelH>
            <wp14:sizeRelV relativeFrom="page">
              <wp14:pctHeight>0</wp14:pctHeight>
            </wp14:sizeRelV>
          </wp:anchor>
        </w:drawing>
      </w:r>
    </w:p>
    <w:p w14:paraId="15CF21FF" w14:textId="6BCDBA03" w:rsidR="00154206" w:rsidRDefault="00154206" w:rsidP="006248F8">
      <w:pPr>
        <w:rPr>
          <w:sz w:val="24"/>
          <w:szCs w:val="24"/>
        </w:rPr>
      </w:pPr>
    </w:p>
    <w:p w14:paraId="37BF98E3" w14:textId="77777777" w:rsidR="00154206" w:rsidRDefault="00154206" w:rsidP="006248F8">
      <w:pPr>
        <w:rPr>
          <w:sz w:val="24"/>
          <w:szCs w:val="24"/>
        </w:rPr>
      </w:pPr>
    </w:p>
    <w:p w14:paraId="0DA30393" w14:textId="33205127" w:rsidR="00154206" w:rsidRDefault="00154206" w:rsidP="006248F8">
      <w:pPr>
        <w:rPr>
          <w:sz w:val="24"/>
          <w:szCs w:val="24"/>
        </w:rPr>
      </w:pPr>
    </w:p>
    <w:p w14:paraId="6CA7735C" w14:textId="7702782C" w:rsidR="00154206" w:rsidRDefault="00154206" w:rsidP="006248F8">
      <w:pPr>
        <w:rPr>
          <w:sz w:val="24"/>
          <w:szCs w:val="24"/>
        </w:rPr>
      </w:pPr>
    </w:p>
    <w:p w14:paraId="296103F2" w14:textId="4D27EF18" w:rsidR="00154206" w:rsidRDefault="00154206" w:rsidP="006248F8">
      <w:pPr>
        <w:rPr>
          <w:sz w:val="24"/>
          <w:szCs w:val="24"/>
        </w:rPr>
      </w:pPr>
    </w:p>
    <w:p w14:paraId="60E279DB" w14:textId="77777777" w:rsidR="00154206" w:rsidRDefault="00154206" w:rsidP="006248F8">
      <w:pPr>
        <w:rPr>
          <w:sz w:val="24"/>
          <w:szCs w:val="24"/>
        </w:rPr>
      </w:pPr>
    </w:p>
    <w:p w14:paraId="52152E5E" w14:textId="77777777" w:rsidR="00154206" w:rsidRDefault="00154206" w:rsidP="006248F8">
      <w:pPr>
        <w:rPr>
          <w:sz w:val="24"/>
          <w:szCs w:val="24"/>
        </w:rPr>
      </w:pPr>
    </w:p>
    <w:p w14:paraId="15FAA342" w14:textId="2B0780CC" w:rsidR="00DD73CF" w:rsidRPr="00154206" w:rsidRDefault="00DD73CF" w:rsidP="006248F8">
      <w:pPr>
        <w:rPr>
          <w:sz w:val="24"/>
          <w:szCs w:val="24"/>
        </w:rPr>
      </w:pPr>
      <w:r w:rsidRPr="00154206">
        <w:rPr>
          <w:sz w:val="24"/>
          <w:szCs w:val="24"/>
        </w:rPr>
        <w:t>The Specialty</w:t>
      </w:r>
      <w:r w:rsidRPr="00DD73CF">
        <w:rPr>
          <w:sz w:val="24"/>
          <w:szCs w:val="24"/>
        </w:rPr>
        <w:t xml:space="preserve"> Care Programs funds have been distributed in previous years through a state procurement process known as a Sole Source request. This ensured that </w:t>
      </w:r>
      <w:r w:rsidR="00601BB8" w:rsidRPr="00DD73CF">
        <w:rPr>
          <w:sz w:val="24"/>
          <w:szCs w:val="24"/>
        </w:rPr>
        <w:t>if</w:t>
      </w:r>
      <w:r w:rsidRPr="00DD73CF">
        <w:rPr>
          <w:sz w:val="24"/>
          <w:szCs w:val="24"/>
        </w:rPr>
        <w:t xml:space="preserve"> the hemophilia line item was in the state budget, all 7 hemophilia treatment centers in Pennsylvania received state funding.</w:t>
      </w:r>
      <w:r w:rsidRPr="00154206">
        <w:rPr>
          <w:sz w:val="24"/>
          <w:szCs w:val="24"/>
        </w:rPr>
        <w:t xml:space="preserve"> </w:t>
      </w:r>
      <w:r w:rsidRPr="00DD73CF">
        <w:rPr>
          <w:sz w:val="24"/>
          <w:szCs w:val="24"/>
        </w:rPr>
        <w:t>This will end on June 30, 2020. In its place is a new grant process called Request for Applications (RFAs).</w:t>
      </w:r>
      <w:r w:rsidR="006248F8" w:rsidRPr="00154206">
        <w:rPr>
          <w:sz w:val="24"/>
          <w:szCs w:val="24"/>
        </w:rPr>
        <w:t xml:space="preserve"> </w:t>
      </w:r>
      <w:r w:rsidRPr="00DD73CF">
        <w:rPr>
          <w:sz w:val="24"/>
          <w:szCs w:val="24"/>
        </w:rPr>
        <w:t>The RFAs will use a regional approach, based the on the </w:t>
      </w:r>
      <w:r w:rsidRPr="00DD73CF">
        <w:rPr>
          <w:b/>
          <w:bCs/>
          <w:sz w:val="24"/>
          <w:szCs w:val="24"/>
        </w:rPr>
        <w:t xml:space="preserve">Pennsylvania </w:t>
      </w:r>
      <w:proofErr w:type="spellStart"/>
      <w:r w:rsidRPr="00DD73CF">
        <w:rPr>
          <w:b/>
          <w:bCs/>
          <w:sz w:val="24"/>
          <w:szCs w:val="24"/>
        </w:rPr>
        <w:t>HealthChoices</w:t>
      </w:r>
      <w:proofErr w:type="spellEnd"/>
      <w:r w:rsidRPr="00DD73CF">
        <w:rPr>
          <w:b/>
          <w:bCs/>
          <w:sz w:val="24"/>
          <w:szCs w:val="24"/>
        </w:rPr>
        <w:t> </w:t>
      </w:r>
      <w:r w:rsidRPr="00DD73CF">
        <w:rPr>
          <w:b/>
          <w:bCs/>
          <w:sz w:val="24"/>
          <w:szCs w:val="24"/>
          <w:u w:val="single"/>
        </w:rPr>
        <w:t>five</w:t>
      </w:r>
      <w:r w:rsidRPr="00DD73CF">
        <w:rPr>
          <w:b/>
          <w:bCs/>
          <w:sz w:val="24"/>
          <w:szCs w:val="24"/>
        </w:rPr>
        <w:t> regions</w:t>
      </w:r>
      <w:r w:rsidR="006248F8" w:rsidRPr="00154206">
        <w:rPr>
          <w:sz w:val="24"/>
          <w:szCs w:val="24"/>
        </w:rPr>
        <w:t>.</w:t>
      </w:r>
    </w:p>
    <w:p w14:paraId="0691972D" w14:textId="6F5F7F52" w:rsidR="00154206" w:rsidRPr="00154206" w:rsidRDefault="00154206" w:rsidP="006248F8">
      <w:pPr>
        <w:rPr>
          <w:sz w:val="24"/>
          <w:szCs w:val="24"/>
          <w:u w:val="single"/>
        </w:rPr>
      </w:pPr>
      <w:r w:rsidRPr="00154206">
        <w:rPr>
          <w:sz w:val="24"/>
          <w:szCs w:val="24"/>
          <w:u w:val="single"/>
        </w:rPr>
        <w:t>Problems with this model:</w:t>
      </w:r>
    </w:p>
    <w:p w14:paraId="08D2C8C3" w14:textId="77777777" w:rsidR="00154206" w:rsidRPr="00154206" w:rsidRDefault="00154206" w:rsidP="00154206">
      <w:pPr>
        <w:numPr>
          <w:ilvl w:val="0"/>
          <w:numId w:val="3"/>
        </w:numPr>
        <w:shd w:val="clear" w:color="auto" w:fill="FFFFFF"/>
        <w:spacing w:before="100" w:beforeAutospacing="1" w:after="100" w:afterAutospacing="1" w:line="240" w:lineRule="auto"/>
        <w:rPr>
          <w:sz w:val="24"/>
          <w:szCs w:val="24"/>
        </w:rPr>
      </w:pPr>
      <w:r w:rsidRPr="00154206">
        <w:rPr>
          <w:sz w:val="24"/>
          <w:szCs w:val="24"/>
        </w:rPr>
        <w:t xml:space="preserve">There are 7 federally supported hemophilia treatment centers (HTCs) but only 5 </w:t>
      </w:r>
      <w:proofErr w:type="spellStart"/>
      <w:r w:rsidRPr="00154206">
        <w:rPr>
          <w:sz w:val="24"/>
          <w:szCs w:val="24"/>
        </w:rPr>
        <w:t>HealthyChoices</w:t>
      </w:r>
      <w:proofErr w:type="spellEnd"/>
      <w:r w:rsidRPr="00154206">
        <w:rPr>
          <w:sz w:val="24"/>
          <w:szCs w:val="24"/>
        </w:rPr>
        <w:t xml:space="preserve"> regions, with 4 HTCs located in Philadelphia.</w:t>
      </w:r>
    </w:p>
    <w:p w14:paraId="196C97B1" w14:textId="77777777" w:rsidR="00154206" w:rsidRPr="00154206" w:rsidRDefault="00154206" w:rsidP="00154206">
      <w:pPr>
        <w:numPr>
          <w:ilvl w:val="0"/>
          <w:numId w:val="3"/>
        </w:numPr>
        <w:shd w:val="clear" w:color="auto" w:fill="FFFFFF"/>
        <w:spacing w:before="100" w:beforeAutospacing="1" w:after="100" w:afterAutospacing="1" w:line="240" w:lineRule="auto"/>
        <w:rPr>
          <w:sz w:val="24"/>
          <w:szCs w:val="24"/>
        </w:rPr>
      </w:pPr>
      <w:r w:rsidRPr="00154206">
        <w:rPr>
          <w:sz w:val="24"/>
          <w:szCs w:val="24"/>
        </w:rPr>
        <w:t>While applicants may apply for multiple regions, having only one grant awarded per region is problematic when four world class HTCs are in one region (Philadelphia). As proposed, the four HTCs in Philadelphia will be pitted against each other competing for funding.</w:t>
      </w:r>
    </w:p>
    <w:p w14:paraId="76041346" w14:textId="3DA44C8C" w:rsidR="00154206" w:rsidRPr="00154206" w:rsidRDefault="00154206" w:rsidP="00154206">
      <w:pPr>
        <w:numPr>
          <w:ilvl w:val="0"/>
          <w:numId w:val="3"/>
        </w:numPr>
        <w:shd w:val="clear" w:color="auto" w:fill="FFFFFF"/>
        <w:spacing w:before="100" w:beforeAutospacing="1" w:after="100" w:afterAutospacing="1" w:line="240" w:lineRule="auto"/>
        <w:rPr>
          <w:sz w:val="24"/>
          <w:szCs w:val="24"/>
        </w:rPr>
      </w:pPr>
      <w:r w:rsidRPr="00154206">
        <w:rPr>
          <w:sz w:val="24"/>
          <w:szCs w:val="24"/>
        </w:rPr>
        <w:t xml:space="preserve">When we voiced this concern in the meeting with the Department of </w:t>
      </w:r>
      <w:proofErr w:type="gramStart"/>
      <w:r w:rsidRPr="00154206">
        <w:rPr>
          <w:sz w:val="24"/>
          <w:szCs w:val="24"/>
        </w:rPr>
        <w:t>Health</w:t>
      </w:r>
      <w:proofErr w:type="gramEnd"/>
      <w:r w:rsidRPr="00154206">
        <w:rPr>
          <w:sz w:val="24"/>
          <w:szCs w:val="24"/>
        </w:rPr>
        <w:t xml:space="preserve"> they told us they expect the Treatment Centers to team up to apply for funding. But this only creates more problems as who will be responsible for the administrative burden and how will the funding be divided between them? </w:t>
      </w:r>
    </w:p>
    <w:p w14:paraId="15646A8E" w14:textId="5C5579FA" w:rsidR="00154206" w:rsidRPr="00154206" w:rsidRDefault="00154206" w:rsidP="00154206">
      <w:pPr>
        <w:shd w:val="clear" w:color="auto" w:fill="FFFFFF"/>
        <w:spacing w:before="100" w:beforeAutospacing="1" w:after="100" w:afterAutospacing="1" w:line="240" w:lineRule="auto"/>
        <w:rPr>
          <w:sz w:val="24"/>
          <w:szCs w:val="24"/>
        </w:rPr>
      </w:pPr>
      <w:r w:rsidRPr="00154206">
        <w:rPr>
          <w:sz w:val="24"/>
          <w:szCs w:val="24"/>
        </w:rPr>
        <w:t>This one-size fits all approach that the Department of Health is requiring for all specialty care programs clearly doesn’t work for hemophilia and will only jeopardize our HTCs funding.</w:t>
      </w:r>
      <w:r w:rsidR="00601BB8">
        <w:rPr>
          <w:sz w:val="24"/>
          <w:szCs w:val="24"/>
        </w:rPr>
        <w:t xml:space="preserve"> Lost funding can result in staff positions being eliminated which will result in loss of comprehensive care.</w:t>
      </w:r>
    </w:p>
    <w:p w14:paraId="48ABEE00" w14:textId="11D16EB9" w:rsidR="00DD73CF" w:rsidRPr="00154206" w:rsidRDefault="00DD73CF" w:rsidP="006248F8">
      <w:pPr>
        <w:pStyle w:val="ListParagraph"/>
        <w:rPr>
          <w:sz w:val="24"/>
          <w:szCs w:val="24"/>
        </w:rPr>
      </w:pPr>
    </w:p>
    <w:p w14:paraId="2A9158F2" w14:textId="45686766" w:rsidR="006248F8" w:rsidRPr="00154206" w:rsidRDefault="00B64606" w:rsidP="006248F8">
      <w:pPr>
        <w:pStyle w:val="ListParagraph"/>
        <w:rPr>
          <w:b/>
          <w:bCs/>
          <w:sz w:val="24"/>
          <w:szCs w:val="24"/>
          <w:u w:val="single"/>
        </w:rPr>
      </w:pPr>
      <w:r>
        <w:rPr>
          <w:b/>
          <w:bCs/>
          <w:sz w:val="24"/>
          <w:szCs w:val="24"/>
          <w:u w:val="single"/>
        </w:rPr>
        <w:t>We are asking the General Assembly to k</w:t>
      </w:r>
      <w:r w:rsidR="006248F8" w:rsidRPr="00154206">
        <w:rPr>
          <w:b/>
          <w:bCs/>
          <w:sz w:val="24"/>
          <w:szCs w:val="24"/>
          <w:u w:val="single"/>
        </w:rPr>
        <w:t>eep the Hemophilia Program as a separate line item at the current fiscal year amount of $959,000. In addition, we request that the funding continue to be distributed, as in previou</w:t>
      </w:r>
      <w:bookmarkStart w:id="0" w:name="_GoBack"/>
      <w:bookmarkEnd w:id="0"/>
      <w:r w:rsidR="006248F8" w:rsidRPr="00154206">
        <w:rPr>
          <w:b/>
          <w:bCs/>
          <w:sz w:val="24"/>
          <w:szCs w:val="24"/>
          <w:u w:val="single"/>
        </w:rPr>
        <w:t>s years, to all seven hemophilia treatment centers in Pennsylvania.</w:t>
      </w:r>
    </w:p>
    <w:sectPr w:rsidR="006248F8" w:rsidRPr="0015420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73653"/>
    <w:multiLevelType w:val="hybridMultilevel"/>
    <w:tmpl w:val="A0462944"/>
    <w:lvl w:ilvl="0" w:tplc="91223D18">
      <w:start w:val="1"/>
      <w:numFmt w:val="bullet"/>
      <w:lvlText w:val="•"/>
      <w:lvlJc w:val="left"/>
      <w:pPr>
        <w:tabs>
          <w:tab w:val="num" w:pos="720"/>
        </w:tabs>
        <w:ind w:left="720" w:hanging="360"/>
      </w:pPr>
      <w:rPr>
        <w:rFonts w:ascii="Times New Roman" w:hAnsi="Times New Roman" w:hint="default"/>
      </w:rPr>
    </w:lvl>
    <w:lvl w:ilvl="1" w:tplc="29FAA8B2" w:tentative="1">
      <w:start w:val="1"/>
      <w:numFmt w:val="bullet"/>
      <w:lvlText w:val="•"/>
      <w:lvlJc w:val="left"/>
      <w:pPr>
        <w:tabs>
          <w:tab w:val="num" w:pos="1440"/>
        </w:tabs>
        <w:ind w:left="1440" w:hanging="360"/>
      </w:pPr>
      <w:rPr>
        <w:rFonts w:ascii="Times New Roman" w:hAnsi="Times New Roman" w:hint="default"/>
      </w:rPr>
    </w:lvl>
    <w:lvl w:ilvl="2" w:tplc="3474CD14" w:tentative="1">
      <w:start w:val="1"/>
      <w:numFmt w:val="bullet"/>
      <w:lvlText w:val="•"/>
      <w:lvlJc w:val="left"/>
      <w:pPr>
        <w:tabs>
          <w:tab w:val="num" w:pos="2160"/>
        </w:tabs>
        <w:ind w:left="2160" w:hanging="360"/>
      </w:pPr>
      <w:rPr>
        <w:rFonts w:ascii="Times New Roman" w:hAnsi="Times New Roman" w:hint="default"/>
      </w:rPr>
    </w:lvl>
    <w:lvl w:ilvl="3" w:tplc="314813C8" w:tentative="1">
      <w:start w:val="1"/>
      <w:numFmt w:val="bullet"/>
      <w:lvlText w:val="•"/>
      <w:lvlJc w:val="left"/>
      <w:pPr>
        <w:tabs>
          <w:tab w:val="num" w:pos="2880"/>
        </w:tabs>
        <w:ind w:left="2880" w:hanging="360"/>
      </w:pPr>
      <w:rPr>
        <w:rFonts w:ascii="Times New Roman" w:hAnsi="Times New Roman" w:hint="default"/>
      </w:rPr>
    </w:lvl>
    <w:lvl w:ilvl="4" w:tplc="510C9D0E" w:tentative="1">
      <w:start w:val="1"/>
      <w:numFmt w:val="bullet"/>
      <w:lvlText w:val="•"/>
      <w:lvlJc w:val="left"/>
      <w:pPr>
        <w:tabs>
          <w:tab w:val="num" w:pos="3600"/>
        </w:tabs>
        <w:ind w:left="3600" w:hanging="360"/>
      </w:pPr>
      <w:rPr>
        <w:rFonts w:ascii="Times New Roman" w:hAnsi="Times New Roman" w:hint="default"/>
      </w:rPr>
    </w:lvl>
    <w:lvl w:ilvl="5" w:tplc="A5903548" w:tentative="1">
      <w:start w:val="1"/>
      <w:numFmt w:val="bullet"/>
      <w:lvlText w:val="•"/>
      <w:lvlJc w:val="left"/>
      <w:pPr>
        <w:tabs>
          <w:tab w:val="num" w:pos="4320"/>
        </w:tabs>
        <w:ind w:left="4320" w:hanging="360"/>
      </w:pPr>
      <w:rPr>
        <w:rFonts w:ascii="Times New Roman" w:hAnsi="Times New Roman" w:hint="default"/>
      </w:rPr>
    </w:lvl>
    <w:lvl w:ilvl="6" w:tplc="5D2A7540" w:tentative="1">
      <w:start w:val="1"/>
      <w:numFmt w:val="bullet"/>
      <w:lvlText w:val="•"/>
      <w:lvlJc w:val="left"/>
      <w:pPr>
        <w:tabs>
          <w:tab w:val="num" w:pos="5040"/>
        </w:tabs>
        <w:ind w:left="5040" w:hanging="360"/>
      </w:pPr>
      <w:rPr>
        <w:rFonts w:ascii="Times New Roman" w:hAnsi="Times New Roman" w:hint="default"/>
      </w:rPr>
    </w:lvl>
    <w:lvl w:ilvl="7" w:tplc="92D476E4" w:tentative="1">
      <w:start w:val="1"/>
      <w:numFmt w:val="bullet"/>
      <w:lvlText w:val="•"/>
      <w:lvlJc w:val="left"/>
      <w:pPr>
        <w:tabs>
          <w:tab w:val="num" w:pos="5760"/>
        </w:tabs>
        <w:ind w:left="5760" w:hanging="360"/>
      </w:pPr>
      <w:rPr>
        <w:rFonts w:ascii="Times New Roman" w:hAnsi="Times New Roman" w:hint="default"/>
      </w:rPr>
    </w:lvl>
    <w:lvl w:ilvl="8" w:tplc="8826A9BA"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50882835"/>
    <w:multiLevelType w:val="hybridMultilevel"/>
    <w:tmpl w:val="BCACBE32"/>
    <w:lvl w:ilvl="0" w:tplc="E64A6130">
      <w:start w:val="1"/>
      <w:numFmt w:val="bullet"/>
      <w:lvlText w:val="•"/>
      <w:lvlJc w:val="left"/>
      <w:pPr>
        <w:tabs>
          <w:tab w:val="num" w:pos="720"/>
        </w:tabs>
        <w:ind w:left="720" w:hanging="360"/>
      </w:pPr>
      <w:rPr>
        <w:rFonts w:ascii="Arial" w:hAnsi="Arial" w:hint="default"/>
      </w:rPr>
    </w:lvl>
    <w:lvl w:ilvl="1" w:tplc="CF602C04" w:tentative="1">
      <w:start w:val="1"/>
      <w:numFmt w:val="bullet"/>
      <w:lvlText w:val="•"/>
      <w:lvlJc w:val="left"/>
      <w:pPr>
        <w:tabs>
          <w:tab w:val="num" w:pos="1440"/>
        </w:tabs>
        <w:ind w:left="1440" w:hanging="360"/>
      </w:pPr>
      <w:rPr>
        <w:rFonts w:ascii="Arial" w:hAnsi="Arial" w:hint="default"/>
      </w:rPr>
    </w:lvl>
    <w:lvl w:ilvl="2" w:tplc="1DA49DEC" w:tentative="1">
      <w:start w:val="1"/>
      <w:numFmt w:val="bullet"/>
      <w:lvlText w:val="•"/>
      <w:lvlJc w:val="left"/>
      <w:pPr>
        <w:tabs>
          <w:tab w:val="num" w:pos="2160"/>
        </w:tabs>
        <w:ind w:left="2160" w:hanging="360"/>
      </w:pPr>
      <w:rPr>
        <w:rFonts w:ascii="Arial" w:hAnsi="Arial" w:hint="default"/>
      </w:rPr>
    </w:lvl>
    <w:lvl w:ilvl="3" w:tplc="E0E8D8A0" w:tentative="1">
      <w:start w:val="1"/>
      <w:numFmt w:val="bullet"/>
      <w:lvlText w:val="•"/>
      <w:lvlJc w:val="left"/>
      <w:pPr>
        <w:tabs>
          <w:tab w:val="num" w:pos="2880"/>
        </w:tabs>
        <w:ind w:left="2880" w:hanging="360"/>
      </w:pPr>
      <w:rPr>
        <w:rFonts w:ascii="Arial" w:hAnsi="Arial" w:hint="default"/>
      </w:rPr>
    </w:lvl>
    <w:lvl w:ilvl="4" w:tplc="EF3EA2CA" w:tentative="1">
      <w:start w:val="1"/>
      <w:numFmt w:val="bullet"/>
      <w:lvlText w:val="•"/>
      <w:lvlJc w:val="left"/>
      <w:pPr>
        <w:tabs>
          <w:tab w:val="num" w:pos="3600"/>
        </w:tabs>
        <w:ind w:left="3600" w:hanging="360"/>
      </w:pPr>
      <w:rPr>
        <w:rFonts w:ascii="Arial" w:hAnsi="Arial" w:hint="default"/>
      </w:rPr>
    </w:lvl>
    <w:lvl w:ilvl="5" w:tplc="A4DE73C4" w:tentative="1">
      <w:start w:val="1"/>
      <w:numFmt w:val="bullet"/>
      <w:lvlText w:val="•"/>
      <w:lvlJc w:val="left"/>
      <w:pPr>
        <w:tabs>
          <w:tab w:val="num" w:pos="4320"/>
        </w:tabs>
        <w:ind w:left="4320" w:hanging="360"/>
      </w:pPr>
      <w:rPr>
        <w:rFonts w:ascii="Arial" w:hAnsi="Arial" w:hint="default"/>
      </w:rPr>
    </w:lvl>
    <w:lvl w:ilvl="6" w:tplc="A92C774C" w:tentative="1">
      <w:start w:val="1"/>
      <w:numFmt w:val="bullet"/>
      <w:lvlText w:val="•"/>
      <w:lvlJc w:val="left"/>
      <w:pPr>
        <w:tabs>
          <w:tab w:val="num" w:pos="5040"/>
        </w:tabs>
        <w:ind w:left="5040" w:hanging="360"/>
      </w:pPr>
      <w:rPr>
        <w:rFonts w:ascii="Arial" w:hAnsi="Arial" w:hint="default"/>
      </w:rPr>
    </w:lvl>
    <w:lvl w:ilvl="7" w:tplc="35683E8E" w:tentative="1">
      <w:start w:val="1"/>
      <w:numFmt w:val="bullet"/>
      <w:lvlText w:val="•"/>
      <w:lvlJc w:val="left"/>
      <w:pPr>
        <w:tabs>
          <w:tab w:val="num" w:pos="5760"/>
        </w:tabs>
        <w:ind w:left="5760" w:hanging="360"/>
      </w:pPr>
      <w:rPr>
        <w:rFonts w:ascii="Arial" w:hAnsi="Arial" w:hint="default"/>
      </w:rPr>
    </w:lvl>
    <w:lvl w:ilvl="8" w:tplc="45008B6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5B0B7D57"/>
    <w:multiLevelType w:val="hybridMultilevel"/>
    <w:tmpl w:val="87901976"/>
    <w:lvl w:ilvl="0" w:tplc="1BD2B1B6">
      <w:start w:val="1"/>
      <w:numFmt w:val="bullet"/>
      <w:lvlText w:val="•"/>
      <w:lvlJc w:val="left"/>
      <w:pPr>
        <w:tabs>
          <w:tab w:val="num" w:pos="720"/>
        </w:tabs>
        <w:ind w:left="720" w:hanging="360"/>
      </w:pPr>
      <w:rPr>
        <w:rFonts w:ascii="Arial" w:hAnsi="Arial" w:hint="default"/>
      </w:rPr>
    </w:lvl>
    <w:lvl w:ilvl="1" w:tplc="41E69044" w:tentative="1">
      <w:start w:val="1"/>
      <w:numFmt w:val="bullet"/>
      <w:lvlText w:val="•"/>
      <w:lvlJc w:val="left"/>
      <w:pPr>
        <w:tabs>
          <w:tab w:val="num" w:pos="1440"/>
        </w:tabs>
        <w:ind w:left="1440" w:hanging="360"/>
      </w:pPr>
      <w:rPr>
        <w:rFonts w:ascii="Arial" w:hAnsi="Arial" w:hint="default"/>
      </w:rPr>
    </w:lvl>
    <w:lvl w:ilvl="2" w:tplc="14928BDE" w:tentative="1">
      <w:start w:val="1"/>
      <w:numFmt w:val="bullet"/>
      <w:lvlText w:val="•"/>
      <w:lvlJc w:val="left"/>
      <w:pPr>
        <w:tabs>
          <w:tab w:val="num" w:pos="2160"/>
        </w:tabs>
        <w:ind w:left="2160" w:hanging="360"/>
      </w:pPr>
      <w:rPr>
        <w:rFonts w:ascii="Arial" w:hAnsi="Arial" w:hint="default"/>
      </w:rPr>
    </w:lvl>
    <w:lvl w:ilvl="3" w:tplc="6C821392" w:tentative="1">
      <w:start w:val="1"/>
      <w:numFmt w:val="bullet"/>
      <w:lvlText w:val="•"/>
      <w:lvlJc w:val="left"/>
      <w:pPr>
        <w:tabs>
          <w:tab w:val="num" w:pos="2880"/>
        </w:tabs>
        <w:ind w:left="2880" w:hanging="360"/>
      </w:pPr>
      <w:rPr>
        <w:rFonts w:ascii="Arial" w:hAnsi="Arial" w:hint="default"/>
      </w:rPr>
    </w:lvl>
    <w:lvl w:ilvl="4" w:tplc="36525F40" w:tentative="1">
      <w:start w:val="1"/>
      <w:numFmt w:val="bullet"/>
      <w:lvlText w:val="•"/>
      <w:lvlJc w:val="left"/>
      <w:pPr>
        <w:tabs>
          <w:tab w:val="num" w:pos="3600"/>
        </w:tabs>
        <w:ind w:left="3600" w:hanging="360"/>
      </w:pPr>
      <w:rPr>
        <w:rFonts w:ascii="Arial" w:hAnsi="Arial" w:hint="default"/>
      </w:rPr>
    </w:lvl>
    <w:lvl w:ilvl="5" w:tplc="6DE6A82E" w:tentative="1">
      <w:start w:val="1"/>
      <w:numFmt w:val="bullet"/>
      <w:lvlText w:val="•"/>
      <w:lvlJc w:val="left"/>
      <w:pPr>
        <w:tabs>
          <w:tab w:val="num" w:pos="4320"/>
        </w:tabs>
        <w:ind w:left="4320" w:hanging="360"/>
      </w:pPr>
      <w:rPr>
        <w:rFonts w:ascii="Arial" w:hAnsi="Arial" w:hint="default"/>
      </w:rPr>
    </w:lvl>
    <w:lvl w:ilvl="6" w:tplc="88D03A56" w:tentative="1">
      <w:start w:val="1"/>
      <w:numFmt w:val="bullet"/>
      <w:lvlText w:val="•"/>
      <w:lvlJc w:val="left"/>
      <w:pPr>
        <w:tabs>
          <w:tab w:val="num" w:pos="5040"/>
        </w:tabs>
        <w:ind w:left="5040" w:hanging="360"/>
      </w:pPr>
      <w:rPr>
        <w:rFonts w:ascii="Arial" w:hAnsi="Arial" w:hint="default"/>
      </w:rPr>
    </w:lvl>
    <w:lvl w:ilvl="7" w:tplc="6D30665A" w:tentative="1">
      <w:start w:val="1"/>
      <w:numFmt w:val="bullet"/>
      <w:lvlText w:val="•"/>
      <w:lvlJc w:val="left"/>
      <w:pPr>
        <w:tabs>
          <w:tab w:val="num" w:pos="5760"/>
        </w:tabs>
        <w:ind w:left="5760" w:hanging="360"/>
      </w:pPr>
      <w:rPr>
        <w:rFonts w:ascii="Arial" w:hAnsi="Arial" w:hint="default"/>
      </w:rPr>
    </w:lvl>
    <w:lvl w:ilvl="8" w:tplc="FB046896"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3CF"/>
    <w:rsid w:val="00154206"/>
    <w:rsid w:val="002D02A2"/>
    <w:rsid w:val="005B4C83"/>
    <w:rsid w:val="00601BB8"/>
    <w:rsid w:val="006248F8"/>
    <w:rsid w:val="00B64606"/>
    <w:rsid w:val="00DD73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020E17"/>
  <w15:chartTrackingRefBased/>
  <w15:docId w15:val="{45AA9C4C-0121-4EF1-B441-308D7B616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73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8111027">
      <w:bodyDiv w:val="1"/>
      <w:marLeft w:val="0"/>
      <w:marRight w:val="0"/>
      <w:marTop w:val="0"/>
      <w:marBottom w:val="0"/>
      <w:divBdr>
        <w:top w:val="none" w:sz="0" w:space="0" w:color="auto"/>
        <w:left w:val="none" w:sz="0" w:space="0" w:color="auto"/>
        <w:bottom w:val="none" w:sz="0" w:space="0" w:color="auto"/>
        <w:right w:val="none" w:sz="0" w:space="0" w:color="auto"/>
      </w:divBdr>
      <w:divsChild>
        <w:div w:id="1348483812">
          <w:marLeft w:val="547"/>
          <w:marRight w:val="0"/>
          <w:marTop w:val="0"/>
          <w:marBottom w:val="0"/>
          <w:divBdr>
            <w:top w:val="none" w:sz="0" w:space="0" w:color="auto"/>
            <w:left w:val="none" w:sz="0" w:space="0" w:color="auto"/>
            <w:bottom w:val="none" w:sz="0" w:space="0" w:color="auto"/>
            <w:right w:val="none" w:sz="0" w:space="0" w:color="auto"/>
          </w:divBdr>
        </w:div>
      </w:divsChild>
    </w:div>
    <w:div w:id="1753696223">
      <w:bodyDiv w:val="1"/>
      <w:marLeft w:val="0"/>
      <w:marRight w:val="0"/>
      <w:marTop w:val="0"/>
      <w:marBottom w:val="0"/>
      <w:divBdr>
        <w:top w:val="none" w:sz="0" w:space="0" w:color="auto"/>
        <w:left w:val="none" w:sz="0" w:space="0" w:color="auto"/>
        <w:bottom w:val="none" w:sz="0" w:space="0" w:color="auto"/>
        <w:right w:val="none" w:sz="0" w:space="0" w:color="auto"/>
      </w:divBdr>
      <w:divsChild>
        <w:div w:id="35129312">
          <w:marLeft w:val="446"/>
          <w:marRight w:val="0"/>
          <w:marTop w:val="0"/>
          <w:marBottom w:val="0"/>
          <w:divBdr>
            <w:top w:val="none" w:sz="0" w:space="0" w:color="auto"/>
            <w:left w:val="none" w:sz="0" w:space="0" w:color="auto"/>
            <w:bottom w:val="none" w:sz="0" w:space="0" w:color="auto"/>
            <w:right w:val="none" w:sz="0" w:space="0" w:color="auto"/>
          </w:divBdr>
        </w:div>
        <w:div w:id="1652297132">
          <w:marLeft w:val="446"/>
          <w:marRight w:val="0"/>
          <w:marTop w:val="180"/>
          <w:marBottom w:val="0"/>
          <w:divBdr>
            <w:top w:val="none" w:sz="0" w:space="0" w:color="auto"/>
            <w:left w:val="none" w:sz="0" w:space="0" w:color="auto"/>
            <w:bottom w:val="none" w:sz="0" w:space="0" w:color="auto"/>
            <w:right w:val="none" w:sz="0" w:space="0" w:color="auto"/>
          </w:divBdr>
        </w:div>
        <w:div w:id="903372099">
          <w:marLeft w:val="446"/>
          <w:marRight w:val="0"/>
          <w:marTop w:val="18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1</Pages>
  <Words>270</Words>
  <Characters>1544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Kara Dornish</dc:creator>
  <cp:keywords/>
  <dc:description/>
  <cp:lastModifiedBy>Kara Dornish</cp:lastModifiedBy>
  <cp:revision>4</cp:revision>
  <dcterms:created xsi:type="dcterms:W3CDTF">2020-03-06T15:35:00Z</dcterms:created>
  <dcterms:modified xsi:type="dcterms:W3CDTF">2020-03-12T20:08:00Z</dcterms:modified>
</cp:coreProperties>
</file>