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8E5B8" w14:textId="77777777" w:rsidR="00E20E70" w:rsidRPr="00221326" w:rsidRDefault="00F1752C" w:rsidP="00F1752C">
      <w:pPr>
        <w:pStyle w:val="BodyText"/>
        <w:jc w:val="center"/>
        <w:rPr>
          <w:rFonts w:asciiTheme="minorHAnsi" w:hAnsiTheme="minorHAnsi" w:cstheme="minorHAnsi"/>
        </w:rPr>
      </w:pPr>
      <w:r w:rsidRPr="006B153D">
        <w:rPr>
          <w:rFonts w:asciiTheme="minorHAnsi" w:hAnsiTheme="minorHAnsi" w:cstheme="minorHAnsi"/>
          <w:noProof/>
          <w:lang w:eastAsia="en-GB"/>
        </w:rPr>
        <w:drawing>
          <wp:inline distT="0" distB="0" distL="0" distR="0" wp14:anchorId="1FB7D5C1" wp14:editId="6A901DF5">
            <wp:extent cx="1486800" cy="1130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ndart-Logo-E_vertical_k.jpg"/>
                    <pic:cNvPicPr/>
                  </pic:nvPicPr>
                  <pic:blipFill>
                    <a:blip r:embed="rId8">
                      <a:extLst>
                        <a:ext uri="{28A0092B-C50C-407E-A947-70E740481C1C}">
                          <a14:useLocalDpi xmlns:a14="http://schemas.microsoft.com/office/drawing/2010/main" val="0"/>
                        </a:ext>
                      </a:extLst>
                    </a:blip>
                    <a:stretch>
                      <a:fillRect/>
                    </a:stretch>
                  </pic:blipFill>
                  <pic:spPr>
                    <a:xfrm>
                      <a:off x="0" y="0"/>
                      <a:ext cx="1486800" cy="1130400"/>
                    </a:xfrm>
                    <a:prstGeom prst="rect">
                      <a:avLst/>
                    </a:prstGeom>
                  </pic:spPr>
                </pic:pic>
              </a:graphicData>
            </a:graphic>
          </wp:inline>
        </w:drawing>
      </w:r>
    </w:p>
    <w:p w14:paraId="5E91AEEA" w14:textId="77777777" w:rsidR="00F1752C" w:rsidRPr="00221326" w:rsidRDefault="00F1752C" w:rsidP="00F1752C">
      <w:pPr>
        <w:pStyle w:val="BodyText"/>
        <w:spacing w:after="0" w:line="276" w:lineRule="auto"/>
        <w:jc w:val="center"/>
        <w:rPr>
          <w:b/>
          <w:sz w:val="28"/>
          <w:szCs w:val="28"/>
        </w:rPr>
      </w:pPr>
    </w:p>
    <w:p w14:paraId="3B67B121" w14:textId="64A8B444" w:rsidR="009943FA" w:rsidRPr="00221326" w:rsidRDefault="00BB30A3" w:rsidP="005005AC">
      <w:pPr>
        <w:pStyle w:val="BodyText"/>
        <w:spacing w:line="276" w:lineRule="auto"/>
        <w:jc w:val="center"/>
        <w:rPr>
          <w:b/>
          <w:sz w:val="28"/>
          <w:szCs w:val="28"/>
        </w:rPr>
      </w:pPr>
      <w:r>
        <w:rPr>
          <w:b/>
          <w:bCs/>
          <w:sz w:val="42"/>
          <w:szCs w:val="42"/>
        </w:rPr>
        <w:t>Technical Meeting on</w:t>
      </w:r>
      <w:r w:rsidR="005005AC">
        <w:rPr>
          <w:b/>
          <w:bCs/>
          <w:sz w:val="42"/>
          <w:szCs w:val="42"/>
        </w:rPr>
        <w:br/>
      </w:r>
      <w:r>
        <w:rPr>
          <w:b/>
          <w:bCs/>
          <w:sz w:val="42"/>
          <w:szCs w:val="42"/>
        </w:rPr>
        <w:t>Characteri</w:t>
      </w:r>
      <w:r w:rsidR="0035498E">
        <w:rPr>
          <w:b/>
          <w:bCs/>
          <w:sz w:val="42"/>
          <w:szCs w:val="42"/>
        </w:rPr>
        <w:t>z</w:t>
      </w:r>
      <w:r>
        <w:rPr>
          <w:b/>
          <w:bCs/>
          <w:sz w:val="42"/>
          <w:szCs w:val="42"/>
        </w:rPr>
        <w:t>ation Methods and Technologies to</w:t>
      </w:r>
      <w:r w:rsidR="005005AC">
        <w:rPr>
          <w:b/>
          <w:bCs/>
          <w:sz w:val="42"/>
          <w:szCs w:val="42"/>
        </w:rPr>
        <w:br/>
        <w:t>M</w:t>
      </w:r>
      <w:r>
        <w:rPr>
          <w:b/>
          <w:bCs/>
          <w:sz w:val="42"/>
          <w:szCs w:val="42"/>
        </w:rPr>
        <w:t>eet Waste Acceptance Criteria</w:t>
      </w:r>
    </w:p>
    <w:p w14:paraId="24E73E1A" w14:textId="77777777" w:rsidR="009A3E84" w:rsidRDefault="009A3E84" w:rsidP="00F1752C">
      <w:pPr>
        <w:overflowPunct/>
        <w:spacing w:line="276" w:lineRule="auto"/>
        <w:jc w:val="center"/>
        <w:textAlignment w:val="auto"/>
        <w:rPr>
          <w:b/>
          <w:bCs/>
          <w:sz w:val="24"/>
          <w:szCs w:val="24"/>
          <w:lang w:eastAsia="en-GB"/>
        </w:rPr>
      </w:pPr>
    </w:p>
    <w:p w14:paraId="140316A8" w14:textId="77777777" w:rsidR="00F1752C" w:rsidRPr="006B153D" w:rsidRDefault="00F1752C" w:rsidP="00F1752C">
      <w:pPr>
        <w:overflowPunct/>
        <w:spacing w:line="276" w:lineRule="auto"/>
        <w:jc w:val="center"/>
        <w:textAlignment w:val="auto"/>
        <w:rPr>
          <w:b/>
          <w:bCs/>
          <w:sz w:val="24"/>
          <w:szCs w:val="24"/>
          <w:lang w:eastAsia="en-GB"/>
        </w:rPr>
      </w:pPr>
      <w:r w:rsidRPr="006B153D">
        <w:rPr>
          <w:b/>
          <w:bCs/>
          <w:sz w:val="24"/>
          <w:szCs w:val="24"/>
          <w:lang w:eastAsia="en-GB"/>
        </w:rPr>
        <w:t>Hosted by the</w:t>
      </w:r>
    </w:p>
    <w:p w14:paraId="5588F270" w14:textId="0CDF03D7" w:rsidR="00F1752C" w:rsidRPr="006B153D" w:rsidRDefault="00BB30A3" w:rsidP="00F1752C">
      <w:pPr>
        <w:overflowPunct/>
        <w:spacing w:line="276" w:lineRule="auto"/>
        <w:jc w:val="center"/>
        <w:textAlignment w:val="auto"/>
        <w:rPr>
          <w:sz w:val="24"/>
          <w:szCs w:val="24"/>
          <w:lang w:eastAsia="en-GB"/>
        </w:rPr>
      </w:pPr>
      <w:r>
        <w:rPr>
          <w:sz w:val="28"/>
          <w:szCs w:val="28"/>
          <w:lang w:eastAsia="en-GB"/>
        </w:rPr>
        <w:t>International Atomic Energy Agency (IAEA)</w:t>
      </w:r>
    </w:p>
    <w:p w14:paraId="01C99080" w14:textId="77777777" w:rsidR="00F1752C" w:rsidRPr="006B153D" w:rsidRDefault="00F1752C" w:rsidP="003B1DED">
      <w:pPr>
        <w:overflowPunct/>
        <w:spacing w:line="276" w:lineRule="auto"/>
        <w:jc w:val="center"/>
        <w:textAlignment w:val="auto"/>
        <w:rPr>
          <w:b/>
          <w:bCs/>
          <w:color w:val="000000"/>
          <w:sz w:val="28"/>
          <w:szCs w:val="28"/>
          <w:lang w:eastAsia="en-GB"/>
        </w:rPr>
      </w:pPr>
    </w:p>
    <w:p w14:paraId="2CB941DD" w14:textId="37188C24" w:rsidR="003B1DED" w:rsidRDefault="005005AC" w:rsidP="001F3F79">
      <w:pPr>
        <w:overflowPunct/>
        <w:spacing w:line="276" w:lineRule="auto"/>
        <w:jc w:val="center"/>
        <w:textAlignment w:val="auto"/>
        <w:rPr>
          <w:b/>
          <w:bCs/>
          <w:color w:val="000000"/>
          <w:sz w:val="28"/>
          <w:szCs w:val="28"/>
          <w:lang w:eastAsia="en-GB"/>
        </w:rPr>
      </w:pPr>
      <w:r>
        <w:rPr>
          <w:b/>
          <w:bCs/>
          <w:color w:val="000000"/>
          <w:sz w:val="28"/>
          <w:szCs w:val="28"/>
          <w:lang w:eastAsia="en-GB"/>
        </w:rPr>
        <w:t>IAEA Headquarters</w:t>
      </w:r>
      <w:r>
        <w:rPr>
          <w:b/>
          <w:bCs/>
          <w:color w:val="000000"/>
          <w:sz w:val="28"/>
          <w:szCs w:val="28"/>
          <w:lang w:eastAsia="en-GB"/>
        </w:rPr>
        <w:br/>
      </w:r>
      <w:r w:rsidR="00BB30A3">
        <w:rPr>
          <w:b/>
          <w:bCs/>
          <w:color w:val="000000"/>
          <w:sz w:val="28"/>
          <w:szCs w:val="28"/>
          <w:lang w:eastAsia="en-GB"/>
        </w:rPr>
        <w:t>Vienna</w:t>
      </w:r>
      <w:r w:rsidR="003378FF" w:rsidRPr="003378FF">
        <w:rPr>
          <w:b/>
          <w:bCs/>
          <w:color w:val="000000"/>
          <w:sz w:val="28"/>
          <w:szCs w:val="28"/>
          <w:lang w:eastAsia="en-GB"/>
        </w:rPr>
        <w:t xml:space="preserve">, </w:t>
      </w:r>
      <w:r w:rsidR="00BB30A3">
        <w:rPr>
          <w:b/>
          <w:bCs/>
          <w:color w:val="000000"/>
          <w:sz w:val="28"/>
          <w:szCs w:val="28"/>
          <w:lang w:eastAsia="en-GB"/>
        </w:rPr>
        <w:t>Austria</w:t>
      </w:r>
    </w:p>
    <w:p w14:paraId="4EC5676B" w14:textId="77777777" w:rsidR="005005AC" w:rsidRPr="006B153D" w:rsidRDefault="005005AC">
      <w:pPr>
        <w:overflowPunct/>
        <w:spacing w:line="276" w:lineRule="auto"/>
        <w:jc w:val="center"/>
        <w:textAlignment w:val="auto"/>
        <w:rPr>
          <w:b/>
          <w:bCs/>
          <w:color w:val="000000"/>
          <w:sz w:val="24"/>
          <w:szCs w:val="24"/>
          <w:lang w:eastAsia="en-GB"/>
        </w:rPr>
      </w:pPr>
    </w:p>
    <w:p w14:paraId="5A207A13" w14:textId="43C50916" w:rsidR="00F1752C" w:rsidRDefault="00BB30A3" w:rsidP="009A3E84">
      <w:pPr>
        <w:overflowPunct/>
        <w:spacing w:line="276" w:lineRule="auto"/>
        <w:jc w:val="center"/>
        <w:textAlignment w:val="auto"/>
        <w:rPr>
          <w:b/>
          <w:bCs/>
          <w:sz w:val="28"/>
          <w:szCs w:val="28"/>
        </w:rPr>
      </w:pPr>
      <w:r>
        <w:rPr>
          <w:b/>
          <w:bCs/>
          <w:sz w:val="28"/>
          <w:szCs w:val="28"/>
        </w:rPr>
        <w:t>14</w:t>
      </w:r>
      <w:r w:rsidR="005005AC">
        <w:rPr>
          <w:b/>
          <w:bCs/>
          <w:sz w:val="28"/>
          <w:szCs w:val="28"/>
        </w:rPr>
        <w:t>–</w:t>
      </w:r>
      <w:r>
        <w:rPr>
          <w:b/>
          <w:bCs/>
          <w:sz w:val="28"/>
          <w:szCs w:val="28"/>
        </w:rPr>
        <w:t>17</w:t>
      </w:r>
      <w:r w:rsidR="002A34C7">
        <w:rPr>
          <w:b/>
          <w:bCs/>
          <w:sz w:val="28"/>
          <w:szCs w:val="28"/>
        </w:rPr>
        <w:t xml:space="preserve"> </w:t>
      </w:r>
      <w:r>
        <w:rPr>
          <w:b/>
          <w:bCs/>
          <w:sz w:val="28"/>
          <w:szCs w:val="28"/>
        </w:rPr>
        <w:t>May 2019</w:t>
      </w:r>
    </w:p>
    <w:p w14:paraId="2AF823FD" w14:textId="77777777" w:rsidR="00800251" w:rsidRPr="006B153D" w:rsidRDefault="00800251" w:rsidP="00B521CB">
      <w:pPr>
        <w:overflowPunct/>
        <w:spacing w:line="276" w:lineRule="auto"/>
        <w:jc w:val="center"/>
        <w:textAlignment w:val="auto"/>
        <w:rPr>
          <w:b/>
          <w:bCs/>
          <w:sz w:val="24"/>
          <w:szCs w:val="24"/>
        </w:rPr>
      </w:pPr>
    </w:p>
    <w:p w14:paraId="0C8968C5" w14:textId="5AE8BB68" w:rsidR="00276559" w:rsidRPr="00F8358B" w:rsidRDefault="00F1752C" w:rsidP="000C2373">
      <w:pPr>
        <w:overflowPunct/>
        <w:spacing w:line="276" w:lineRule="auto"/>
        <w:jc w:val="center"/>
        <w:textAlignment w:val="auto"/>
        <w:rPr>
          <w:b/>
          <w:bCs/>
          <w:sz w:val="24"/>
          <w:szCs w:val="24"/>
          <w:lang w:eastAsia="en-GB"/>
        </w:rPr>
      </w:pPr>
      <w:r w:rsidRPr="00F8358B">
        <w:rPr>
          <w:b/>
          <w:bCs/>
          <w:sz w:val="24"/>
          <w:szCs w:val="24"/>
        </w:rPr>
        <w:t>Ref. No</w:t>
      </w:r>
      <w:r w:rsidR="009A3E84" w:rsidRPr="00F8358B">
        <w:rPr>
          <w:b/>
          <w:bCs/>
          <w:sz w:val="24"/>
          <w:szCs w:val="24"/>
        </w:rPr>
        <w:t>.</w:t>
      </w:r>
      <w:r w:rsidRPr="00F8358B">
        <w:rPr>
          <w:b/>
          <w:bCs/>
          <w:sz w:val="24"/>
          <w:szCs w:val="24"/>
        </w:rPr>
        <w:t xml:space="preserve"> </w:t>
      </w:r>
      <w:r w:rsidR="004F3C9C" w:rsidRPr="00F8358B">
        <w:rPr>
          <w:b/>
          <w:bCs/>
          <w:sz w:val="24"/>
          <w:szCs w:val="24"/>
        </w:rPr>
        <w:t>EVT1805254</w:t>
      </w:r>
    </w:p>
    <w:p w14:paraId="20A267DE" w14:textId="77777777" w:rsidR="00276559" w:rsidRPr="006B153D" w:rsidRDefault="00276559" w:rsidP="00B521CB">
      <w:pPr>
        <w:overflowPunct/>
        <w:spacing w:line="276" w:lineRule="auto"/>
        <w:jc w:val="center"/>
        <w:textAlignment w:val="auto"/>
        <w:rPr>
          <w:b/>
          <w:bCs/>
          <w:color w:val="000000"/>
          <w:sz w:val="28"/>
          <w:szCs w:val="28"/>
          <w:lang w:eastAsia="en-GB"/>
        </w:rPr>
      </w:pPr>
    </w:p>
    <w:p w14:paraId="117770B0" w14:textId="77777777" w:rsidR="00276559" w:rsidRPr="006B153D" w:rsidRDefault="007763BA" w:rsidP="00B521CB">
      <w:pPr>
        <w:overflowPunct/>
        <w:spacing w:line="276" w:lineRule="auto"/>
        <w:jc w:val="center"/>
        <w:textAlignment w:val="auto"/>
        <w:rPr>
          <w:b/>
          <w:bCs/>
          <w:sz w:val="36"/>
          <w:szCs w:val="36"/>
          <w:lang w:eastAsia="en-GB"/>
        </w:rPr>
      </w:pPr>
      <w:r>
        <w:rPr>
          <w:b/>
          <w:bCs/>
          <w:color w:val="000000"/>
          <w:sz w:val="36"/>
          <w:szCs w:val="36"/>
          <w:lang w:eastAsia="en-GB"/>
        </w:rPr>
        <w:t>Information Sheet</w:t>
      </w:r>
    </w:p>
    <w:p w14:paraId="2E2ADCE4" w14:textId="77777777" w:rsidR="00750DF0" w:rsidRPr="006B153D" w:rsidRDefault="00497D59" w:rsidP="005B6E72">
      <w:pPr>
        <w:pStyle w:val="Heading1"/>
      </w:pPr>
      <w:r w:rsidRPr="006B153D">
        <w:t>Background</w:t>
      </w:r>
    </w:p>
    <w:p w14:paraId="247B2A77" w14:textId="7088AAB8" w:rsidR="00BB30A3" w:rsidRDefault="00BB30A3" w:rsidP="00BB30A3">
      <w:pPr>
        <w:pStyle w:val="BodyText"/>
      </w:pPr>
      <w:r>
        <w:t>Radioactive waste is generated from the operation of nuclear power plants</w:t>
      </w:r>
      <w:r w:rsidR="002E1C0E">
        <w:t xml:space="preserve"> and</w:t>
      </w:r>
      <w:r>
        <w:t xml:space="preserve"> nuclear fuel cycle facilities</w:t>
      </w:r>
      <w:r w:rsidR="002E1C0E">
        <w:t>,</w:t>
      </w:r>
      <w:r>
        <w:t xml:space="preserve"> and from the use of radionuclides in research, health care and industrial applications. Depending on the origin, </w:t>
      </w:r>
      <w:r w:rsidR="00392D28">
        <w:t xml:space="preserve">there are different types of </w:t>
      </w:r>
      <w:r>
        <w:t xml:space="preserve">radioactive waste </w:t>
      </w:r>
      <w:r w:rsidR="00392D28">
        <w:t>with</w:t>
      </w:r>
      <w:r>
        <w:t xml:space="preserve"> a wide range of radiological, physical and chemical properties.</w:t>
      </w:r>
    </w:p>
    <w:p w14:paraId="2418EDB3" w14:textId="436C5DF8" w:rsidR="00BB30A3" w:rsidRDefault="002E1C0E" w:rsidP="00BB30A3">
      <w:pPr>
        <w:pStyle w:val="BodyText"/>
      </w:pPr>
      <w:r>
        <w:t>Determining these properties is part of the c</w:t>
      </w:r>
      <w:r w:rsidR="00BB30A3">
        <w:t>haracterization of radioactive waste</w:t>
      </w:r>
      <w:r>
        <w:t>, which</w:t>
      </w:r>
      <w:r w:rsidR="00BB30A3">
        <w:t xml:space="preserve"> plays </w:t>
      </w:r>
      <w:r>
        <w:t xml:space="preserve">an </w:t>
      </w:r>
      <w:r w:rsidR="00BB30A3">
        <w:t xml:space="preserve">important role at various stages of the </w:t>
      </w:r>
      <w:r>
        <w:t xml:space="preserve">process of </w:t>
      </w:r>
      <w:r w:rsidR="00BB30A3">
        <w:t>safe</w:t>
      </w:r>
      <w:r>
        <w:t>ly</w:t>
      </w:r>
      <w:r w:rsidR="00BB30A3">
        <w:t xml:space="preserve"> manag</w:t>
      </w:r>
      <w:r>
        <w:t>ing</w:t>
      </w:r>
      <w:r w:rsidR="00BB30A3">
        <w:t xml:space="preserve"> radioactive</w:t>
      </w:r>
      <w:r>
        <w:t xml:space="preserve"> waste</w:t>
      </w:r>
      <w:r w:rsidR="00BB30A3">
        <w:t>, from generation to disposal. For example, it can help to establish the appropriate treatment or conditioning needed</w:t>
      </w:r>
      <w:r w:rsidR="002804E3">
        <w:t>;</w:t>
      </w:r>
      <w:r w:rsidR="00BB30A3">
        <w:t xml:space="preserve"> to provide information needed for process control</w:t>
      </w:r>
      <w:r w:rsidR="002804E3">
        <w:t>;</w:t>
      </w:r>
      <w:r w:rsidR="00BB30A3">
        <w:t xml:space="preserve"> and to provide assurance that the waste or waste package will meet the waste acceptance criteria for the processing, storage, transport and disposal of the waste.</w:t>
      </w:r>
    </w:p>
    <w:p w14:paraId="6B63B707" w14:textId="247E9579" w:rsidR="00BB30A3" w:rsidRDefault="00BB30A3" w:rsidP="00BB30A3">
      <w:pPr>
        <w:pStyle w:val="BodyText"/>
      </w:pPr>
      <w:r>
        <w:t xml:space="preserve">Waste characterization involves the use of state-of-the-art assay methods and radiation metrology to verify the properties and characteristics of the waste. In addition, characterization </w:t>
      </w:r>
      <w:r w:rsidR="006477B5">
        <w:t xml:space="preserve">includes </w:t>
      </w:r>
      <w:r>
        <w:t xml:space="preserve">product </w:t>
      </w:r>
      <w:r>
        <w:lastRenderedPageBreak/>
        <w:t xml:space="preserve">quality control to verify the compliance of waste properties with the </w:t>
      </w:r>
      <w:r w:rsidR="003F5CB5">
        <w:t xml:space="preserve">waste acceptance criteria </w:t>
      </w:r>
      <w:r>
        <w:t>of a waste predisp</w:t>
      </w:r>
      <w:r w:rsidR="005C1129">
        <w:t>osal facility or a repository.</w:t>
      </w:r>
    </w:p>
    <w:p w14:paraId="63FE5D8C" w14:textId="35D13810" w:rsidR="003920E5" w:rsidRDefault="003920E5" w:rsidP="00BB30A3">
      <w:pPr>
        <w:pStyle w:val="BodyText"/>
      </w:pPr>
      <w:r w:rsidRPr="003920E5">
        <w:t xml:space="preserve">Verifying that the </w:t>
      </w:r>
      <w:r w:rsidR="003F5CB5">
        <w:t xml:space="preserve">waste acceptance criteria </w:t>
      </w:r>
      <w:r w:rsidRPr="003920E5">
        <w:t xml:space="preserve">for radioactive waste immobilization and disposal are fulfilled is a key action in the </w:t>
      </w:r>
      <w:r w:rsidR="00A2168A">
        <w:t>process</w:t>
      </w:r>
      <w:r w:rsidRPr="003920E5">
        <w:t xml:space="preserve"> of </w:t>
      </w:r>
      <w:r w:rsidR="00D22BF4">
        <w:t>rad</w:t>
      </w:r>
      <w:r w:rsidR="00A2168A">
        <w:t xml:space="preserve">ioactive </w:t>
      </w:r>
      <w:r w:rsidR="00D22BF4">
        <w:t>waste management</w:t>
      </w:r>
      <w:r w:rsidRPr="003920E5">
        <w:t xml:space="preserve">. </w:t>
      </w:r>
      <w:r w:rsidR="003F5CB5">
        <w:t>A key criterion is t</w:t>
      </w:r>
      <w:r w:rsidR="00A2168A">
        <w:t>he r</w:t>
      </w:r>
      <w:r w:rsidRPr="003920E5">
        <w:t xml:space="preserve">adionuclide inventory of the radioactive waste or waste packages, and different methods exist to determine this. </w:t>
      </w:r>
      <w:r w:rsidR="00A2168A">
        <w:t>The r</w:t>
      </w:r>
      <w:r w:rsidRPr="003920E5">
        <w:t>adionuclide inventory can be determined using</w:t>
      </w:r>
      <w:r w:rsidR="00FE0F7D">
        <w:t>:</w:t>
      </w:r>
      <w:r w:rsidRPr="003920E5">
        <w:t xml:space="preserve"> non-destructive assay or destructive analysis</w:t>
      </w:r>
      <w:r w:rsidR="00FE0F7D">
        <w:t>;</w:t>
      </w:r>
      <w:r w:rsidRPr="003920E5">
        <w:t xml:space="preserve"> calculations</w:t>
      </w:r>
      <w:r w:rsidR="00FE0F7D">
        <w:t>,</w:t>
      </w:r>
      <w:r w:rsidRPr="003920E5">
        <w:t xml:space="preserve"> </w:t>
      </w:r>
      <w:r w:rsidR="004E7D17">
        <w:t xml:space="preserve">such as a combination of </w:t>
      </w:r>
      <w:r w:rsidRPr="003920E5">
        <w:t xml:space="preserve">activation codes </w:t>
      </w:r>
      <w:r w:rsidR="004E7D17">
        <w:t>and</w:t>
      </w:r>
      <w:r w:rsidRPr="003920E5">
        <w:t xml:space="preserve"> Monte Carlo </w:t>
      </w:r>
      <w:r w:rsidR="00FE0F7D">
        <w:t>methods;</w:t>
      </w:r>
      <w:r w:rsidRPr="003920E5">
        <w:t xml:space="preserve"> and the scaling factor method. </w:t>
      </w:r>
      <w:r w:rsidR="005E5F23">
        <w:t xml:space="preserve">Some </w:t>
      </w:r>
      <w:r w:rsidRPr="003920E5">
        <w:t xml:space="preserve">radionuclides that must be determined </w:t>
      </w:r>
      <w:r w:rsidR="005E5F23">
        <w:t>are easier to measure than others</w:t>
      </w:r>
      <w:r w:rsidR="00821D92">
        <w:t>, and</w:t>
      </w:r>
      <w:r w:rsidRPr="003920E5">
        <w:t xml:space="preserve"> </w:t>
      </w:r>
      <w:r w:rsidR="00821D92">
        <w:t>d</w:t>
      </w:r>
      <w:r w:rsidRPr="003920E5">
        <w:t xml:space="preserve">ifferent methods </w:t>
      </w:r>
      <w:r w:rsidR="005E5F23">
        <w:t xml:space="preserve">of determination </w:t>
      </w:r>
      <w:r w:rsidRPr="003920E5">
        <w:t xml:space="preserve">may lead to </w:t>
      </w:r>
      <w:r w:rsidR="003F5CB5">
        <w:t xml:space="preserve">a </w:t>
      </w:r>
      <w:r w:rsidRPr="003920E5">
        <w:t xml:space="preserve">very different quality </w:t>
      </w:r>
      <w:r w:rsidR="005E5F23">
        <w:t xml:space="preserve">of both </w:t>
      </w:r>
      <w:r w:rsidRPr="003920E5">
        <w:t>outcome</w:t>
      </w:r>
      <w:r w:rsidR="005E5F23">
        <w:t xml:space="preserve"> and</w:t>
      </w:r>
      <w:r w:rsidRPr="003920E5">
        <w:t xml:space="preserve"> budget. The preferred methodology will also depend on the </w:t>
      </w:r>
      <w:r w:rsidR="005E5F23">
        <w:t>type</w:t>
      </w:r>
      <w:r w:rsidR="005E5F23" w:rsidRPr="003920E5">
        <w:t xml:space="preserve"> </w:t>
      </w:r>
      <w:r w:rsidRPr="003920E5">
        <w:t>of waste or waste package</w:t>
      </w:r>
      <w:r w:rsidR="005E5F23">
        <w:t xml:space="preserve">, </w:t>
      </w:r>
      <w:proofErr w:type="gramStart"/>
      <w:r w:rsidR="005E5F23">
        <w:t>in particular on</w:t>
      </w:r>
      <w:proofErr w:type="gramEnd"/>
      <w:r w:rsidR="005E5F23">
        <w:t xml:space="preserve"> the</w:t>
      </w:r>
      <w:r w:rsidRPr="003920E5">
        <w:t xml:space="preserve"> level of radioactivity, homogeneity, </w:t>
      </w:r>
      <w:r w:rsidR="005E5F23">
        <w:t xml:space="preserve">and </w:t>
      </w:r>
      <w:r w:rsidRPr="003920E5">
        <w:t>knowledge of the primary waste. Therefore, it is highly recommend</w:t>
      </w:r>
      <w:r w:rsidR="00354F9B">
        <w:t>ed</w:t>
      </w:r>
      <w:r w:rsidRPr="003920E5">
        <w:t xml:space="preserve"> that the methodology </w:t>
      </w:r>
      <w:r w:rsidR="00354F9B">
        <w:t>for</w:t>
      </w:r>
      <w:r w:rsidR="00354F9B" w:rsidRPr="003920E5">
        <w:t xml:space="preserve"> </w:t>
      </w:r>
      <w:r w:rsidRPr="003920E5">
        <w:t>determining the radionuclide inventory be carefully considered.</w:t>
      </w:r>
    </w:p>
    <w:p w14:paraId="6EFD910E" w14:textId="09795C11" w:rsidR="00BB30A3" w:rsidRDefault="00BB30A3" w:rsidP="00BB30A3">
      <w:pPr>
        <w:pStyle w:val="BodyText"/>
      </w:pPr>
      <w:r>
        <w:t>Over the past decade</w:t>
      </w:r>
      <w:r w:rsidR="00051C90">
        <w:t>,</w:t>
      </w:r>
      <w:r>
        <w:t xml:space="preserve"> significant progress has been achieved in the development of waste characterization, control procedures and equipment as a direct response to ever-increasing requirements for quality and reliability of information on waste characteristics. </w:t>
      </w:r>
      <w:r w:rsidR="00051C90">
        <w:t>The f</w:t>
      </w:r>
      <w:r>
        <w:t xml:space="preserve">ailure </w:t>
      </w:r>
      <w:r w:rsidR="00051C90">
        <w:t xml:space="preserve">of </w:t>
      </w:r>
      <w:r>
        <w:t xml:space="preserve">control procedures at any step can have </w:t>
      </w:r>
      <w:r w:rsidR="00051C90">
        <w:t>significant</w:t>
      </w:r>
      <w:r>
        <w:t xml:space="preserve">, adverse consequences. In some cases, errors in waste characterization may result in </w:t>
      </w:r>
      <w:r w:rsidR="00051C90">
        <w:t xml:space="preserve">the </w:t>
      </w:r>
      <w:r>
        <w:t>produc</w:t>
      </w:r>
      <w:r w:rsidR="00051C90">
        <w:t>tion of</w:t>
      </w:r>
      <w:r>
        <w:t xml:space="preserve"> waste packages </w:t>
      </w:r>
      <w:r w:rsidR="00051C90">
        <w:t xml:space="preserve">that </w:t>
      </w:r>
      <w:r>
        <w:t xml:space="preserve">are not compliant with the </w:t>
      </w:r>
      <w:r w:rsidR="00BA2B3C">
        <w:t xml:space="preserve">waste acceptance criteria </w:t>
      </w:r>
      <w:r>
        <w:t>for disposal, thereby adversely impacting the repository and the waste generating.</w:t>
      </w:r>
    </w:p>
    <w:p w14:paraId="24864D01" w14:textId="7656250C" w:rsidR="00FA6065" w:rsidRDefault="00FA6065" w:rsidP="009A3E84">
      <w:pPr>
        <w:pStyle w:val="BodyText"/>
      </w:pPr>
      <w:r w:rsidRPr="00FA6065">
        <w:t>Over the years, a wealth of information has been accumulated on the principles and practices of waste characterization</w:t>
      </w:r>
      <w:r w:rsidR="00377868">
        <w:t>,</w:t>
      </w:r>
      <w:r>
        <w:t xml:space="preserve"> as well as on the development and use of </w:t>
      </w:r>
      <w:bookmarkStart w:id="0" w:name="_Hlk1562421"/>
      <w:r w:rsidR="00780658">
        <w:t>waste acceptance criteria</w:t>
      </w:r>
      <w:bookmarkEnd w:id="0"/>
      <w:r w:rsidRPr="00FA6065">
        <w:t xml:space="preserve">. Some of this information is now available in the public domain in the form of </w:t>
      </w:r>
      <w:r w:rsidR="00377868">
        <w:t>IAEA</w:t>
      </w:r>
      <w:r w:rsidR="00377868" w:rsidRPr="00FA6065">
        <w:t xml:space="preserve"> </w:t>
      </w:r>
      <w:r w:rsidRPr="00FA6065">
        <w:t xml:space="preserve">publications. In fact, there are ten such publications dealing with various facets of </w:t>
      </w:r>
      <w:r w:rsidR="00F67D82">
        <w:t xml:space="preserve">the </w:t>
      </w:r>
      <w:r w:rsidRPr="00FA6065">
        <w:t xml:space="preserve">characterization of radioactive waste, </w:t>
      </w:r>
      <w:r w:rsidR="008D5104">
        <w:t xml:space="preserve">on </w:t>
      </w:r>
      <w:r w:rsidRPr="00FA6065">
        <w:t>waste forms and waste packages</w:t>
      </w:r>
      <w:r w:rsidR="008D5104">
        <w:t>,</w:t>
      </w:r>
      <w:r>
        <w:t xml:space="preserve"> and on </w:t>
      </w:r>
      <w:r w:rsidR="00780658">
        <w:t>waste acceptance criteria</w:t>
      </w:r>
      <w:r w:rsidRPr="00FA6065">
        <w:t>. While all this information is useful to the end</w:t>
      </w:r>
      <w:r w:rsidR="008D5104">
        <w:t xml:space="preserve"> </w:t>
      </w:r>
      <w:r w:rsidRPr="00FA6065">
        <w:t xml:space="preserve">users in Member States, there is room for improvement in the way the information is presented </w:t>
      </w:r>
      <w:r>
        <w:t xml:space="preserve">and shared </w:t>
      </w:r>
      <w:r w:rsidRPr="00FA6065">
        <w:t xml:space="preserve">so that it </w:t>
      </w:r>
      <w:r w:rsidR="008D5104">
        <w:t xml:space="preserve">may </w:t>
      </w:r>
      <w:r w:rsidRPr="00FA6065">
        <w:t>become easier to use for specific needs in this area. It is also necessary to update existing information.</w:t>
      </w:r>
    </w:p>
    <w:p w14:paraId="0F66619D" w14:textId="7212C1D7" w:rsidR="00832136" w:rsidRDefault="00832136" w:rsidP="001F3F79">
      <w:pPr>
        <w:pStyle w:val="BodyText"/>
      </w:pPr>
      <w:r>
        <w:t xml:space="preserve">This </w:t>
      </w:r>
      <w:r w:rsidR="008D5104">
        <w:t xml:space="preserve">event </w:t>
      </w:r>
      <w:r>
        <w:t xml:space="preserve">is being organized </w:t>
      </w:r>
      <w:r w:rsidR="00BB30A3">
        <w:t xml:space="preserve">by the IAEA with the technical support of the </w:t>
      </w:r>
      <w:r w:rsidR="008D5104">
        <w:t>I</w:t>
      </w:r>
      <w:r w:rsidR="008D5104" w:rsidRPr="00D22BF4">
        <w:t>nternational Network of Laboratories for Nuclear Waste Characterization</w:t>
      </w:r>
      <w:r w:rsidR="008D5104">
        <w:t xml:space="preserve"> (</w:t>
      </w:r>
      <w:r>
        <w:t>LABONET</w:t>
      </w:r>
      <w:r w:rsidR="008D5104">
        <w:t>)</w:t>
      </w:r>
      <w:r w:rsidR="00BB30A3">
        <w:t xml:space="preserve"> Steering Committee</w:t>
      </w:r>
      <w:r w:rsidR="008D5104">
        <w:t>.</w:t>
      </w:r>
      <w:r w:rsidR="00BB30A3">
        <w:t xml:space="preserve"> </w:t>
      </w:r>
      <w:r w:rsidR="008D5104">
        <w:t>The</w:t>
      </w:r>
      <w:r w:rsidR="00BB30A3">
        <w:t xml:space="preserve"> aim</w:t>
      </w:r>
      <w:r>
        <w:t xml:space="preserve"> </w:t>
      </w:r>
      <w:r w:rsidR="008D5104">
        <w:t xml:space="preserve">is </w:t>
      </w:r>
      <w:r>
        <w:t>to increase efficiency in sharing international experience in the application of proven, quality assured practices for the characterization of radioactive wastes and waste packages</w:t>
      </w:r>
      <w:r w:rsidR="00BB30A3">
        <w:t xml:space="preserve"> </w:t>
      </w:r>
      <w:proofErr w:type="gramStart"/>
      <w:r w:rsidR="00BB30A3">
        <w:t>in order to</w:t>
      </w:r>
      <w:proofErr w:type="gramEnd"/>
      <w:r w:rsidR="00BB30A3">
        <w:t xml:space="preserve"> meet the planned or established </w:t>
      </w:r>
      <w:r w:rsidR="00780658">
        <w:t xml:space="preserve">waste acceptance criteria </w:t>
      </w:r>
      <w:r w:rsidR="00BB30A3">
        <w:t>for storage or disposal.</w:t>
      </w:r>
      <w:r>
        <w:t xml:space="preserve"> </w:t>
      </w:r>
      <w:r w:rsidR="001E1485">
        <w:t>The e</w:t>
      </w:r>
      <w:r>
        <w:t xml:space="preserve">xchange of information and best practices in the operation of characterization laboratories is expected to underpin both public and regulatory confidence </w:t>
      </w:r>
      <w:r w:rsidR="001E1485">
        <w:t xml:space="preserve">in the secure management and responsible storage and disposal of </w:t>
      </w:r>
      <w:r>
        <w:t>radioactive waste.</w:t>
      </w:r>
    </w:p>
    <w:p w14:paraId="65BB87B2" w14:textId="77777777" w:rsidR="00362111" w:rsidRPr="006B153D" w:rsidRDefault="008371D8" w:rsidP="000E4286">
      <w:pPr>
        <w:pStyle w:val="Heading1"/>
      </w:pPr>
      <w:r w:rsidRPr="006B153D">
        <w:t>Objectives</w:t>
      </w:r>
    </w:p>
    <w:p w14:paraId="7F646541" w14:textId="5B256E0B" w:rsidR="00D22BF4" w:rsidRDefault="00D22BF4" w:rsidP="009A3E84">
      <w:pPr>
        <w:pStyle w:val="BodyText"/>
      </w:pPr>
      <w:bookmarkStart w:id="1" w:name="_Ref372123484"/>
      <w:r w:rsidRPr="00D22BF4">
        <w:t>The purpose of the event is to s</w:t>
      </w:r>
      <w:r>
        <w:t xml:space="preserve">hare information from the </w:t>
      </w:r>
      <w:r w:rsidRPr="00D22BF4">
        <w:t xml:space="preserve">LABONET on the practices and challenges associated with the characterization of radioactive waste to meet </w:t>
      </w:r>
      <w:r w:rsidR="004930B8" w:rsidRPr="004930B8">
        <w:t>waste acceptance criteria</w:t>
      </w:r>
      <w:r>
        <w:t>.</w:t>
      </w:r>
    </w:p>
    <w:p w14:paraId="7F466E31" w14:textId="325923B1" w:rsidR="00FA6065" w:rsidRDefault="00D22BF4" w:rsidP="009A3E84">
      <w:pPr>
        <w:pStyle w:val="BodyText"/>
      </w:pPr>
      <w:r>
        <w:t>T</w:t>
      </w:r>
      <w:r w:rsidR="00832136">
        <w:t xml:space="preserve">he </w:t>
      </w:r>
      <w:r w:rsidR="001E1485">
        <w:t>event</w:t>
      </w:r>
      <w:r w:rsidR="00832136">
        <w:t xml:space="preserve"> </w:t>
      </w:r>
      <w:r>
        <w:t>will</w:t>
      </w:r>
      <w:r w:rsidR="00832136">
        <w:t xml:space="preserve"> provide a forum for the exchange of information and discussions on good practices, latest developments, challenges and future directions in the area of radioactive waste </w:t>
      </w:r>
      <w:r w:rsidR="00472671">
        <w:t>characterization</w:t>
      </w:r>
      <w:r w:rsidR="00FA6065">
        <w:t xml:space="preserve"> with the aim </w:t>
      </w:r>
      <w:r w:rsidR="00DC69FE">
        <w:t xml:space="preserve">of </w:t>
      </w:r>
      <w:r w:rsidR="00FA6065">
        <w:t>meet</w:t>
      </w:r>
      <w:r w:rsidR="00DC69FE">
        <w:t>ing</w:t>
      </w:r>
      <w:r w:rsidR="00FA6065">
        <w:t xml:space="preserve"> the </w:t>
      </w:r>
      <w:r w:rsidR="004930B8" w:rsidRPr="004930B8">
        <w:t>waste acceptance criteria</w:t>
      </w:r>
      <w:r>
        <w:t>, as well as providing the</w:t>
      </w:r>
      <w:r w:rsidR="00FA6065" w:rsidRPr="00FA6065">
        <w:t xml:space="preserve"> </w:t>
      </w:r>
      <w:r w:rsidR="00FA6065">
        <w:t>latest state-of-the-art</w:t>
      </w:r>
      <w:r w:rsidR="00FA6065" w:rsidRPr="00FA6065">
        <w:t xml:space="preserve"> technical </w:t>
      </w:r>
      <w:r w:rsidR="00FA6065">
        <w:t>methods and technologies</w:t>
      </w:r>
      <w:r w:rsidR="00FA6065" w:rsidRPr="00FA6065">
        <w:t xml:space="preserve"> to characterization laboratory planners, managers and technicians</w:t>
      </w:r>
      <w:r w:rsidR="00DC69FE">
        <w:t>,</w:t>
      </w:r>
      <w:r w:rsidR="00FA6065" w:rsidRPr="00FA6065">
        <w:t xml:space="preserve"> as well as </w:t>
      </w:r>
      <w:r w:rsidR="00DC69FE">
        <w:lastRenderedPageBreak/>
        <w:t xml:space="preserve">to </w:t>
      </w:r>
      <w:r w:rsidR="00FA6065" w:rsidRPr="00FA6065">
        <w:t>designers, operators and regulators involved in the management of radioactive waste in Member States.</w:t>
      </w:r>
    </w:p>
    <w:p w14:paraId="0A725D37" w14:textId="2AF28E69" w:rsidR="006841BE" w:rsidRDefault="006841BE" w:rsidP="006841BE">
      <w:pPr>
        <w:pStyle w:val="Heading1"/>
      </w:pPr>
      <w:r w:rsidRPr="006B153D">
        <w:t>Target Audience</w:t>
      </w:r>
    </w:p>
    <w:p w14:paraId="0A18042C" w14:textId="272C2472" w:rsidR="006841BE" w:rsidRDefault="006841BE" w:rsidP="006841BE">
      <w:pPr>
        <w:pStyle w:val="BodyText"/>
      </w:pPr>
      <w:r>
        <w:t xml:space="preserve">The event is targeted at </w:t>
      </w:r>
      <w:r w:rsidR="00E76B5F">
        <w:t xml:space="preserve">operators or managers </w:t>
      </w:r>
      <w:r>
        <w:t>of laboratories</w:t>
      </w:r>
      <w:r w:rsidR="00E76B5F">
        <w:t>,</w:t>
      </w:r>
      <w:r>
        <w:t xml:space="preserve"> </w:t>
      </w:r>
      <w:r w:rsidR="00E76B5F">
        <w:t xml:space="preserve">regulatory or supporting </w:t>
      </w:r>
      <w:r>
        <w:t>organizations</w:t>
      </w:r>
      <w:r w:rsidR="00E76B5F">
        <w:t>, or radioactive waste processing and storage facilities</w:t>
      </w:r>
      <w:r>
        <w:t xml:space="preserve"> in Member States who are responsible for the characterization </w:t>
      </w:r>
      <w:r w:rsidR="00E76B5F">
        <w:t xml:space="preserve">and management </w:t>
      </w:r>
      <w:r>
        <w:t>of low and intermediate level waste</w:t>
      </w:r>
      <w:r w:rsidR="00E76B5F">
        <w:t>,</w:t>
      </w:r>
      <w:r>
        <w:t xml:space="preserve"> waste packages</w:t>
      </w:r>
      <w:r w:rsidR="00E76B5F">
        <w:t>, and sealed radioactive sources</w:t>
      </w:r>
      <w:r>
        <w:t>; are actively engaged in planning, improving and implementing radioactive waste management programmes, with a special focus on WAC; and who are willing to share their experience or to gain knowledge on the subject.</w:t>
      </w:r>
    </w:p>
    <w:p w14:paraId="364E0B64" w14:textId="5E0C62C0" w:rsidR="006841BE" w:rsidRDefault="006841BE" w:rsidP="00D439F4">
      <w:pPr>
        <w:pStyle w:val="BodyTextMultiline"/>
        <w:numPr>
          <w:ilvl w:val="0"/>
          <w:numId w:val="0"/>
        </w:numPr>
      </w:pPr>
      <w:r w:rsidRPr="00772091">
        <w:t>Approximately 20-25 participants from the invited countries and organizations are expected to attend, as well as representative(s) from the IAEA and LABONET Steering Committee.</w:t>
      </w:r>
    </w:p>
    <w:p w14:paraId="7071955F" w14:textId="77777777" w:rsidR="006F0D15" w:rsidRDefault="006F0D15" w:rsidP="006F0D15">
      <w:pPr>
        <w:pStyle w:val="Heading1"/>
      </w:pPr>
      <w:r>
        <w:t>Working language</w:t>
      </w:r>
    </w:p>
    <w:p w14:paraId="507C5DCA" w14:textId="77777777" w:rsidR="006F0D15" w:rsidRPr="000B672E" w:rsidRDefault="006F0D15" w:rsidP="006F0D15">
      <w:pPr>
        <w:pStyle w:val="BodyTextMultiline"/>
        <w:numPr>
          <w:ilvl w:val="0"/>
          <w:numId w:val="0"/>
        </w:numPr>
      </w:pPr>
      <w:r w:rsidRPr="000B672E">
        <w:t xml:space="preserve">The working language of the </w:t>
      </w:r>
      <w:r>
        <w:t>event</w:t>
      </w:r>
      <w:r w:rsidRPr="000B672E">
        <w:t xml:space="preserve"> will be English with no interpretation provided. All communications and papers must be submitted in this language.</w:t>
      </w:r>
    </w:p>
    <w:p w14:paraId="110D8507" w14:textId="02E5E2BD" w:rsidR="00FB0667" w:rsidRDefault="00FB0667" w:rsidP="00FB0667">
      <w:pPr>
        <w:pStyle w:val="Heading1"/>
      </w:pPr>
      <w:r>
        <w:t>Expected outputs</w:t>
      </w:r>
    </w:p>
    <w:p w14:paraId="48382C33" w14:textId="2DCC8E8C" w:rsidR="00FB0667" w:rsidRPr="00FB0667" w:rsidRDefault="00FB0667" w:rsidP="00FB0667">
      <w:pPr>
        <w:pStyle w:val="BodyTextMultiline"/>
        <w:numPr>
          <w:ilvl w:val="0"/>
          <w:numId w:val="0"/>
        </w:numPr>
      </w:pPr>
      <w:r w:rsidRPr="00FB0667">
        <w:t xml:space="preserve">The expected output </w:t>
      </w:r>
      <w:r w:rsidR="00BB4F6C">
        <w:t>includes</w:t>
      </w:r>
      <w:r w:rsidRPr="00FB0667">
        <w:t xml:space="preserve"> shar</w:t>
      </w:r>
      <w:r w:rsidR="00BB4F6C">
        <w:t>ing</w:t>
      </w:r>
      <w:r w:rsidRPr="00FB0667">
        <w:t xml:space="preserve"> international experiences and best practices </w:t>
      </w:r>
      <w:r w:rsidR="00BB4F6C">
        <w:t>for</w:t>
      </w:r>
      <w:r w:rsidRPr="00FB0667">
        <w:t xml:space="preserve"> </w:t>
      </w:r>
      <w:r w:rsidR="00BB4F6C">
        <w:t xml:space="preserve">the </w:t>
      </w:r>
      <w:r w:rsidRPr="00FB0667">
        <w:t>develo</w:t>
      </w:r>
      <w:r w:rsidR="00BB4F6C">
        <w:t>pment</w:t>
      </w:r>
      <w:r w:rsidRPr="00FB0667">
        <w:t xml:space="preserve"> and usage of </w:t>
      </w:r>
      <w:r w:rsidR="00580CC6" w:rsidRPr="00580CC6">
        <w:t>waste acceptance criteria</w:t>
      </w:r>
      <w:r w:rsidR="00580CC6">
        <w:t xml:space="preserve"> </w:t>
      </w:r>
      <w:r w:rsidRPr="00FB0667">
        <w:t>through</w:t>
      </w:r>
      <w:r w:rsidR="00BB4F6C">
        <w:t>out</w:t>
      </w:r>
      <w:r w:rsidRPr="00FB0667">
        <w:t xml:space="preserve"> </w:t>
      </w:r>
      <w:r w:rsidR="00BB4F6C">
        <w:t xml:space="preserve">the </w:t>
      </w:r>
      <w:r w:rsidRPr="00FB0667">
        <w:t xml:space="preserve">radioactive waste lifecycle. The </w:t>
      </w:r>
      <w:r w:rsidR="00BB4F6C">
        <w:t>event</w:t>
      </w:r>
      <w:r>
        <w:t xml:space="preserve"> </w:t>
      </w:r>
      <w:r w:rsidRPr="00FB0667">
        <w:t xml:space="preserve">should </w:t>
      </w:r>
      <w:r w:rsidR="00BB4F6C">
        <w:t xml:space="preserve">help to </w:t>
      </w:r>
      <w:r w:rsidRPr="00FB0667">
        <w:t xml:space="preserve">strengthen </w:t>
      </w:r>
      <w:r w:rsidR="00BB4F6C">
        <w:t xml:space="preserve">the </w:t>
      </w:r>
      <w:r w:rsidRPr="00FB0667">
        <w:t>knowledge of Member State</w:t>
      </w:r>
      <w:r w:rsidR="00BB4F6C">
        <w:t>s’</w:t>
      </w:r>
      <w:r w:rsidRPr="00FB0667">
        <w:t xml:space="preserve"> representatives in </w:t>
      </w:r>
      <w:r w:rsidR="00BB4F6C">
        <w:t>r</w:t>
      </w:r>
      <w:r w:rsidRPr="00FB0667">
        <w:t xml:space="preserve">adioactive </w:t>
      </w:r>
      <w:r w:rsidR="00BB4F6C">
        <w:t>w</w:t>
      </w:r>
      <w:r w:rsidRPr="00FB0667">
        <w:t xml:space="preserve">aste </w:t>
      </w:r>
      <w:r w:rsidR="00BB4F6C">
        <w:t>m</w:t>
      </w:r>
      <w:r w:rsidRPr="00FB0667">
        <w:t>anagement practices, and to enhance</w:t>
      </w:r>
      <w:r w:rsidR="00C66E55">
        <w:t xml:space="preserve"> the</w:t>
      </w:r>
      <w:r w:rsidRPr="00FB0667">
        <w:t xml:space="preserve"> understanding of </w:t>
      </w:r>
      <w:r>
        <w:t>characteri</w:t>
      </w:r>
      <w:r w:rsidR="00C66E55">
        <w:t>z</w:t>
      </w:r>
      <w:r>
        <w:t xml:space="preserve">ation methods and technologies </w:t>
      </w:r>
      <w:r w:rsidR="00C66E55">
        <w:t xml:space="preserve">that need </w:t>
      </w:r>
      <w:r>
        <w:t xml:space="preserve">to be applied to meet </w:t>
      </w:r>
      <w:r w:rsidR="00580CC6" w:rsidRPr="00580CC6">
        <w:t>waste acceptance criteria</w:t>
      </w:r>
      <w:r w:rsidRPr="00FB0667">
        <w:t>.</w:t>
      </w:r>
    </w:p>
    <w:bookmarkEnd w:id="1"/>
    <w:p w14:paraId="69F2C3BA" w14:textId="71BC3FEC" w:rsidR="00680ADC" w:rsidRDefault="00680ADC" w:rsidP="000E4286">
      <w:pPr>
        <w:pStyle w:val="Heading1"/>
      </w:pPr>
      <w:r>
        <w:t>Structure</w:t>
      </w:r>
    </w:p>
    <w:p w14:paraId="46D41AC2" w14:textId="06107257" w:rsidR="00680ADC" w:rsidRPr="00D439F4" w:rsidRDefault="00680ADC" w:rsidP="00680ADC">
      <w:pPr>
        <w:pStyle w:val="BodyText"/>
      </w:pPr>
      <w:r>
        <w:t>The event will include presentations by the participants outlining Member States’ experiences and issues related to one of the t</w:t>
      </w:r>
      <w:r w:rsidRPr="00763C41">
        <w:t>opics</w:t>
      </w:r>
      <w:r>
        <w:t xml:space="preserve"> mentioned below</w:t>
      </w:r>
      <w:r w:rsidRPr="00763C41">
        <w:t xml:space="preserve">. Participants are requested to indicate in the </w:t>
      </w:r>
      <w:r>
        <w:t>P</w:t>
      </w:r>
      <w:r w:rsidRPr="00763C41">
        <w:t>articipation</w:t>
      </w:r>
      <w:r w:rsidR="00580CC6">
        <w:t> </w:t>
      </w:r>
      <w:r>
        <w:t>Form (Form A)</w:t>
      </w:r>
      <w:r w:rsidRPr="00763C41">
        <w:t xml:space="preserve"> the title of the presentation</w:t>
      </w:r>
      <w:r>
        <w:t>,</w:t>
      </w:r>
      <w:r w:rsidRPr="00763C41">
        <w:t xml:space="preserve"> and </w:t>
      </w:r>
      <w:r>
        <w:t xml:space="preserve">to send an </w:t>
      </w:r>
      <w:r w:rsidRPr="00763C41">
        <w:t xml:space="preserve">abstract </w:t>
      </w:r>
      <w:r>
        <w:t xml:space="preserve">of the presentation </w:t>
      </w:r>
      <w:r w:rsidRPr="00763C41">
        <w:t xml:space="preserve">at least two weeks prior to the </w:t>
      </w:r>
      <w:r>
        <w:t>event</w:t>
      </w:r>
      <w:r w:rsidRPr="00763C41">
        <w:t>.</w:t>
      </w:r>
    </w:p>
    <w:p w14:paraId="5213692E" w14:textId="7C17AFDA" w:rsidR="00680ADC" w:rsidRDefault="00680ADC" w:rsidP="00680ADC">
      <w:pPr>
        <w:pStyle w:val="BodyText"/>
      </w:pPr>
      <w:r>
        <w:t xml:space="preserve">The technical programme will consist of plenaries and breakout sessions. The plenaries will include presentations and discussions on </w:t>
      </w:r>
      <w:proofErr w:type="gramStart"/>
      <w:r>
        <w:t>particular waste</w:t>
      </w:r>
      <w:proofErr w:type="gramEnd"/>
      <w:r>
        <w:t xml:space="preserve"> characterization programmes and on the more focused topics noted below. The breakout sessions will include discussions on relevant issues and topics of common interest.</w:t>
      </w:r>
    </w:p>
    <w:p w14:paraId="40CD4567" w14:textId="6C0C68AB" w:rsidR="00CA5882" w:rsidRPr="006B153D" w:rsidRDefault="00497D59" w:rsidP="000E4286">
      <w:pPr>
        <w:pStyle w:val="Heading1"/>
      </w:pPr>
      <w:r w:rsidRPr="006B153D">
        <w:lastRenderedPageBreak/>
        <w:t>Topics</w:t>
      </w:r>
    </w:p>
    <w:p w14:paraId="1DEC4F8B" w14:textId="265998C4" w:rsidR="00832136" w:rsidRPr="0073676F" w:rsidRDefault="00832136" w:rsidP="00832136">
      <w:pPr>
        <w:pStyle w:val="BodyText"/>
      </w:pPr>
      <w:r w:rsidRPr="0073676F">
        <w:t xml:space="preserve">The </w:t>
      </w:r>
      <w:r w:rsidR="001E1485">
        <w:t>event</w:t>
      </w:r>
      <w:r w:rsidRPr="0073676F">
        <w:t xml:space="preserve"> will involve exchanges on practices and trends in radioactive waste characterization covering </w:t>
      </w:r>
      <w:r w:rsidR="001E2F2C">
        <w:t>five</w:t>
      </w:r>
      <w:r w:rsidR="00DE4D15" w:rsidRPr="0073676F">
        <w:t xml:space="preserve"> major topics</w:t>
      </w:r>
      <w:r w:rsidRPr="0073676F">
        <w:t>:</w:t>
      </w:r>
    </w:p>
    <w:p w14:paraId="6F545EA1" w14:textId="20E4D7D7" w:rsidR="00033A0B" w:rsidRDefault="00033A0B" w:rsidP="00D439F4">
      <w:pPr>
        <w:pStyle w:val="BodyText"/>
        <w:numPr>
          <w:ilvl w:val="0"/>
          <w:numId w:val="26"/>
        </w:numPr>
        <w:rPr>
          <w:iCs/>
        </w:rPr>
      </w:pPr>
      <w:r w:rsidRPr="00D439F4">
        <w:rPr>
          <w:iCs/>
        </w:rPr>
        <w:t xml:space="preserve">Methodologies for demonstrating compliance with </w:t>
      </w:r>
      <w:r w:rsidR="00580CC6" w:rsidRPr="00580CC6">
        <w:rPr>
          <w:iCs/>
        </w:rPr>
        <w:t>waste acceptance criteria</w:t>
      </w:r>
      <w:r w:rsidR="006F7E3A">
        <w:rPr>
          <w:iCs/>
        </w:rPr>
        <w:t>, including non-destructive assay</w:t>
      </w:r>
      <w:r w:rsidRPr="00D439F4">
        <w:rPr>
          <w:iCs/>
        </w:rPr>
        <w:t xml:space="preserve">, </w:t>
      </w:r>
      <w:r w:rsidR="006F7E3A">
        <w:rPr>
          <w:iCs/>
        </w:rPr>
        <w:t>destructive analysis</w:t>
      </w:r>
      <w:r w:rsidRPr="00D439F4">
        <w:rPr>
          <w:iCs/>
        </w:rPr>
        <w:t xml:space="preserve">, </w:t>
      </w:r>
      <w:r w:rsidR="006F7E3A">
        <w:rPr>
          <w:iCs/>
        </w:rPr>
        <w:t>and scaling factor</w:t>
      </w:r>
      <w:r w:rsidR="006F7E3A" w:rsidRPr="00D439F4">
        <w:rPr>
          <w:iCs/>
        </w:rPr>
        <w:t xml:space="preserve"> </w:t>
      </w:r>
      <w:r w:rsidRPr="00D439F4">
        <w:rPr>
          <w:iCs/>
        </w:rPr>
        <w:t>method</w:t>
      </w:r>
      <w:r w:rsidR="006F7E3A">
        <w:rPr>
          <w:iCs/>
        </w:rPr>
        <w:t>s;</w:t>
      </w:r>
    </w:p>
    <w:p w14:paraId="5753A84D" w14:textId="2ED46BEC" w:rsidR="006F7E3A" w:rsidRDefault="00033A0B" w:rsidP="00D439F4">
      <w:pPr>
        <w:pStyle w:val="BodyText"/>
        <w:numPr>
          <w:ilvl w:val="0"/>
          <w:numId w:val="26"/>
        </w:numPr>
        <w:rPr>
          <w:iCs/>
        </w:rPr>
      </w:pPr>
      <w:r w:rsidRPr="00D439F4">
        <w:rPr>
          <w:iCs/>
        </w:rPr>
        <w:t>Characteri</w:t>
      </w:r>
      <w:r w:rsidR="006F7E3A">
        <w:rPr>
          <w:iCs/>
        </w:rPr>
        <w:t>z</w:t>
      </w:r>
      <w:r w:rsidRPr="00D439F4">
        <w:rPr>
          <w:iCs/>
        </w:rPr>
        <w:t xml:space="preserve">ation </w:t>
      </w:r>
      <w:r w:rsidR="006F7E3A">
        <w:rPr>
          <w:iCs/>
        </w:rPr>
        <w:t>based</w:t>
      </w:r>
      <w:r w:rsidR="006F7E3A" w:rsidRPr="00D439F4">
        <w:rPr>
          <w:iCs/>
        </w:rPr>
        <w:t xml:space="preserve"> </w:t>
      </w:r>
      <w:r w:rsidRPr="00D439F4">
        <w:rPr>
          <w:iCs/>
        </w:rPr>
        <w:t>on the end-point (disposal route available/disposal concept available/no disposal route or disposal concept available)</w:t>
      </w:r>
      <w:r w:rsidR="006F7E3A">
        <w:rPr>
          <w:iCs/>
        </w:rPr>
        <w:t>;</w:t>
      </w:r>
    </w:p>
    <w:p w14:paraId="6E41B0B0" w14:textId="45E6D31B" w:rsidR="006F7E3A" w:rsidRDefault="00033A0B" w:rsidP="00D439F4">
      <w:pPr>
        <w:pStyle w:val="BodyText"/>
        <w:numPr>
          <w:ilvl w:val="0"/>
          <w:numId w:val="26"/>
        </w:numPr>
        <w:rPr>
          <w:iCs/>
        </w:rPr>
      </w:pPr>
      <w:r w:rsidRPr="00D439F4">
        <w:rPr>
          <w:iCs/>
        </w:rPr>
        <w:t>Characteri</w:t>
      </w:r>
      <w:r w:rsidR="00E635E8">
        <w:rPr>
          <w:iCs/>
        </w:rPr>
        <w:t>z</w:t>
      </w:r>
      <w:r w:rsidRPr="00D439F4">
        <w:rPr>
          <w:iCs/>
        </w:rPr>
        <w:t>ation of legacy waste to facilitate further processing</w:t>
      </w:r>
      <w:r w:rsidR="006F7E3A">
        <w:rPr>
          <w:iCs/>
        </w:rPr>
        <w:t>;</w:t>
      </w:r>
    </w:p>
    <w:p w14:paraId="2F4D9411" w14:textId="56E117E1" w:rsidR="006F7E3A" w:rsidRDefault="00033A0B" w:rsidP="00D439F4">
      <w:pPr>
        <w:pStyle w:val="BodyText"/>
        <w:numPr>
          <w:ilvl w:val="0"/>
          <w:numId w:val="26"/>
        </w:numPr>
        <w:rPr>
          <w:iCs/>
        </w:rPr>
      </w:pPr>
      <w:r w:rsidRPr="00D439F4">
        <w:rPr>
          <w:iCs/>
        </w:rPr>
        <w:t>Non-</w:t>
      </w:r>
      <w:r w:rsidR="004206B2">
        <w:rPr>
          <w:iCs/>
        </w:rPr>
        <w:t>r</w:t>
      </w:r>
      <w:r w:rsidRPr="00D439F4">
        <w:rPr>
          <w:iCs/>
        </w:rPr>
        <w:t xml:space="preserve">adiological </w:t>
      </w:r>
      <w:r w:rsidR="004206B2">
        <w:rPr>
          <w:iCs/>
        </w:rPr>
        <w:t>characterization</w:t>
      </w:r>
      <w:r w:rsidRPr="00D439F4">
        <w:rPr>
          <w:iCs/>
        </w:rPr>
        <w:t xml:space="preserve"> of </w:t>
      </w:r>
      <w:r w:rsidR="004206B2">
        <w:rPr>
          <w:iCs/>
        </w:rPr>
        <w:t>radioactive waste</w:t>
      </w:r>
      <w:r w:rsidR="004206B2" w:rsidRPr="00D439F4">
        <w:rPr>
          <w:iCs/>
        </w:rPr>
        <w:t xml:space="preserve"> </w:t>
      </w:r>
      <w:r w:rsidRPr="00D439F4">
        <w:rPr>
          <w:iCs/>
        </w:rPr>
        <w:t xml:space="preserve">to ensure compliance with </w:t>
      </w:r>
      <w:r w:rsidR="00580CC6" w:rsidRPr="00580CC6">
        <w:rPr>
          <w:iCs/>
        </w:rPr>
        <w:t>waste acceptance criteria</w:t>
      </w:r>
      <w:r w:rsidR="006F7E3A">
        <w:rPr>
          <w:iCs/>
        </w:rPr>
        <w:t>; and</w:t>
      </w:r>
    </w:p>
    <w:p w14:paraId="65B2778F" w14:textId="75B673FD" w:rsidR="00033A0B" w:rsidRPr="00D439F4" w:rsidRDefault="00033A0B" w:rsidP="00D439F4">
      <w:pPr>
        <w:pStyle w:val="BodyText"/>
        <w:numPr>
          <w:ilvl w:val="0"/>
          <w:numId w:val="26"/>
        </w:numPr>
        <w:rPr>
          <w:iCs/>
        </w:rPr>
      </w:pPr>
      <w:r w:rsidRPr="00D439F4">
        <w:rPr>
          <w:iCs/>
        </w:rPr>
        <w:t>Radioactive waste characterization optimi</w:t>
      </w:r>
      <w:r w:rsidR="004206B2">
        <w:rPr>
          <w:iCs/>
        </w:rPr>
        <w:t>z</w:t>
      </w:r>
      <w:r w:rsidRPr="00D439F4">
        <w:rPr>
          <w:iCs/>
        </w:rPr>
        <w:t>ation</w:t>
      </w:r>
      <w:r w:rsidR="00E76B5F">
        <w:rPr>
          <w:iCs/>
        </w:rPr>
        <w:t>,</w:t>
      </w:r>
      <w:r w:rsidRPr="00D439F4">
        <w:rPr>
          <w:iCs/>
        </w:rPr>
        <w:t xml:space="preserve"> and design solutions for characterization systems and facilities</w:t>
      </w:r>
      <w:r w:rsidR="006F7E3A">
        <w:rPr>
          <w:iCs/>
        </w:rPr>
        <w:t>.</w:t>
      </w:r>
    </w:p>
    <w:p w14:paraId="15095250" w14:textId="3CE6C32F" w:rsidR="00750DF0" w:rsidRPr="007B00C7" w:rsidRDefault="007F77AE" w:rsidP="007B00C7">
      <w:pPr>
        <w:keepNext/>
        <w:keepLines/>
        <w:widowControl w:val="0"/>
        <w:numPr>
          <w:ilvl w:val="0"/>
          <w:numId w:val="17"/>
        </w:numPr>
        <w:overflowPunct/>
        <w:autoSpaceDE/>
        <w:autoSpaceDN/>
        <w:adjustRightInd/>
        <w:spacing w:before="851" w:after="390" w:line="360" w:lineRule="exact"/>
        <w:ind w:left="0" w:firstLine="0"/>
        <w:textAlignment w:val="auto"/>
        <w:outlineLvl w:val="0"/>
        <w:rPr>
          <w:b/>
          <w:sz w:val="32"/>
        </w:rPr>
      </w:pPr>
      <w:r>
        <w:rPr>
          <w:b/>
          <w:sz w:val="32"/>
        </w:rPr>
        <w:t>Participation and Registration</w:t>
      </w:r>
    </w:p>
    <w:p w14:paraId="7F4F2049" w14:textId="77777777" w:rsidR="007F77AE" w:rsidRDefault="007F77AE" w:rsidP="007F77AE">
      <w:pPr>
        <w:pStyle w:val="BodyText"/>
      </w:pPr>
      <w:r>
        <w:t xml:space="preserve">All persons wishing to participate in the event </w:t>
      </w:r>
      <w:proofErr w:type="gramStart"/>
      <w:r>
        <w:t>have to</w:t>
      </w:r>
      <w:proofErr w:type="gramEnd"/>
      <w:r>
        <w:t xml:space="preserve"> be designated by an IAEA Member State or should be members of organizations that have been invited to attend.</w:t>
      </w:r>
    </w:p>
    <w:p w14:paraId="3EBC8C3B" w14:textId="3EACC10F" w:rsidR="007F77AE" w:rsidRDefault="007F77AE" w:rsidP="007F77AE">
      <w:pPr>
        <w:pStyle w:val="BodyText"/>
      </w:pPr>
      <w:proofErr w:type="gramStart"/>
      <w:r>
        <w:t>In order to</w:t>
      </w:r>
      <w:proofErr w:type="gramEnd"/>
      <w:r>
        <w:t xml:space="preserve"> be designated by an IAEA Member State, participants are requested to send the </w:t>
      </w:r>
      <w:r w:rsidRPr="00D439F4">
        <w:rPr>
          <w:b/>
          <w:bCs/>
        </w:rPr>
        <w:t>Participation</w:t>
      </w:r>
      <w:r w:rsidR="00580CC6">
        <w:rPr>
          <w:b/>
          <w:bCs/>
        </w:rPr>
        <w:t> </w:t>
      </w:r>
      <w:r w:rsidRPr="00D439F4">
        <w:rPr>
          <w:b/>
          <w:bCs/>
        </w:rPr>
        <w:t>Form (Form A)</w:t>
      </w:r>
      <w:r>
        <w:t xml:space="preserve"> to their competent national authority (e.g. Ministry of Foreign Affairs, Permanent Mission to the IAEA or National Atomic Energy Authority) for onward transmission to the IAEA by </w:t>
      </w:r>
      <w:r>
        <w:rPr>
          <w:b/>
        </w:rPr>
        <w:t>5</w:t>
      </w:r>
      <w:r w:rsidRPr="00534BE0">
        <w:t> </w:t>
      </w:r>
      <w:r w:rsidRPr="00C36A73">
        <w:rPr>
          <w:b/>
        </w:rPr>
        <w:t>April</w:t>
      </w:r>
      <w:r>
        <w:rPr>
          <w:b/>
        </w:rPr>
        <w:t> </w:t>
      </w:r>
      <w:r w:rsidRPr="00C36A73">
        <w:rPr>
          <w:b/>
        </w:rPr>
        <w:t>2019</w:t>
      </w:r>
      <w:r>
        <w:t xml:space="preserve">. Participants who are members of an organization invited to attend are requested to send the </w:t>
      </w:r>
      <w:r w:rsidRPr="00D439F4">
        <w:rPr>
          <w:b/>
          <w:bCs/>
        </w:rPr>
        <w:t>Participation Form (Form A)</w:t>
      </w:r>
      <w:r>
        <w:t xml:space="preserve"> through their organization to the IAEA by above deadline.</w:t>
      </w:r>
    </w:p>
    <w:p w14:paraId="1190C008" w14:textId="77777777" w:rsidR="007F77AE" w:rsidRDefault="007F77AE" w:rsidP="007F77AE">
      <w:pPr>
        <w:pStyle w:val="BodyText"/>
      </w:pPr>
      <w:r>
        <w:t xml:space="preserve">Selected participants will be informed in due course on the procedures to be followed </w:t>
      </w:r>
      <w:proofErr w:type="gramStart"/>
      <w:r>
        <w:t>with regard to</w:t>
      </w:r>
      <w:proofErr w:type="gramEnd"/>
      <w:r>
        <w:t xml:space="preserve"> administrative and financial matters.</w:t>
      </w:r>
    </w:p>
    <w:p w14:paraId="66E6B874" w14:textId="7571C793" w:rsidR="007F77AE" w:rsidRDefault="007F77AE" w:rsidP="007F77AE">
      <w:pPr>
        <w:pStyle w:val="BodyText"/>
      </w:pPr>
      <w:r>
        <w:t>Please note that the IAEA is in a transition phase to manage the entire registration process for all regular programme events electronically through the new InTouch+ (</w:t>
      </w:r>
      <w:hyperlink r:id="rId9" w:history="1">
        <w:r w:rsidRPr="001157CD">
          <w:rPr>
            <w:rStyle w:val="Hyperlink"/>
          </w:rPr>
          <w:t>https://intouchplus.iaea.org</w:t>
        </w:r>
      </w:hyperlink>
      <w:r>
        <w:t xml:space="preserve">) facility, which is the improved and expanded successor to the InTouch platform that has been used in recent years for the IAEA’s technical cooperation events. Through InTouch+, prospective participants will be able to apply for events and submit all required documents online. National authorities will be able to use InTouch+ to review and approve these applications. Interested parties that would like to use this new facility should write to: </w:t>
      </w:r>
      <w:hyperlink r:id="rId10" w:history="1">
        <w:r w:rsidRPr="001157CD">
          <w:rPr>
            <w:rStyle w:val="Hyperlink"/>
          </w:rPr>
          <w:t>InTouchPlus.Contact-Point@iaea.org</w:t>
        </w:r>
      </w:hyperlink>
      <w:r>
        <w:t>.</w:t>
      </w:r>
    </w:p>
    <w:p w14:paraId="54ECAFB2" w14:textId="5B51D6C6" w:rsidR="007F77AE" w:rsidRDefault="007F77AE" w:rsidP="000E4286">
      <w:pPr>
        <w:pStyle w:val="Heading1"/>
      </w:pPr>
      <w:r>
        <w:t>Papers and Presentations</w:t>
      </w:r>
    </w:p>
    <w:p w14:paraId="3A58CEAD" w14:textId="77777777" w:rsidR="007F77AE" w:rsidRDefault="007F77AE" w:rsidP="00D439F4">
      <w:pPr>
        <w:pStyle w:val="BodyTextMultiline"/>
        <w:numPr>
          <w:ilvl w:val="0"/>
          <w:numId w:val="0"/>
        </w:numPr>
      </w:pPr>
      <w:r>
        <w:t>The IAEA encourages participants to give presentations on the work of their respective institutions that falls under the topics listed in Section G above.</w:t>
      </w:r>
    </w:p>
    <w:p w14:paraId="20BD9135" w14:textId="1E71D569" w:rsidR="007F77AE" w:rsidRDefault="007F77AE" w:rsidP="00D439F4">
      <w:pPr>
        <w:pStyle w:val="BodyTextMultiline"/>
        <w:numPr>
          <w:ilvl w:val="0"/>
          <w:numId w:val="0"/>
        </w:numPr>
      </w:pPr>
      <w:r>
        <w:lastRenderedPageBreak/>
        <w:t xml:space="preserve">Participants who wish to give presentations are requested to submit an abstract of their work. The abstract will be reviewed as part of the selection process for presentations. The abstract should be in A4 page format, should extend to no more than </w:t>
      </w:r>
      <w:r w:rsidRPr="00D439F4">
        <w:rPr>
          <w:highlight w:val="yellow"/>
        </w:rPr>
        <w:t>[Number of pages]</w:t>
      </w:r>
      <w:r>
        <w:t xml:space="preserve"> pages (including figures and tables) and should not exceed </w:t>
      </w:r>
      <w:r w:rsidRPr="00D439F4">
        <w:rPr>
          <w:highlight w:val="yellow"/>
        </w:rPr>
        <w:t>[Number of Words]</w:t>
      </w:r>
      <w:r>
        <w:t xml:space="preserve"> words. It should be sent electronically to </w:t>
      </w:r>
      <w:bookmarkStart w:id="2" w:name="_GoBack"/>
      <w:bookmarkEnd w:id="2"/>
      <w:r w:rsidRPr="007F77AE">
        <w:t>Ms</w:t>
      </w:r>
      <w:r>
        <w:t> </w:t>
      </w:r>
      <w:r w:rsidRPr="007F77AE">
        <w:t>Felicia</w:t>
      </w:r>
      <w:r>
        <w:t> </w:t>
      </w:r>
      <w:proofErr w:type="spellStart"/>
      <w:r w:rsidRPr="007F77AE">
        <w:t>Dragolici</w:t>
      </w:r>
      <w:proofErr w:type="spellEnd"/>
      <w:r>
        <w:t xml:space="preserve">, the Scientific Secretary of the event (see contact details in </w:t>
      </w:r>
      <w:r w:rsidRPr="00566653">
        <w:t xml:space="preserve">Section </w:t>
      </w:r>
      <w:r w:rsidR="00566653">
        <w:t>M</w:t>
      </w:r>
      <w:r>
        <w:t xml:space="preserve"> below), not later than </w:t>
      </w:r>
      <w:r w:rsidRPr="00D439F4">
        <w:rPr>
          <w:b/>
          <w:bCs/>
        </w:rPr>
        <w:t>5</w:t>
      </w:r>
      <w:r w:rsidR="00566653">
        <w:rPr>
          <w:b/>
          <w:bCs/>
        </w:rPr>
        <w:t> </w:t>
      </w:r>
      <w:r w:rsidRPr="00D439F4">
        <w:rPr>
          <w:b/>
          <w:bCs/>
        </w:rPr>
        <w:t>April</w:t>
      </w:r>
      <w:r w:rsidR="00566653">
        <w:rPr>
          <w:b/>
          <w:bCs/>
        </w:rPr>
        <w:t> </w:t>
      </w:r>
      <w:r w:rsidRPr="00D439F4">
        <w:rPr>
          <w:b/>
          <w:bCs/>
        </w:rPr>
        <w:t>2019</w:t>
      </w:r>
      <w:r>
        <w:t xml:space="preserve">. Authors will be notified of the acceptance of their proposed presentations by </w:t>
      </w:r>
      <w:r w:rsidRPr="00D439F4">
        <w:rPr>
          <w:b/>
          <w:bCs/>
          <w:highlight w:val="yellow"/>
        </w:rPr>
        <w:t>Acceptance Deadline</w:t>
      </w:r>
      <w:r>
        <w:t>.</w:t>
      </w:r>
    </w:p>
    <w:p w14:paraId="6DA94976" w14:textId="131D1DFC" w:rsidR="007F77AE" w:rsidRPr="001F3F79" w:rsidRDefault="007F77AE" w:rsidP="00D439F4">
      <w:pPr>
        <w:pStyle w:val="BodyTextMultiline"/>
        <w:numPr>
          <w:ilvl w:val="0"/>
          <w:numId w:val="0"/>
        </w:numPr>
      </w:pPr>
      <w:r>
        <w:t xml:space="preserve">In addition, participants </w:t>
      </w:r>
      <w:proofErr w:type="gramStart"/>
      <w:r>
        <w:t>have to</w:t>
      </w:r>
      <w:proofErr w:type="gramEnd"/>
      <w:r>
        <w:t xml:space="preserve"> submit the abstract together with the </w:t>
      </w:r>
      <w:r w:rsidRPr="00D439F4">
        <w:rPr>
          <w:b/>
          <w:bCs/>
        </w:rPr>
        <w:t>Participation Form (Form</w:t>
      </w:r>
      <w:r w:rsidR="009410B6">
        <w:rPr>
          <w:b/>
          <w:bCs/>
        </w:rPr>
        <w:t> </w:t>
      </w:r>
      <w:r w:rsidRPr="00D439F4">
        <w:rPr>
          <w:b/>
          <w:bCs/>
        </w:rPr>
        <w:t>A)</w:t>
      </w:r>
      <w:r>
        <w:t xml:space="preserve"> and the attached </w:t>
      </w:r>
      <w:r w:rsidRPr="00D439F4">
        <w:rPr>
          <w:b/>
          <w:bCs/>
        </w:rPr>
        <w:t>Form for Submission of a Paper (Form</w:t>
      </w:r>
      <w:r w:rsidR="00561800">
        <w:rPr>
          <w:b/>
          <w:bCs/>
        </w:rPr>
        <w:t> </w:t>
      </w:r>
      <w:r w:rsidRPr="00D439F4">
        <w:rPr>
          <w:b/>
          <w:bCs/>
        </w:rPr>
        <w:t>B)</w:t>
      </w:r>
      <w:r>
        <w:t xml:space="preserve"> to their competent national authority (e.g. Ministry of Foreign Affairs, Permanent Mission to the IAEA or National Atomic Energy Authority) or their organization for onward transmission to the IAEA not later than </w:t>
      </w:r>
      <w:r w:rsidRPr="00EE44C1">
        <w:rPr>
          <w:b/>
          <w:bCs/>
        </w:rPr>
        <w:t>5 April 2019</w:t>
      </w:r>
      <w:r>
        <w:t>.</w:t>
      </w:r>
    </w:p>
    <w:p w14:paraId="2221A592" w14:textId="1E7ABC72" w:rsidR="00083753" w:rsidRDefault="00083753" w:rsidP="000E4286">
      <w:pPr>
        <w:pStyle w:val="Heading1"/>
      </w:pPr>
      <w:r>
        <w:t>Expenditures and Grants</w:t>
      </w:r>
    </w:p>
    <w:p w14:paraId="069B1AD4" w14:textId="2A86F68E" w:rsidR="00083753" w:rsidRDefault="00083753" w:rsidP="00D439F4">
      <w:pPr>
        <w:pStyle w:val="BodyTextMultiline"/>
        <w:numPr>
          <w:ilvl w:val="0"/>
          <w:numId w:val="0"/>
        </w:numPr>
      </w:pPr>
      <w:r>
        <w:t>No registration fee is charged to participants.</w:t>
      </w:r>
    </w:p>
    <w:p w14:paraId="2EBFB68A" w14:textId="6E83F79C" w:rsidR="00083753" w:rsidRDefault="00083753" w:rsidP="00D439F4">
      <w:pPr>
        <w:pStyle w:val="BodyTextMultiline"/>
        <w:numPr>
          <w:ilvl w:val="0"/>
          <w:numId w:val="0"/>
        </w:numPr>
      </w:pPr>
      <w:r>
        <w:t xml:space="preserve">The IAEA is generally not </w:t>
      </w:r>
      <w:proofErr w:type="gramStart"/>
      <w:r>
        <w:t>in a position</w:t>
      </w:r>
      <w:proofErr w:type="gramEnd"/>
      <w:r>
        <w:t xml:space="preserve"> to bear the travel and other costs of participants in the event. The IAEA has, however, limited funds at its disposal to help meet the cost of attendance of certain participants. Upon specific request, such assistance may be offered to normally one participant per country, provided that, in the IAEA’s view, the participant will make an important contribution to the event.</w:t>
      </w:r>
    </w:p>
    <w:p w14:paraId="659C1377" w14:textId="3ED5E759" w:rsidR="00083753" w:rsidRPr="002F2E5B" w:rsidRDefault="00083753" w:rsidP="00D439F4">
      <w:pPr>
        <w:pStyle w:val="BodyTextMultiline"/>
        <w:numPr>
          <w:ilvl w:val="0"/>
          <w:numId w:val="0"/>
        </w:numPr>
      </w:pPr>
      <w:r>
        <w:t xml:space="preserve">The application for financial support should be made using the </w:t>
      </w:r>
      <w:r w:rsidRPr="00D439F4">
        <w:rPr>
          <w:b/>
          <w:bCs/>
        </w:rPr>
        <w:t>Grant Application Form (Form</w:t>
      </w:r>
      <w:r w:rsidR="00895DFD">
        <w:rPr>
          <w:b/>
          <w:bCs/>
        </w:rPr>
        <w:t> </w:t>
      </w:r>
      <w:r w:rsidRPr="00D439F4">
        <w:rPr>
          <w:b/>
          <w:bCs/>
        </w:rPr>
        <w:t>C)</w:t>
      </w:r>
      <w:r>
        <w:t xml:space="preserve">, which </w:t>
      </w:r>
      <w:proofErr w:type="gramStart"/>
      <w:r>
        <w:t>has to</w:t>
      </w:r>
      <w:proofErr w:type="gramEnd"/>
      <w:r>
        <w:t xml:space="preserve"> be stamped, signed and submitted by the competent national authority to the IAEA together with the </w:t>
      </w:r>
      <w:r w:rsidRPr="00D439F4">
        <w:rPr>
          <w:b/>
          <w:bCs/>
        </w:rPr>
        <w:t>Participation Form (Form A)</w:t>
      </w:r>
      <w:r>
        <w:t xml:space="preserve"> by </w:t>
      </w:r>
      <w:r w:rsidRPr="00D439F4">
        <w:rPr>
          <w:b/>
          <w:bCs/>
        </w:rPr>
        <w:t>5 April 2019</w:t>
      </w:r>
      <w:r>
        <w:t>.</w:t>
      </w:r>
    </w:p>
    <w:p w14:paraId="6F3E7E3F" w14:textId="1008E95C" w:rsidR="003C19AC" w:rsidRPr="006B153D" w:rsidRDefault="003C19AC" w:rsidP="003C19AC">
      <w:pPr>
        <w:pStyle w:val="Heading1"/>
      </w:pPr>
      <w:r w:rsidRPr="006B153D">
        <w:t>Venue</w:t>
      </w:r>
    </w:p>
    <w:p w14:paraId="1A20CC1F" w14:textId="08ED823A" w:rsidR="003C19AC" w:rsidRPr="003C19AC" w:rsidRDefault="003C19AC">
      <w:pPr>
        <w:overflowPunct/>
        <w:spacing w:after="170" w:line="280" w:lineRule="atLeast"/>
        <w:textAlignment w:val="auto"/>
        <w:rPr>
          <w:szCs w:val="22"/>
        </w:rPr>
      </w:pPr>
      <w:r w:rsidRPr="003C19AC">
        <w:rPr>
          <w:szCs w:val="22"/>
        </w:rPr>
        <w:t>The event will be held at the Vienna International Centre (VIC), where the IAEA’s Headquarters are located. Participants must make their own travel and accommodation arrangements.</w:t>
      </w:r>
    </w:p>
    <w:p w14:paraId="7457CC02" w14:textId="7812EF40" w:rsidR="003C19AC" w:rsidRPr="003C19AC" w:rsidRDefault="003C19AC">
      <w:pPr>
        <w:overflowPunct/>
        <w:spacing w:after="170" w:line="280" w:lineRule="atLeast"/>
        <w:textAlignment w:val="auto"/>
        <w:rPr>
          <w:szCs w:val="22"/>
        </w:rPr>
      </w:pPr>
      <w:r w:rsidRPr="003C19AC">
        <w:rPr>
          <w:szCs w:val="22"/>
        </w:rPr>
        <w:t xml:space="preserve">General information on the VIC and other practical details, such as a list of hotels offering a reduced rate for IAEA participants, are listed </w:t>
      </w:r>
      <w:r>
        <w:rPr>
          <w:szCs w:val="22"/>
        </w:rPr>
        <w:t>on the following IAEA web page:</w:t>
      </w:r>
      <w:r>
        <w:rPr>
          <w:szCs w:val="22"/>
        </w:rPr>
        <w:br/>
      </w:r>
      <w:hyperlink r:id="rId11" w:history="1">
        <w:r w:rsidRPr="007C0631">
          <w:rPr>
            <w:rStyle w:val="Hyperlink"/>
            <w:szCs w:val="22"/>
          </w:rPr>
          <w:t>http://www-pub.iaea.org/iaeaevents/GeneralInfo/Guide/VIC</w:t>
        </w:r>
      </w:hyperlink>
      <w:r w:rsidRPr="003C19AC">
        <w:rPr>
          <w:szCs w:val="22"/>
        </w:rPr>
        <w:t>.</w:t>
      </w:r>
    </w:p>
    <w:p w14:paraId="1C1F5F8F" w14:textId="5F125660" w:rsidR="003C19AC" w:rsidRDefault="003C19AC" w:rsidP="003C19AC">
      <w:pPr>
        <w:overflowPunct/>
        <w:spacing w:after="170" w:line="280" w:lineRule="atLeast"/>
        <w:jc w:val="both"/>
        <w:textAlignment w:val="auto"/>
        <w:rPr>
          <w:szCs w:val="22"/>
        </w:rPr>
      </w:pPr>
      <w:r w:rsidRPr="00D52C60">
        <w:rPr>
          <w:szCs w:val="22"/>
        </w:rPr>
        <w:t xml:space="preserve">The </w:t>
      </w:r>
      <w:r>
        <w:rPr>
          <w:szCs w:val="22"/>
        </w:rPr>
        <w:t>event</w:t>
      </w:r>
      <w:r w:rsidRPr="00D52C60">
        <w:rPr>
          <w:szCs w:val="22"/>
        </w:rPr>
        <w:t xml:space="preserve"> will </w:t>
      </w:r>
      <w:r>
        <w:rPr>
          <w:szCs w:val="22"/>
        </w:rPr>
        <w:t>begin at 09:30</w:t>
      </w:r>
      <w:r w:rsidRPr="00D52C60">
        <w:rPr>
          <w:szCs w:val="22"/>
        </w:rPr>
        <w:t xml:space="preserve"> on </w:t>
      </w:r>
      <w:r>
        <w:rPr>
          <w:szCs w:val="22"/>
        </w:rPr>
        <w:t>Tuesday</w:t>
      </w:r>
      <w:r w:rsidRPr="00D52C60">
        <w:rPr>
          <w:szCs w:val="22"/>
        </w:rPr>
        <w:t>, 1</w:t>
      </w:r>
      <w:r>
        <w:rPr>
          <w:szCs w:val="22"/>
        </w:rPr>
        <w:t>4</w:t>
      </w:r>
      <w:r w:rsidRPr="00D52C60">
        <w:rPr>
          <w:szCs w:val="22"/>
        </w:rPr>
        <w:t xml:space="preserve"> </w:t>
      </w:r>
      <w:r>
        <w:rPr>
          <w:szCs w:val="22"/>
        </w:rPr>
        <w:t>May 2019</w:t>
      </w:r>
      <w:r w:rsidRPr="00D52C60">
        <w:rPr>
          <w:szCs w:val="22"/>
        </w:rPr>
        <w:t xml:space="preserve"> in </w:t>
      </w:r>
      <w:r w:rsidRPr="00074504">
        <w:rPr>
          <w:szCs w:val="22"/>
        </w:rPr>
        <w:t>Room MOE100, Building M of the VIC.</w:t>
      </w:r>
      <w:r>
        <w:rPr>
          <w:szCs w:val="22"/>
        </w:rPr>
        <w:t xml:space="preserve"> </w:t>
      </w:r>
      <w:r w:rsidRPr="003C19AC">
        <w:rPr>
          <w:szCs w:val="22"/>
        </w:rPr>
        <w:t xml:space="preserve">Participants are advised to arrive at Checkpoint 1/Gate 1 of the VIC one hour before the start of the event on the first day </w:t>
      </w:r>
      <w:proofErr w:type="gramStart"/>
      <w:r w:rsidRPr="003C19AC">
        <w:rPr>
          <w:szCs w:val="22"/>
        </w:rPr>
        <w:t>in order to</w:t>
      </w:r>
      <w:proofErr w:type="gramEnd"/>
      <w:r w:rsidRPr="003C19AC">
        <w:rPr>
          <w:szCs w:val="22"/>
        </w:rPr>
        <w:t xml:space="preserve"> allow for timely registration. Participants will need to present an official photo identification document </w:t>
      </w:r>
      <w:proofErr w:type="gramStart"/>
      <w:r w:rsidRPr="003C19AC">
        <w:rPr>
          <w:szCs w:val="22"/>
        </w:rPr>
        <w:t>in order to</w:t>
      </w:r>
      <w:proofErr w:type="gramEnd"/>
      <w:r w:rsidRPr="003C19AC">
        <w:rPr>
          <w:szCs w:val="22"/>
        </w:rPr>
        <w:t xml:space="preserve"> be admitted to the VIC premises.</w:t>
      </w:r>
    </w:p>
    <w:p w14:paraId="61295ABA" w14:textId="77777777" w:rsidR="00E77634" w:rsidRPr="006B153D" w:rsidRDefault="00497D59" w:rsidP="000E4286">
      <w:pPr>
        <w:pStyle w:val="Heading1"/>
        <w:rPr>
          <w:lang w:eastAsia="en-GB"/>
        </w:rPr>
      </w:pPr>
      <w:r w:rsidRPr="006B153D">
        <w:rPr>
          <w:lang w:eastAsia="en-GB"/>
        </w:rPr>
        <w:t>Visa</w:t>
      </w:r>
      <w:r w:rsidR="00333966" w:rsidRPr="006B153D">
        <w:rPr>
          <w:lang w:eastAsia="en-GB"/>
        </w:rPr>
        <w:t>s</w:t>
      </w:r>
    </w:p>
    <w:p w14:paraId="0A8A83C4" w14:textId="7DDC13A0" w:rsidR="006117D0" w:rsidRPr="006B153D" w:rsidRDefault="003C19AC" w:rsidP="007223AE">
      <w:pPr>
        <w:pStyle w:val="BodyTextMultiline"/>
        <w:numPr>
          <w:ilvl w:val="0"/>
          <w:numId w:val="0"/>
        </w:numPr>
      </w:pPr>
      <w:r w:rsidRPr="003C19AC">
        <w:rPr>
          <w:szCs w:val="22"/>
        </w:rPr>
        <w:t xml:space="preserve">Participants who require a visa to enter Austria should submit the necessary application to the nearest diplomatic or consular representative of Austria at least four weeks before they travel to Austria. Since </w:t>
      </w:r>
      <w:r w:rsidRPr="003C19AC">
        <w:rPr>
          <w:szCs w:val="22"/>
        </w:rPr>
        <w:lastRenderedPageBreak/>
        <w:t>Austria is a Schengen State, persons requiring a visa will have to apply for a Schengen visa. In States where Austria has no diplomatic mission, visas can be obtained from the consular authority of a Schengen Partner State representing Austria in the country in question.</w:t>
      </w:r>
    </w:p>
    <w:p w14:paraId="7A6849C1" w14:textId="3E296B52" w:rsidR="003C19AC" w:rsidRDefault="003C19AC" w:rsidP="00D439F4">
      <w:pPr>
        <w:pStyle w:val="Heading1"/>
      </w:pPr>
      <w:r>
        <w:t>IAEA Contacts</w:t>
      </w:r>
    </w:p>
    <w:p w14:paraId="69CB9B79" w14:textId="77777777" w:rsidR="003C19AC" w:rsidRPr="00D439F4" w:rsidRDefault="003C19AC" w:rsidP="00D52C60">
      <w:pPr>
        <w:overflowPunct/>
        <w:jc w:val="both"/>
        <w:textAlignment w:val="auto"/>
        <w:rPr>
          <w:b/>
          <w:szCs w:val="22"/>
          <w:lang w:val="es-ES"/>
        </w:rPr>
      </w:pPr>
      <w:proofErr w:type="spellStart"/>
      <w:r w:rsidRPr="00D439F4">
        <w:rPr>
          <w:b/>
          <w:szCs w:val="22"/>
          <w:lang w:val="es-ES"/>
        </w:rPr>
        <w:t>Scientific</w:t>
      </w:r>
      <w:proofErr w:type="spellEnd"/>
      <w:r w:rsidRPr="00D439F4">
        <w:rPr>
          <w:b/>
          <w:szCs w:val="22"/>
          <w:lang w:val="es-ES"/>
        </w:rPr>
        <w:t xml:space="preserve"> </w:t>
      </w:r>
      <w:proofErr w:type="spellStart"/>
      <w:r w:rsidRPr="00D439F4">
        <w:rPr>
          <w:b/>
          <w:szCs w:val="22"/>
          <w:lang w:val="es-ES"/>
        </w:rPr>
        <w:t>Secretary</w:t>
      </w:r>
      <w:proofErr w:type="spellEnd"/>
      <w:r w:rsidRPr="00D439F4">
        <w:rPr>
          <w:b/>
          <w:szCs w:val="22"/>
          <w:lang w:val="es-ES"/>
        </w:rPr>
        <w:t>:</w:t>
      </w:r>
    </w:p>
    <w:p w14:paraId="07B6BA3F" w14:textId="77777777" w:rsidR="003C19AC" w:rsidRPr="00D439F4" w:rsidRDefault="003C19AC" w:rsidP="00D52C60">
      <w:pPr>
        <w:overflowPunct/>
        <w:jc w:val="both"/>
        <w:textAlignment w:val="auto"/>
        <w:rPr>
          <w:b/>
          <w:szCs w:val="22"/>
          <w:lang w:val="es-ES"/>
        </w:rPr>
      </w:pPr>
    </w:p>
    <w:p w14:paraId="208FF30B" w14:textId="6673E8CC" w:rsidR="00D52C60" w:rsidRPr="00D439F4" w:rsidRDefault="00D52C60" w:rsidP="00D52C60">
      <w:pPr>
        <w:overflowPunct/>
        <w:jc w:val="both"/>
        <w:textAlignment w:val="auto"/>
        <w:rPr>
          <w:b/>
          <w:szCs w:val="22"/>
          <w:lang w:val="es-ES"/>
        </w:rPr>
      </w:pPr>
      <w:r w:rsidRPr="00D439F4">
        <w:rPr>
          <w:b/>
          <w:szCs w:val="22"/>
          <w:lang w:val="es-ES"/>
        </w:rPr>
        <w:t xml:space="preserve">Ms Felicia Nicoleta </w:t>
      </w:r>
      <w:proofErr w:type="spellStart"/>
      <w:r w:rsidRPr="00D439F4">
        <w:rPr>
          <w:b/>
          <w:szCs w:val="22"/>
          <w:lang w:val="es-ES"/>
        </w:rPr>
        <w:t>Dragolici</w:t>
      </w:r>
      <w:proofErr w:type="spellEnd"/>
    </w:p>
    <w:p w14:paraId="5C1A8CE6" w14:textId="77777777" w:rsidR="00D52C60" w:rsidRPr="00D52C60" w:rsidRDefault="00D52C60" w:rsidP="00D52C60">
      <w:pPr>
        <w:overflowPunct/>
        <w:jc w:val="both"/>
        <w:textAlignment w:val="auto"/>
        <w:rPr>
          <w:szCs w:val="22"/>
        </w:rPr>
      </w:pPr>
      <w:r w:rsidRPr="00D52C60">
        <w:rPr>
          <w:szCs w:val="22"/>
        </w:rPr>
        <w:t>Waste Technology Section – Predisposal Unit</w:t>
      </w:r>
    </w:p>
    <w:p w14:paraId="019C3903" w14:textId="77777777" w:rsidR="00D52C60" w:rsidRPr="00D52C60" w:rsidRDefault="00D52C60" w:rsidP="00D52C60">
      <w:pPr>
        <w:overflowPunct/>
        <w:jc w:val="both"/>
        <w:textAlignment w:val="auto"/>
        <w:rPr>
          <w:szCs w:val="22"/>
        </w:rPr>
      </w:pPr>
      <w:r w:rsidRPr="00D52C60">
        <w:rPr>
          <w:szCs w:val="22"/>
        </w:rPr>
        <w:t>Division of Nuclear Fuel Cycle and Waste Technology</w:t>
      </w:r>
    </w:p>
    <w:p w14:paraId="6143D951" w14:textId="77777777" w:rsidR="00D52C60" w:rsidRPr="00D52C60" w:rsidRDefault="00D52C60" w:rsidP="00D52C60">
      <w:pPr>
        <w:overflowPunct/>
        <w:jc w:val="both"/>
        <w:textAlignment w:val="auto"/>
        <w:rPr>
          <w:szCs w:val="22"/>
        </w:rPr>
      </w:pPr>
      <w:r w:rsidRPr="00D52C60">
        <w:rPr>
          <w:szCs w:val="22"/>
        </w:rPr>
        <w:t>Department of Nuclear Energy</w:t>
      </w:r>
    </w:p>
    <w:p w14:paraId="02F4DF3C" w14:textId="77777777" w:rsidR="00D52C60" w:rsidRPr="00D52C60" w:rsidRDefault="00D52C60" w:rsidP="00D52C60">
      <w:pPr>
        <w:overflowPunct/>
        <w:jc w:val="both"/>
        <w:textAlignment w:val="auto"/>
        <w:rPr>
          <w:szCs w:val="22"/>
        </w:rPr>
      </w:pPr>
      <w:r w:rsidRPr="00D52C60">
        <w:rPr>
          <w:szCs w:val="22"/>
        </w:rPr>
        <w:t>Vienna International Centre</w:t>
      </w:r>
    </w:p>
    <w:p w14:paraId="0724A178" w14:textId="77777777" w:rsidR="00D52C60" w:rsidRPr="00D52C60" w:rsidRDefault="00D52C60" w:rsidP="00D52C60">
      <w:pPr>
        <w:overflowPunct/>
        <w:jc w:val="both"/>
        <w:textAlignment w:val="auto"/>
        <w:rPr>
          <w:szCs w:val="22"/>
        </w:rPr>
      </w:pPr>
      <w:r w:rsidRPr="00D52C60">
        <w:rPr>
          <w:szCs w:val="22"/>
        </w:rPr>
        <w:t>PO Box 100</w:t>
      </w:r>
    </w:p>
    <w:p w14:paraId="23533391" w14:textId="77777777" w:rsidR="00D52C60" w:rsidRPr="00D52C60" w:rsidRDefault="00D52C60" w:rsidP="00D52C60">
      <w:pPr>
        <w:overflowPunct/>
        <w:jc w:val="both"/>
        <w:textAlignment w:val="auto"/>
        <w:rPr>
          <w:szCs w:val="22"/>
        </w:rPr>
      </w:pPr>
      <w:r w:rsidRPr="00D52C60">
        <w:rPr>
          <w:szCs w:val="22"/>
        </w:rPr>
        <w:t>1400 VIENNA</w:t>
      </w:r>
    </w:p>
    <w:p w14:paraId="49EE0A46" w14:textId="77777777" w:rsidR="00D52C60" w:rsidRPr="00D52C60" w:rsidRDefault="00D52C60" w:rsidP="00D52C60">
      <w:pPr>
        <w:overflowPunct/>
        <w:jc w:val="both"/>
        <w:textAlignment w:val="auto"/>
        <w:rPr>
          <w:szCs w:val="22"/>
        </w:rPr>
      </w:pPr>
      <w:r w:rsidRPr="00D52C60">
        <w:rPr>
          <w:szCs w:val="22"/>
        </w:rPr>
        <w:t>AUSTRIA</w:t>
      </w:r>
    </w:p>
    <w:p w14:paraId="4C0CEA65" w14:textId="096C69E7" w:rsidR="00D52C60" w:rsidRPr="00D52C60" w:rsidRDefault="00D52C60" w:rsidP="00D52C60">
      <w:pPr>
        <w:overflowPunct/>
        <w:jc w:val="both"/>
        <w:textAlignment w:val="auto"/>
        <w:rPr>
          <w:szCs w:val="22"/>
        </w:rPr>
      </w:pPr>
      <w:r w:rsidRPr="00D52C60">
        <w:rPr>
          <w:szCs w:val="22"/>
        </w:rPr>
        <w:t xml:space="preserve">Tel.: +43 1 2600 </w:t>
      </w:r>
      <w:r>
        <w:rPr>
          <w:szCs w:val="22"/>
        </w:rPr>
        <w:t>26097</w:t>
      </w:r>
    </w:p>
    <w:p w14:paraId="26890773" w14:textId="460D2859" w:rsidR="00D52C60" w:rsidRPr="00D52C60" w:rsidRDefault="00D52C60" w:rsidP="00D52C60">
      <w:pPr>
        <w:overflowPunct/>
        <w:jc w:val="both"/>
        <w:textAlignment w:val="auto"/>
        <w:rPr>
          <w:szCs w:val="22"/>
        </w:rPr>
      </w:pPr>
      <w:r w:rsidRPr="00D52C60">
        <w:rPr>
          <w:szCs w:val="22"/>
        </w:rPr>
        <w:t>Fax: +43 1 2600</w:t>
      </w:r>
      <w:r>
        <w:rPr>
          <w:szCs w:val="22"/>
        </w:rPr>
        <w:t>7</w:t>
      </w:r>
      <w:r w:rsidRPr="00D52C60">
        <w:rPr>
          <w:szCs w:val="22"/>
        </w:rPr>
        <w:t xml:space="preserve"> </w:t>
      </w:r>
    </w:p>
    <w:p w14:paraId="1E566E7B" w14:textId="566A31BA" w:rsidR="00D52C60" w:rsidRDefault="00D52C60" w:rsidP="00D52C60">
      <w:pPr>
        <w:overflowPunct/>
        <w:jc w:val="both"/>
        <w:textAlignment w:val="auto"/>
        <w:rPr>
          <w:szCs w:val="22"/>
        </w:rPr>
      </w:pPr>
      <w:r w:rsidRPr="00D52C60">
        <w:rPr>
          <w:szCs w:val="22"/>
        </w:rPr>
        <w:t>Email:</w:t>
      </w:r>
      <w:r>
        <w:rPr>
          <w:szCs w:val="22"/>
        </w:rPr>
        <w:t xml:space="preserve"> </w:t>
      </w:r>
      <w:hyperlink r:id="rId12" w:history="1">
        <w:r w:rsidRPr="00200A5A">
          <w:rPr>
            <w:rStyle w:val="Hyperlink"/>
            <w:szCs w:val="22"/>
          </w:rPr>
          <w:t>F.N.Dragolici@iaea.org</w:t>
        </w:r>
      </w:hyperlink>
    </w:p>
    <w:p w14:paraId="11C4C881" w14:textId="77777777" w:rsidR="00D52C60" w:rsidRDefault="00D52C60" w:rsidP="00D52C60">
      <w:pPr>
        <w:overflowPunct/>
        <w:jc w:val="both"/>
        <w:textAlignment w:val="auto"/>
        <w:rPr>
          <w:szCs w:val="22"/>
        </w:rPr>
      </w:pPr>
    </w:p>
    <w:p w14:paraId="06FA53D1" w14:textId="77777777" w:rsidR="00D52C60" w:rsidRDefault="00D52C60" w:rsidP="00D52C60">
      <w:pPr>
        <w:overflowPunct/>
        <w:jc w:val="both"/>
        <w:textAlignment w:val="auto"/>
        <w:rPr>
          <w:szCs w:val="22"/>
        </w:rPr>
      </w:pPr>
    </w:p>
    <w:p w14:paraId="0245311D" w14:textId="0F002B51" w:rsidR="003C19AC" w:rsidRDefault="003C19AC" w:rsidP="00D52C60">
      <w:pPr>
        <w:jc w:val="both"/>
        <w:rPr>
          <w:b/>
          <w:szCs w:val="22"/>
        </w:rPr>
      </w:pPr>
      <w:r>
        <w:rPr>
          <w:b/>
          <w:szCs w:val="22"/>
        </w:rPr>
        <w:t>Administrative Secretary:</w:t>
      </w:r>
    </w:p>
    <w:p w14:paraId="22C5CF52" w14:textId="77777777" w:rsidR="003C19AC" w:rsidRDefault="003C19AC" w:rsidP="00D52C60">
      <w:pPr>
        <w:jc w:val="both"/>
        <w:rPr>
          <w:b/>
          <w:szCs w:val="22"/>
        </w:rPr>
      </w:pPr>
    </w:p>
    <w:p w14:paraId="4EF3187A" w14:textId="30F42F42" w:rsidR="00D52C60" w:rsidRPr="006B153D" w:rsidRDefault="003C19AC" w:rsidP="00D52C60">
      <w:pPr>
        <w:jc w:val="both"/>
        <w:rPr>
          <w:b/>
          <w:szCs w:val="22"/>
        </w:rPr>
      </w:pPr>
      <w:r>
        <w:rPr>
          <w:b/>
          <w:szCs w:val="22"/>
        </w:rPr>
        <w:t>M</w:t>
      </w:r>
      <w:r w:rsidR="00D52C60" w:rsidRPr="006B153D">
        <w:rPr>
          <w:b/>
          <w:szCs w:val="22"/>
        </w:rPr>
        <w:t xml:space="preserve">s </w:t>
      </w:r>
      <w:r w:rsidR="00D52C60">
        <w:rPr>
          <w:b/>
          <w:szCs w:val="22"/>
        </w:rPr>
        <w:t xml:space="preserve">Marina </w:t>
      </w:r>
      <w:proofErr w:type="spellStart"/>
      <w:r w:rsidR="00D52C60">
        <w:rPr>
          <w:b/>
          <w:szCs w:val="22"/>
        </w:rPr>
        <w:t>Tolstenkova</w:t>
      </w:r>
      <w:proofErr w:type="spellEnd"/>
    </w:p>
    <w:p w14:paraId="182996D2" w14:textId="653EF9EA" w:rsidR="00D52C60" w:rsidRDefault="00D52C60" w:rsidP="00D52C60">
      <w:pPr>
        <w:jc w:val="both"/>
        <w:rPr>
          <w:szCs w:val="22"/>
        </w:rPr>
      </w:pPr>
      <w:r>
        <w:rPr>
          <w:szCs w:val="22"/>
        </w:rPr>
        <w:t>Waste Technology Section</w:t>
      </w:r>
    </w:p>
    <w:p w14:paraId="5EFEE3C0" w14:textId="6388F4F0" w:rsidR="00D52C60" w:rsidRPr="006B153D" w:rsidRDefault="00D52C60" w:rsidP="00D52C60">
      <w:pPr>
        <w:jc w:val="both"/>
        <w:rPr>
          <w:szCs w:val="22"/>
        </w:rPr>
      </w:pPr>
      <w:r>
        <w:rPr>
          <w:szCs w:val="22"/>
        </w:rPr>
        <w:t>Division of Nuclear Fuel Cycle and Waste Technology</w:t>
      </w:r>
    </w:p>
    <w:p w14:paraId="73741803" w14:textId="77777777" w:rsidR="00D52C60" w:rsidRPr="006B153D" w:rsidRDefault="00D52C60" w:rsidP="00D52C60">
      <w:pPr>
        <w:jc w:val="both"/>
        <w:rPr>
          <w:szCs w:val="22"/>
        </w:rPr>
      </w:pPr>
      <w:r w:rsidRPr="006B153D">
        <w:rPr>
          <w:szCs w:val="22"/>
        </w:rPr>
        <w:t>Department of Nuclear Energy</w:t>
      </w:r>
    </w:p>
    <w:p w14:paraId="47CA0E12" w14:textId="77777777" w:rsidR="00D52C60" w:rsidRPr="00A92381" w:rsidRDefault="00D52C60" w:rsidP="00D52C60">
      <w:pPr>
        <w:jc w:val="both"/>
        <w:rPr>
          <w:szCs w:val="22"/>
        </w:rPr>
      </w:pPr>
      <w:r w:rsidRPr="006B153D">
        <w:rPr>
          <w:szCs w:val="22"/>
        </w:rPr>
        <w:t>Tel.</w:t>
      </w:r>
      <w:r>
        <w:rPr>
          <w:szCs w:val="22"/>
        </w:rPr>
        <w:t>: +43 1 2600 21968</w:t>
      </w:r>
    </w:p>
    <w:p w14:paraId="2D8AA06E" w14:textId="148A7D06" w:rsidR="00D52C60" w:rsidRPr="00D439F4" w:rsidRDefault="00D52C60" w:rsidP="00D52C60">
      <w:pPr>
        <w:jc w:val="both"/>
        <w:rPr>
          <w:szCs w:val="22"/>
        </w:rPr>
      </w:pPr>
      <w:r w:rsidRPr="00D439F4">
        <w:rPr>
          <w:szCs w:val="22"/>
        </w:rPr>
        <w:t xml:space="preserve">Email: </w:t>
      </w:r>
      <w:hyperlink r:id="rId13" w:history="1">
        <w:r w:rsidRPr="00D439F4">
          <w:rPr>
            <w:rStyle w:val="Hyperlink"/>
          </w:rPr>
          <w:t>M.Tolstenkova@iaea.org</w:t>
        </w:r>
      </w:hyperlink>
    </w:p>
    <w:p w14:paraId="1ED03550" w14:textId="43029997" w:rsidR="00D52C60" w:rsidRDefault="00D52C60" w:rsidP="008F3152">
      <w:pPr>
        <w:overflowPunct/>
        <w:spacing w:after="170" w:line="280" w:lineRule="atLeast"/>
        <w:jc w:val="both"/>
        <w:textAlignment w:val="auto"/>
        <w:rPr>
          <w:b/>
          <w:bCs/>
          <w:color w:val="000000"/>
          <w:szCs w:val="22"/>
          <w:lang w:eastAsia="en-GB"/>
        </w:rPr>
      </w:pPr>
    </w:p>
    <w:p w14:paraId="56F8BEAD" w14:textId="2EDA8A7B" w:rsidR="00AC3BC9" w:rsidRPr="00D439F4" w:rsidRDefault="003C19AC">
      <w:pPr>
        <w:overflowPunct/>
        <w:spacing w:after="170" w:line="280" w:lineRule="atLeast"/>
        <w:jc w:val="both"/>
        <w:textAlignment w:val="auto"/>
        <w:rPr>
          <w:b/>
          <w:bCs/>
          <w:color w:val="000000"/>
          <w:szCs w:val="22"/>
          <w:lang w:eastAsia="en-GB"/>
        </w:rPr>
      </w:pPr>
      <w:r w:rsidRPr="00D439F4">
        <w:t>Subsequent correspondence on scientific matters should be s</w:t>
      </w:r>
      <w:r w:rsidR="00A2275F">
        <w:t>ent to the Scientific Secretary</w:t>
      </w:r>
      <w:r w:rsidRPr="00D439F4">
        <w:t xml:space="preserve"> and correspondence on other matters related to the event to the Administrative Secretary.</w:t>
      </w:r>
    </w:p>
    <w:sectPr w:rsidR="00AC3BC9" w:rsidRPr="00D439F4" w:rsidSect="00AC3BC9">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1531" w:right="1418" w:bottom="1134" w:left="1418" w:header="539" w:footer="96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537FB" w14:textId="77777777" w:rsidR="005420E2" w:rsidRDefault="005420E2">
      <w:r>
        <w:separator/>
      </w:r>
    </w:p>
  </w:endnote>
  <w:endnote w:type="continuationSeparator" w:id="0">
    <w:p w14:paraId="026B7C5A" w14:textId="77777777" w:rsidR="005420E2" w:rsidRDefault="00542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FCDFA" w14:textId="12CF99E1" w:rsidR="00AE262E" w:rsidRDefault="00AE262E">
    <w:pPr>
      <w:pStyle w:val="zyxClassification1"/>
    </w:pPr>
    <w:r>
      <w:fldChar w:fldCharType="begin"/>
    </w:r>
    <w:r>
      <w:instrText xml:space="preserve"> DOCPROPERTY "IaeaClassification"  \* MERGEFORMAT </w:instrText>
    </w:r>
    <w:r>
      <w:fldChar w:fldCharType="end"/>
    </w:r>
  </w:p>
  <w:p w14:paraId="266DF5CB" w14:textId="1157722B" w:rsidR="00AE262E" w:rsidRDefault="00AE262E">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2492B" w14:textId="77777777" w:rsidR="0011636E" w:rsidRDefault="001163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5B931" w14:textId="77777777" w:rsidR="00AE262E" w:rsidRDefault="00AE26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DAC29" w14:textId="77777777" w:rsidR="005420E2" w:rsidRDefault="005420E2">
      <w:r>
        <w:t>___________________________________________________________________________</w:t>
      </w:r>
    </w:p>
  </w:footnote>
  <w:footnote w:type="continuationSeparator" w:id="0">
    <w:p w14:paraId="7DD81F3A" w14:textId="77777777" w:rsidR="005420E2" w:rsidRDefault="005420E2">
      <w:r>
        <w:t>___________________________________________________________________________</w:t>
      </w:r>
    </w:p>
  </w:footnote>
  <w:footnote w:type="continuationNotice" w:id="1">
    <w:p w14:paraId="26E3896C" w14:textId="77777777" w:rsidR="005420E2" w:rsidRDefault="005420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E7125" w14:textId="11813E55" w:rsidR="00AE262E" w:rsidRDefault="00AE262E">
    <w:pPr>
      <w:pStyle w:val="Header"/>
      <w:spacing w:after="0"/>
      <w:rPr>
        <w:sz w:val="8"/>
      </w:rPr>
    </w:pPr>
    <w:r>
      <w:br/>
      <w:t xml:space="preserve">Page </w:t>
    </w:r>
    <w:r>
      <w:fldChar w:fldCharType="begin"/>
    </w:r>
    <w:r>
      <w:instrText xml:space="preserve"> PAGE </w:instrText>
    </w:r>
    <w:r>
      <w:fldChar w:fldCharType="separate"/>
    </w:r>
    <w:r w:rsidR="00580CC6">
      <w:rPr>
        <w:noProof/>
      </w:rPr>
      <w:t>6</w:t>
    </w:r>
    <w:r>
      <w:fldChar w:fldCharType="end"/>
    </w:r>
    <w:r>
      <w:br/>
    </w:r>
  </w:p>
  <w:p w14:paraId="3E27611F" w14:textId="7F66BF7E" w:rsidR="00AE262E" w:rsidRDefault="00AE262E">
    <w:pPr>
      <w:pStyle w:val="zyxClassification1"/>
    </w:pPr>
    <w:r>
      <w:fldChar w:fldCharType="begin"/>
    </w:r>
    <w:r>
      <w:instrText xml:space="preserve"> DOCPROPERTY "IaeaClassification"  \* MERGEFORMAT </w:instrText>
    </w:r>
    <w:r>
      <w:fldChar w:fldCharType="end"/>
    </w:r>
  </w:p>
  <w:p w14:paraId="07C5C373" w14:textId="14D63CD4" w:rsidR="00AE262E" w:rsidRDefault="00AE262E">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EF892" w14:textId="283A3013" w:rsidR="00AE262E" w:rsidRPr="003332DA" w:rsidRDefault="00AE262E" w:rsidP="003332DA">
    <w:pPr>
      <w:pStyle w:val="Header"/>
      <w:spacing w:after="0"/>
      <w:jc w:val="right"/>
      <w:rPr>
        <w:sz w:val="8"/>
        <w:szCs w:val="8"/>
      </w:rPr>
    </w:pPr>
    <w:r>
      <w:br/>
      <w:t xml:space="preserve">Page </w:t>
    </w:r>
    <w:r>
      <w:fldChar w:fldCharType="begin"/>
    </w:r>
    <w:r>
      <w:instrText xml:space="preserve"> PAGE </w:instrText>
    </w:r>
    <w:r>
      <w:fldChar w:fldCharType="separate"/>
    </w:r>
    <w:r w:rsidR="00580CC6">
      <w:rPr>
        <w:noProof/>
      </w:rPr>
      <w:t>5</w:t>
    </w:r>
    <w:r>
      <w:fldChar w:fldCharType="end"/>
    </w:r>
    <w:r>
      <w:br/>
    </w:r>
    <w:r w:rsidRPr="003332DA">
      <w:rPr>
        <w:sz w:val="8"/>
        <w:szCs w:val="8"/>
      </w:rPr>
      <w:fldChar w:fldCharType="begin"/>
    </w:r>
    <w:r w:rsidRPr="003332DA">
      <w:rPr>
        <w:sz w:val="8"/>
        <w:szCs w:val="8"/>
      </w:rPr>
      <w:instrText>DOCPROPERTY "IaeaClassification2"  \* MERGEFORMAT</w:instrText>
    </w:r>
    <w:r w:rsidRPr="003332DA">
      <w:rPr>
        <w:sz w:val="8"/>
        <w:szCs w:val="8"/>
      </w:rPr>
      <w:fldChar w:fldCharType="end"/>
    </w:r>
  </w:p>
  <w:p w14:paraId="7CA2EBFA" w14:textId="77777777" w:rsidR="00AE262E" w:rsidRDefault="00AE262E">
    <w:pPr>
      <w:jc w:val="right"/>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AE262E" w14:paraId="5BBAE6A1" w14:textId="77777777">
      <w:trPr>
        <w:cantSplit/>
        <w:trHeight w:val="716"/>
      </w:trPr>
      <w:tc>
        <w:tcPr>
          <w:tcW w:w="979" w:type="dxa"/>
          <w:vMerge w:val="restart"/>
        </w:tcPr>
        <w:p w14:paraId="4DC87502" w14:textId="77777777" w:rsidR="00AE262E" w:rsidRDefault="00AE262E">
          <w:pPr>
            <w:spacing w:before="180"/>
            <w:ind w:left="17"/>
          </w:pPr>
        </w:p>
      </w:tc>
      <w:tc>
        <w:tcPr>
          <w:tcW w:w="3638" w:type="dxa"/>
          <w:vAlign w:val="bottom"/>
        </w:tcPr>
        <w:p w14:paraId="1E3DB25C" w14:textId="77777777" w:rsidR="00AE262E" w:rsidRDefault="00AE262E">
          <w:pPr>
            <w:spacing w:after="20"/>
          </w:pPr>
        </w:p>
      </w:tc>
      <w:tc>
        <w:tcPr>
          <w:tcW w:w="5702" w:type="dxa"/>
          <w:vMerge w:val="restart"/>
          <w:tcMar>
            <w:right w:w="193" w:type="dxa"/>
          </w:tcMar>
        </w:tcPr>
        <w:p w14:paraId="3FF024BA" w14:textId="77777777" w:rsidR="00AE262E" w:rsidRDefault="00AE262E">
          <w:pPr>
            <w:pStyle w:val="zyxConfidBlack"/>
            <w:framePr w:wrap="auto" w:vAnchor="margin" w:hAnchor="text" w:xAlign="left" w:yAlign="inline"/>
            <w:suppressOverlap w:val="0"/>
          </w:pPr>
          <w:bookmarkStart w:id="3" w:name="DOC_bkmClassification1"/>
        </w:p>
        <w:bookmarkEnd w:id="3"/>
        <w:p w14:paraId="7ABDBAF9" w14:textId="062FA2E9" w:rsidR="00AE262E" w:rsidRDefault="00AE262E">
          <w:pPr>
            <w:pStyle w:val="zyxConfid2Red"/>
          </w:pPr>
          <w:r>
            <w:fldChar w:fldCharType="begin"/>
          </w:r>
          <w:r>
            <w:instrText>DOCPROPERTY "IaeaClassification2"  \* MERGEFORMAT</w:instrText>
          </w:r>
          <w:r>
            <w:fldChar w:fldCharType="end"/>
          </w:r>
        </w:p>
      </w:tc>
    </w:tr>
    <w:tr w:rsidR="00AE262E" w14:paraId="1605F03B" w14:textId="77777777">
      <w:trPr>
        <w:cantSplit/>
        <w:trHeight w:val="167"/>
      </w:trPr>
      <w:tc>
        <w:tcPr>
          <w:tcW w:w="979" w:type="dxa"/>
          <w:vMerge/>
        </w:tcPr>
        <w:p w14:paraId="2C2E9837" w14:textId="77777777" w:rsidR="00AE262E" w:rsidRDefault="00AE262E">
          <w:pPr>
            <w:spacing w:before="57"/>
          </w:pPr>
        </w:p>
      </w:tc>
      <w:tc>
        <w:tcPr>
          <w:tcW w:w="3638" w:type="dxa"/>
          <w:vAlign w:val="bottom"/>
        </w:tcPr>
        <w:p w14:paraId="129234C6" w14:textId="77777777" w:rsidR="00AE262E" w:rsidRDefault="00AE262E">
          <w:pPr>
            <w:pStyle w:val="Heading9"/>
            <w:spacing w:before="0" w:after="10"/>
          </w:pPr>
        </w:p>
      </w:tc>
      <w:tc>
        <w:tcPr>
          <w:tcW w:w="5702" w:type="dxa"/>
          <w:vMerge/>
          <w:vAlign w:val="bottom"/>
        </w:tcPr>
        <w:p w14:paraId="0DFF4BA7" w14:textId="77777777" w:rsidR="00AE262E" w:rsidRDefault="00AE262E">
          <w:pPr>
            <w:pStyle w:val="Heading9"/>
            <w:spacing w:before="0" w:after="10"/>
          </w:pPr>
        </w:p>
      </w:tc>
    </w:tr>
  </w:tbl>
  <w:p w14:paraId="7CDDC180" w14:textId="77777777" w:rsidR="00AE262E" w:rsidRDefault="00AE262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64EBB"/>
    <w:multiLevelType w:val="hybridMultilevel"/>
    <w:tmpl w:val="94589290"/>
    <w:lvl w:ilvl="0" w:tplc="7A9AF13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C15AD1"/>
    <w:multiLevelType w:val="hybridMultilevel"/>
    <w:tmpl w:val="B2B2C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3" w15:restartNumberingAfterBreak="0">
    <w:nsid w:val="0DA8207A"/>
    <w:multiLevelType w:val="hybridMultilevel"/>
    <w:tmpl w:val="593CD074"/>
    <w:lvl w:ilvl="0" w:tplc="D4E4DF70">
      <w:start w:val="1"/>
      <w:numFmt w:val="bullet"/>
      <w:lvlText w:val=""/>
      <w:lvlJc w:val="left"/>
      <w:pPr>
        <w:ind w:left="720" w:hanging="360"/>
      </w:pPr>
      <w:rPr>
        <w:rFonts w:ascii="Symbol" w:hAnsi="Symbol" w:hint="default"/>
        <w:b/>
        <w:i w:val="0"/>
        <w:color w:val="808080"/>
        <w:sz w:val="20"/>
        <w:szCs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E2429"/>
    <w:multiLevelType w:val="hybridMultilevel"/>
    <w:tmpl w:val="08CE2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624426"/>
    <w:multiLevelType w:val="multilevel"/>
    <w:tmpl w:val="DE60CD88"/>
    <w:lvl w:ilvl="0">
      <w:start w:val="1"/>
      <w:numFmt w:val="bullet"/>
      <w:lvlText w:val=""/>
      <w:lvlJc w:val="left"/>
      <w:pPr>
        <w:ind w:left="360" w:hanging="360"/>
      </w:pPr>
      <w:rPr>
        <w:rFonts w:ascii="Symbol" w:hAnsi="Symbol" w:cs="Times New Roman" w:hint="default"/>
        <w:color w:val="auto"/>
      </w:rPr>
    </w:lvl>
    <w:lvl w:ilvl="1">
      <w:start w:val="1"/>
      <w:numFmt w:val="bullet"/>
      <w:lvlText w:val="-"/>
      <w:lvlJc w:val="left"/>
      <w:pPr>
        <w:ind w:left="720" w:hanging="360"/>
      </w:pPr>
      <w:rPr>
        <w:rFonts w:ascii="Calibri" w:hAnsi="Calibri" w:cs="Times New Roman"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EE1475A"/>
    <w:multiLevelType w:val="hybridMultilevel"/>
    <w:tmpl w:val="5406FD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9" w15:restartNumberingAfterBreak="0">
    <w:nsid w:val="367276AD"/>
    <w:multiLevelType w:val="multilevel"/>
    <w:tmpl w:val="DE60CD88"/>
    <w:lvl w:ilvl="0">
      <w:start w:val="1"/>
      <w:numFmt w:val="bullet"/>
      <w:lvlText w:val=""/>
      <w:lvlJc w:val="left"/>
      <w:pPr>
        <w:ind w:left="360" w:hanging="360"/>
      </w:pPr>
      <w:rPr>
        <w:rFonts w:ascii="Symbol" w:hAnsi="Symbol" w:cs="Times New Roman" w:hint="default"/>
        <w:color w:val="auto"/>
      </w:rPr>
    </w:lvl>
    <w:lvl w:ilvl="1">
      <w:start w:val="1"/>
      <w:numFmt w:val="bullet"/>
      <w:lvlText w:val="-"/>
      <w:lvlJc w:val="left"/>
      <w:pPr>
        <w:ind w:left="720" w:hanging="360"/>
      </w:pPr>
      <w:rPr>
        <w:rFonts w:ascii="Calibri" w:hAnsi="Calibri" w:cs="Times New Roman"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B0B56EC"/>
    <w:multiLevelType w:val="hybridMultilevel"/>
    <w:tmpl w:val="D2386434"/>
    <w:lvl w:ilvl="0" w:tplc="261C8280">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9039B9"/>
    <w:multiLevelType w:val="hybridMultilevel"/>
    <w:tmpl w:val="38522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3" w15:restartNumberingAfterBreak="0">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A20A7A"/>
    <w:multiLevelType w:val="multilevel"/>
    <w:tmpl w:val="DE60CD88"/>
    <w:lvl w:ilvl="0">
      <w:start w:val="1"/>
      <w:numFmt w:val="bullet"/>
      <w:lvlText w:val=""/>
      <w:lvlJc w:val="left"/>
      <w:pPr>
        <w:ind w:left="360" w:hanging="360"/>
      </w:pPr>
      <w:rPr>
        <w:rFonts w:ascii="Symbol" w:hAnsi="Symbol" w:cs="Times New Roman" w:hint="default"/>
        <w:color w:val="auto"/>
      </w:rPr>
    </w:lvl>
    <w:lvl w:ilvl="1">
      <w:start w:val="1"/>
      <w:numFmt w:val="bullet"/>
      <w:lvlText w:val="-"/>
      <w:lvlJc w:val="left"/>
      <w:pPr>
        <w:ind w:left="720" w:hanging="360"/>
      </w:pPr>
      <w:rPr>
        <w:rFonts w:ascii="Calibri" w:hAnsi="Calibri" w:cs="Times New Roman"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FD51093"/>
    <w:multiLevelType w:val="multilevel"/>
    <w:tmpl w:val="3C96AECA"/>
    <w:name w:val="HeadingTemplate"/>
    <w:lvl w:ilvl="0">
      <w:start w:val="1"/>
      <w:numFmt w:val="upperLetter"/>
      <w:lvlRestart w:val="0"/>
      <w:lvlText w:val="%1."/>
      <w:lvlJc w:val="left"/>
      <w:pPr>
        <w:tabs>
          <w:tab w:val="num" w:pos="459"/>
        </w:tabs>
        <w:ind w:left="0" w:firstLine="0"/>
      </w:pPr>
    </w:lvl>
    <w:lvl w:ilvl="1">
      <w:start w:val="1"/>
      <w:numFmt w:val="decimal"/>
      <w:suff w:val="space"/>
      <w:lvlText w:val="%1.%2."/>
      <w:lvlJc w:val="left"/>
      <w:pPr>
        <w:tabs>
          <w:tab w:val="num" w:pos="459"/>
        </w:tabs>
        <w:ind w:left="0" w:firstLine="0"/>
      </w:pPr>
      <w:rPr>
        <w:color w:val="auto"/>
      </w:rPr>
    </w:lvl>
    <w:lvl w:ilvl="2">
      <w:start w:val="1"/>
      <w:numFmt w:val="decimal"/>
      <w:suff w:val="space"/>
      <w:lvlText w:val="%1.%2.%3."/>
      <w:lvlJc w:val="left"/>
      <w:pPr>
        <w:tabs>
          <w:tab w:val="num" w:pos="459"/>
        </w:tabs>
        <w:ind w:left="0" w:firstLine="0"/>
      </w:pPr>
    </w:lvl>
    <w:lvl w:ilvl="3">
      <w:start w:val="1"/>
      <w:numFmt w:val="none"/>
      <w:lvlText w:val=""/>
      <w:lvlJc w:val="left"/>
      <w:pPr>
        <w:tabs>
          <w:tab w:val="num" w:pos="2058"/>
        </w:tabs>
        <w:ind w:left="1701" w:firstLine="0"/>
      </w:pPr>
    </w:lvl>
    <w:lvl w:ilvl="4">
      <w:start w:val="1"/>
      <w:numFmt w:val="decimal"/>
      <w:lvlText w:val="%1.%2.%3.%4.%5"/>
      <w:lvlJc w:val="left"/>
      <w:pPr>
        <w:tabs>
          <w:tab w:val="num" w:pos="3345"/>
        </w:tabs>
        <w:ind w:left="2268" w:firstLine="0"/>
      </w:p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16" w15:restartNumberingAfterBreak="0">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79B85122"/>
    <w:multiLevelType w:val="hybridMultilevel"/>
    <w:tmpl w:val="D040BBDC"/>
    <w:lvl w:ilvl="0" w:tplc="98BC012A">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247E72"/>
    <w:multiLevelType w:val="hybridMultilevel"/>
    <w:tmpl w:val="32FA0AAA"/>
    <w:lvl w:ilvl="0" w:tplc="0409000F">
      <w:start w:val="1"/>
      <w:numFmt w:val="decimal"/>
      <w:lvlText w:val="%1."/>
      <w:lvlJc w:val="left"/>
      <w:pPr>
        <w:tabs>
          <w:tab w:val="num" w:pos="1080"/>
        </w:tabs>
        <w:ind w:left="1080" w:hanging="360"/>
      </w:pPr>
    </w:lvl>
    <w:lvl w:ilvl="1" w:tplc="2ECA4F44">
      <w:numFmt w:val="bullet"/>
      <w:lvlText w:val=""/>
      <w:lvlJc w:val="left"/>
      <w:pPr>
        <w:tabs>
          <w:tab w:val="num" w:pos="1800"/>
        </w:tabs>
        <w:ind w:left="1800" w:hanging="360"/>
      </w:pPr>
      <w:rPr>
        <w:rFonts w:ascii="Symbol" w:eastAsia="MS Mincho" w:hAnsi="Symbol" w:hint="default"/>
      </w:rPr>
    </w:lvl>
    <w:lvl w:ilvl="2" w:tplc="961C4138">
      <w:numFmt w:val="bullet"/>
      <w:lvlText w:val="-"/>
      <w:lvlJc w:val="left"/>
      <w:pPr>
        <w:tabs>
          <w:tab w:val="num" w:pos="3015"/>
        </w:tabs>
        <w:ind w:left="3015" w:hanging="675"/>
      </w:pPr>
      <w:rPr>
        <w:rFonts w:ascii="Times New Roman" w:eastAsia="Times New Roman" w:hAnsi="Times New Roman" w:cs="Times New Roman" w:hint="default"/>
      </w:r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9" w15:restartNumberingAfterBreak="0">
    <w:nsid w:val="7D14389E"/>
    <w:multiLevelType w:val="hybridMultilevel"/>
    <w:tmpl w:val="3C422C3E"/>
    <w:lvl w:ilvl="0" w:tplc="8B98D1A2">
      <w:start w:val="1"/>
      <w:numFmt w:val="upperLetter"/>
      <w:pStyle w:val="Heading1"/>
      <w:lvlText w:val="%1."/>
      <w:lvlJc w:val="left"/>
      <w:pPr>
        <w:ind w:left="720" w:hanging="360"/>
      </w:pPr>
      <w:rPr>
        <w:rFonts w:ascii="Times New Roman" w:hAnsi="Times New Roman" w:cs="Times New Roman"/>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7"/>
  </w:num>
  <w:num w:numId="3">
    <w:abstractNumId w:val="15"/>
  </w:num>
  <w:num w:numId="4">
    <w:abstractNumId w:val="15"/>
  </w:num>
  <w:num w:numId="5">
    <w:abstractNumId w:val="15"/>
  </w:num>
  <w:num w:numId="6">
    <w:abstractNumId w:val="8"/>
  </w:num>
  <w:num w:numId="7">
    <w:abstractNumId w:val="13"/>
  </w:num>
  <w:num w:numId="8">
    <w:abstractNumId w:val="16"/>
  </w:num>
  <w:num w:numId="9">
    <w:abstractNumId w:val="2"/>
  </w:num>
  <w:num w:numId="10">
    <w:abstractNumId w:val="10"/>
  </w:num>
  <w:num w:numId="11">
    <w:abstractNumId w:val="17"/>
  </w:num>
  <w:num w:numId="12">
    <w:abstractNumId w:val="4"/>
  </w:num>
  <w:num w:numId="13">
    <w:abstractNumId w:val="12"/>
  </w:num>
  <w:num w:numId="14">
    <w:abstractNumId w:val="12"/>
  </w:num>
  <w:num w:numId="15">
    <w:abstractNumId w:val="12"/>
  </w:num>
  <w:num w:numId="16">
    <w:abstractNumId w:val="17"/>
  </w:num>
  <w:num w:numId="17">
    <w:abstractNumId w:val="19"/>
  </w:num>
  <w:num w:numId="18">
    <w:abstractNumId w:val="3"/>
  </w:num>
  <w:num w:numId="19">
    <w:abstractNumId w:val="11"/>
  </w:num>
  <w:num w:numId="20">
    <w:abstractNumId w:val="0"/>
  </w:num>
  <w:num w:numId="21">
    <w:abstractNumId w:val="18"/>
  </w:num>
  <w:num w:numId="22">
    <w:abstractNumId w:val="1"/>
  </w:num>
  <w:num w:numId="23">
    <w:abstractNumId w:val="9"/>
  </w:num>
  <w:num w:numId="24">
    <w:abstractNumId w:val="14"/>
  </w:num>
  <w:num w:numId="25">
    <w:abstractNumId w:val="5"/>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de-DE"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s-E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9943FA"/>
    <w:rsid w:val="000153EF"/>
    <w:rsid w:val="000229AB"/>
    <w:rsid w:val="00024EDB"/>
    <w:rsid w:val="00033A0B"/>
    <w:rsid w:val="00051C90"/>
    <w:rsid w:val="00074504"/>
    <w:rsid w:val="00083753"/>
    <w:rsid w:val="000959CF"/>
    <w:rsid w:val="000B672E"/>
    <w:rsid w:val="000C2373"/>
    <w:rsid w:val="000C27E1"/>
    <w:rsid w:val="000D4173"/>
    <w:rsid w:val="000E4286"/>
    <w:rsid w:val="000F033E"/>
    <w:rsid w:val="000F0519"/>
    <w:rsid w:val="000F0D98"/>
    <w:rsid w:val="000F3EDC"/>
    <w:rsid w:val="000F7E94"/>
    <w:rsid w:val="001114C8"/>
    <w:rsid w:val="0011636E"/>
    <w:rsid w:val="0013076F"/>
    <w:rsid w:val="001433C5"/>
    <w:rsid w:val="001437F8"/>
    <w:rsid w:val="00151C28"/>
    <w:rsid w:val="0015429A"/>
    <w:rsid w:val="00161F07"/>
    <w:rsid w:val="00165B45"/>
    <w:rsid w:val="001723C4"/>
    <w:rsid w:val="0017552A"/>
    <w:rsid w:val="001A14C1"/>
    <w:rsid w:val="001B20E0"/>
    <w:rsid w:val="001E1485"/>
    <w:rsid w:val="001E2F2C"/>
    <w:rsid w:val="001F3F28"/>
    <w:rsid w:val="001F3F79"/>
    <w:rsid w:val="002154E1"/>
    <w:rsid w:val="002179D6"/>
    <w:rsid w:val="00221326"/>
    <w:rsid w:val="002238FB"/>
    <w:rsid w:val="00224D9B"/>
    <w:rsid w:val="00225149"/>
    <w:rsid w:val="00225938"/>
    <w:rsid w:val="00234B52"/>
    <w:rsid w:val="00243701"/>
    <w:rsid w:val="002477C2"/>
    <w:rsid w:val="00251A0E"/>
    <w:rsid w:val="00260293"/>
    <w:rsid w:val="0026679E"/>
    <w:rsid w:val="00274790"/>
    <w:rsid w:val="00276559"/>
    <w:rsid w:val="002804E3"/>
    <w:rsid w:val="002944CA"/>
    <w:rsid w:val="002956CC"/>
    <w:rsid w:val="002A34C7"/>
    <w:rsid w:val="002C3F6D"/>
    <w:rsid w:val="002D31EF"/>
    <w:rsid w:val="002E120D"/>
    <w:rsid w:val="002E1C0E"/>
    <w:rsid w:val="002F2E5B"/>
    <w:rsid w:val="0030602E"/>
    <w:rsid w:val="0031580D"/>
    <w:rsid w:val="00323DE6"/>
    <w:rsid w:val="003332DA"/>
    <w:rsid w:val="00333966"/>
    <w:rsid w:val="003378FF"/>
    <w:rsid w:val="00337B52"/>
    <w:rsid w:val="00347A3E"/>
    <w:rsid w:val="0035466D"/>
    <w:rsid w:val="0035498E"/>
    <w:rsid w:val="00354F9B"/>
    <w:rsid w:val="00362111"/>
    <w:rsid w:val="003637B6"/>
    <w:rsid w:val="00377868"/>
    <w:rsid w:val="0037791D"/>
    <w:rsid w:val="00385647"/>
    <w:rsid w:val="003920E5"/>
    <w:rsid w:val="00392D28"/>
    <w:rsid w:val="00397073"/>
    <w:rsid w:val="0039736D"/>
    <w:rsid w:val="003A4CFD"/>
    <w:rsid w:val="003B1DED"/>
    <w:rsid w:val="003B4311"/>
    <w:rsid w:val="003B572F"/>
    <w:rsid w:val="003C19AC"/>
    <w:rsid w:val="003D255A"/>
    <w:rsid w:val="003E2FF5"/>
    <w:rsid w:val="003F29DB"/>
    <w:rsid w:val="003F51F4"/>
    <w:rsid w:val="003F5CB5"/>
    <w:rsid w:val="0040319F"/>
    <w:rsid w:val="004206B2"/>
    <w:rsid w:val="00427F66"/>
    <w:rsid w:val="00463845"/>
    <w:rsid w:val="00472671"/>
    <w:rsid w:val="00482C1C"/>
    <w:rsid w:val="004930B8"/>
    <w:rsid w:val="00497D59"/>
    <w:rsid w:val="004C4CBD"/>
    <w:rsid w:val="004D159E"/>
    <w:rsid w:val="004E663A"/>
    <w:rsid w:val="004E7D17"/>
    <w:rsid w:val="004F3C9C"/>
    <w:rsid w:val="005005AC"/>
    <w:rsid w:val="005250F7"/>
    <w:rsid w:val="005420E2"/>
    <w:rsid w:val="00544156"/>
    <w:rsid w:val="00561800"/>
    <w:rsid w:val="00566653"/>
    <w:rsid w:val="00573C87"/>
    <w:rsid w:val="00580C57"/>
    <w:rsid w:val="00580CC6"/>
    <w:rsid w:val="00595DCB"/>
    <w:rsid w:val="005B4682"/>
    <w:rsid w:val="005B4FA0"/>
    <w:rsid w:val="005B6E72"/>
    <w:rsid w:val="005C1129"/>
    <w:rsid w:val="005C2869"/>
    <w:rsid w:val="005C5BAC"/>
    <w:rsid w:val="005D6BF1"/>
    <w:rsid w:val="005E28D8"/>
    <w:rsid w:val="005E4066"/>
    <w:rsid w:val="005E4431"/>
    <w:rsid w:val="005E4E6E"/>
    <w:rsid w:val="005E5F23"/>
    <w:rsid w:val="005F041B"/>
    <w:rsid w:val="005F104E"/>
    <w:rsid w:val="006117D0"/>
    <w:rsid w:val="0061636B"/>
    <w:rsid w:val="0062541E"/>
    <w:rsid w:val="006306B2"/>
    <w:rsid w:val="00631D9A"/>
    <w:rsid w:val="0063750C"/>
    <w:rsid w:val="006477B5"/>
    <w:rsid w:val="00657734"/>
    <w:rsid w:val="006578FB"/>
    <w:rsid w:val="006617F7"/>
    <w:rsid w:val="006727C1"/>
    <w:rsid w:val="006756AA"/>
    <w:rsid w:val="00680ADC"/>
    <w:rsid w:val="00683B56"/>
    <w:rsid w:val="00684131"/>
    <w:rsid w:val="006841BE"/>
    <w:rsid w:val="00693BF9"/>
    <w:rsid w:val="006B153D"/>
    <w:rsid w:val="006D4F8C"/>
    <w:rsid w:val="006E41A9"/>
    <w:rsid w:val="006F0D15"/>
    <w:rsid w:val="006F4FE7"/>
    <w:rsid w:val="006F7E3A"/>
    <w:rsid w:val="00701860"/>
    <w:rsid w:val="00717EF5"/>
    <w:rsid w:val="007223AE"/>
    <w:rsid w:val="00733300"/>
    <w:rsid w:val="0073333F"/>
    <w:rsid w:val="0073676F"/>
    <w:rsid w:val="00740220"/>
    <w:rsid w:val="00741925"/>
    <w:rsid w:val="007445DA"/>
    <w:rsid w:val="00750DF0"/>
    <w:rsid w:val="007530DF"/>
    <w:rsid w:val="00754B5A"/>
    <w:rsid w:val="00763C41"/>
    <w:rsid w:val="00772091"/>
    <w:rsid w:val="007763BA"/>
    <w:rsid w:val="00780658"/>
    <w:rsid w:val="00787C8F"/>
    <w:rsid w:val="00796E57"/>
    <w:rsid w:val="007A3F78"/>
    <w:rsid w:val="007B00C7"/>
    <w:rsid w:val="007B36F0"/>
    <w:rsid w:val="007B58EE"/>
    <w:rsid w:val="007C1A1D"/>
    <w:rsid w:val="007E1591"/>
    <w:rsid w:val="007E59E8"/>
    <w:rsid w:val="007F77AE"/>
    <w:rsid w:val="00800251"/>
    <w:rsid w:val="00802EC4"/>
    <w:rsid w:val="0080387F"/>
    <w:rsid w:val="00804BF3"/>
    <w:rsid w:val="00821D92"/>
    <w:rsid w:val="00832136"/>
    <w:rsid w:val="008371D8"/>
    <w:rsid w:val="008529C1"/>
    <w:rsid w:val="00873998"/>
    <w:rsid w:val="008870B9"/>
    <w:rsid w:val="00887265"/>
    <w:rsid w:val="00892940"/>
    <w:rsid w:val="0089306E"/>
    <w:rsid w:val="00893CF0"/>
    <w:rsid w:val="00895DFD"/>
    <w:rsid w:val="00896537"/>
    <w:rsid w:val="00897F1A"/>
    <w:rsid w:val="008A58F1"/>
    <w:rsid w:val="008B1758"/>
    <w:rsid w:val="008C54CC"/>
    <w:rsid w:val="008D3425"/>
    <w:rsid w:val="008D5104"/>
    <w:rsid w:val="008F0121"/>
    <w:rsid w:val="008F3152"/>
    <w:rsid w:val="00905746"/>
    <w:rsid w:val="00912126"/>
    <w:rsid w:val="00913322"/>
    <w:rsid w:val="009410B6"/>
    <w:rsid w:val="0095708A"/>
    <w:rsid w:val="00964E4C"/>
    <w:rsid w:val="00966101"/>
    <w:rsid w:val="0097424F"/>
    <w:rsid w:val="009943FA"/>
    <w:rsid w:val="009A33A1"/>
    <w:rsid w:val="009A3E84"/>
    <w:rsid w:val="009C2007"/>
    <w:rsid w:val="009C2CAB"/>
    <w:rsid w:val="009D0295"/>
    <w:rsid w:val="009D0B86"/>
    <w:rsid w:val="009D7D26"/>
    <w:rsid w:val="00A044BB"/>
    <w:rsid w:val="00A163F7"/>
    <w:rsid w:val="00A1661F"/>
    <w:rsid w:val="00A2168A"/>
    <w:rsid w:val="00A22605"/>
    <w:rsid w:val="00A2275F"/>
    <w:rsid w:val="00A31405"/>
    <w:rsid w:val="00A4103B"/>
    <w:rsid w:val="00A52709"/>
    <w:rsid w:val="00A52E18"/>
    <w:rsid w:val="00A71EE1"/>
    <w:rsid w:val="00A756D2"/>
    <w:rsid w:val="00A92381"/>
    <w:rsid w:val="00AA3C2F"/>
    <w:rsid w:val="00AB76A4"/>
    <w:rsid w:val="00AC3BC9"/>
    <w:rsid w:val="00AE262E"/>
    <w:rsid w:val="00AF3B4F"/>
    <w:rsid w:val="00AF57CE"/>
    <w:rsid w:val="00AF76A8"/>
    <w:rsid w:val="00B05337"/>
    <w:rsid w:val="00B330C0"/>
    <w:rsid w:val="00B41854"/>
    <w:rsid w:val="00B521CB"/>
    <w:rsid w:val="00B53CB0"/>
    <w:rsid w:val="00B5489C"/>
    <w:rsid w:val="00B633E5"/>
    <w:rsid w:val="00B64059"/>
    <w:rsid w:val="00B66EDC"/>
    <w:rsid w:val="00B77990"/>
    <w:rsid w:val="00B81415"/>
    <w:rsid w:val="00B92A4E"/>
    <w:rsid w:val="00BA1D8A"/>
    <w:rsid w:val="00BA2B3C"/>
    <w:rsid w:val="00BA4EE9"/>
    <w:rsid w:val="00BB30A3"/>
    <w:rsid w:val="00BB40FF"/>
    <w:rsid w:val="00BB4F6C"/>
    <w:rsid w:val="00BC3718"/>
    <w:rsid w:val="00BD1400"/>
    <w:rsid w:val="00BE2A76"/>
    <w:rsid w:val="00BF037B"/>
    <w:rsid w:val="00BF1C01"/>
    <w:rsid w:val="00BF68CA"/>
    <w:rsid w:val="00C21AC1"/>
    <w:rsid w:val="00C36A73"/>
    <w:rsid w:val="00C66012"/>
    <w:rsid w:val="00C66E55"/>
    <w:rsid w:val="00C6756C"/>
    <w:rsid w:val="00C7512B"/>
    <w:rsid w:val="00C8511B"/>
    <w:rsid w:val="00C85E97"/>
    <w:rsid w:val="00CA05E6"/>
    <w:rsid w:val="00CA4203"/>
    <w:rsid w:val="00CA5882"/>
    <w:rsid w:val="00CC25A2"/>
    <w:rsid w:val="00CC6569"/>
    <w:rsid w:val="00CC6750"/>
    <w:rsid w:val="00CE5A52"/>
    <w:rsid w:val="00CF0022"/>
    <w:rsid w:val="00CF41E0"/>
    <w:rsid w:val="00D22BF4"/>
    <w:rsid w:val="00D439F4"/>
    <w:rsid w:val="00D52C60"/>
    <w:rsid w:val="00D55237"/>
    <w:rsid w:val="00D56055"/>
    <w:rsid w:val="00D626A1"/>
    <w:rsid w:val="00D7503E"/>
    <w:rsid w:val="00D81895"/>
    <w:rsid w:val="00DA46CA"/>
    <w:rsid w:val="00DB25B8"/>
    <w:rsid w:val="00DC4155"/>
    <w:rsid w:val="00DC69FE"/>
    <w:rsid w:val="00DD0331"/>
    <w:rsid w:val="00DD5F8C"/>
    <w:rsid w:val="00DE1008"/>
    <w:rsid w:val="00DE427F"/>
    <w:rsid w:val="00DE4D15"/>
    <w:rsid w:val="00DF053A"/>
    <w:rsid w:val="00DF740F"/>
    <w:rsid w:val="00E05CD0"/>
    <w:rsid w:val="00E0670C"/>
    <w:rsid w:val="00E12FF2"/>
    <w:rsid w:val="00E20E70"/>
    <w:rsid w:val="00E2183F"/>
    <w:rsid w:val="00E23813"/>
    <w:rsid w:val="00E24E0A"/>
    <w:rsid w:val="00E379C7"/>
    <w:rsid w:val="00E54B23"/>
    <w:rsid w:val="00E635E8"/>
    <w:rsid w:val="00E65547"/>
    <w:rsid w:val="00E7421C"/>
    <w:rsid w:val="00E76B5F"/>
    <w:rsid w:val="00E77634"/>
    <w:rsid w:val="00E81944"/>
    <w:rsid w:val="00EB4709"/>
    <w:rsid w:val="00EC4D7D"/>
    <w:rsid w:val="00EE3A54"/>
    <w:rsid w:val="00EE75B5"/>
    <w:rsid w:val="00EF7E2A"/>
    <w:rsid w:val="00F16100"/>
    <w:rsid w:val="00F1752C"/>
    <w:rsid w:val="00F1761D"/>
    <w:rsid w:val="00F316FA"/>
    <w:rsid w:val="00F33FE4"/>
    <w:rsid w:val="00F342E2"/>
    <w:rsid w:val="00F41146"/>
    <w:rsid w:val="00F411B5"/>
    <w:rsid w:val="00F44ED1"/>
    <w:rsid w:val="00F4545E"/>
    <w:rsid w:val="00F64E79"/>
    <w:rsid w:val="00F67D82"/>
    <w:rsid w:val="00F8358B"/>
    <w:rsid w:val="00F952CC"/>
    <w:rsid w:val="00FA11B8"/>
    <w:rsid w:val="00FA28E8"/>
    <w:rsid w:val="00FA34FE"/>
    <w:rsid w:val="00FA6065"/>
    <w:rsid w:val="00FB0667"/>
    <w:rsid w:val="00FB7C83"/>
    <w:rsid w:val="00FC025D"/>
    <w:rsid w:val="00FC549A"/>
    <w:rsid w:val="00FC66B8"/>
    <w:rsid w:val="00FD3CD1"/>
    <w:rsid w:val="00FD56BA"/>
    <w:rsid w:val="00FD78C4"/>
    <w:rsid w:val="00FE0197"/>
    <w:rsid w:val="00FE0F7D"/>
    <w:rsid w:val="00FE20A7"/>
    <w:rsid w:val="00FE3E8F"/>
    <w:rsid w:val="00FE6FC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1B86A698"/>
  <w15:docId w15:val="{4E88FABD-724E-4FD4-A6BF-494F60CF0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49" w:defSemiHidden="0" w:defUnhideWhenUsed="0" w:defQFormat="0" w:count="375">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99"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Table Grid"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49"/>
    <w:rsid w:val="00750DF0"/>
    <w:pPr>
      <w:overflowPunct w:val="0"/>
      <w:autoSpaceDE w:val="0"/>
      <w:autoSpaceDN w:val="0"/>
      <w:adjustRightInd w:val="0"/>
      <w:textAlignment w:val="baseline"/>
    </w:pPr>
    <w:rPr>
      <w:sz w:val="22"/>
      <w:lang w:eastAsia="en-US"/>
    </w:rPr>
  </w:style>
  <w:style w:type="paragraph" w:styleId="Heading1">
    <w:name w:val="heading 1"/>
    <w:next w:val="BodyTextMultiline"/>
    <w:link w:val="Heading1Char"/>
    <w:qFormat/>
    <w:rsid w:val="000E4286"/>
    <w:pPr>
      <w:keepNext/>
      <w:keepLines/>
      <w:widowControl w:val="0"/>
      <w:numPr>
        <w:numId w:val="17"/>
      </w:numPr>
      <w:spacing w:before="851" w:after="390" w:line="360" w:lineRule="exact"/>
      <w:ind w:left="0" w:firstLine="0"/>
      <w:outlineLvl w:val="0"/>
    </w:pPr>
    <w:rPr>
      <w:b/>
      <w:sz w:val="32"/>
      <w:lang w:eastAsia="en-US"/>
    </w:rPr>
  </w:style>
  <w:style w:type="paragraph" w:styleId="Heading2">
    <w:name w:val="heading 2"/>
    <w:next w:val="BodyTextMultiline"/>
    <w:uiPriority w:val="4"/>
    <w:qFormat/>
    <w:pPr>
      <w:widowControl w:val="0"/>
      <w:spacing w:after="200" w:line="320" w:lineRule="exact"/>
      <w:outlineLvl w:val="1"/>
    </w:pPr>
    <w:rPr>
      <w:b/>
      <w:sz w:val="28"/>
      <w:lang w:eastAsia="en-US"/>
    </w:rPr>
  </w:style>
  <w:style w:type="paragraph" w:styleId="Heading3">
    <w:name w:val="heading 3"/>
    <w:next w:val="BodyTextMultiline"/>
    <w:uiPriority w:val="4"/>
    <w:qFormat/>
    <w:pPr>
      <w:widowControl w:val="0"/>
      <w:spacing w:after="200" w:line="320" w:lineRule="exact"/>
      <w:outlineLvl w:val="2"/>
    </w:pPr>
    <w:rPr>
      <w:b/>
      <w:sz w:val="24"/>
      <w:lang w:eastAsia="en-US"/>
    </w:rPr>
  </w:style>
  <w:style w:type="paragraph" w:styleId="Heading4">
    <w:name w:val="heading 4"/>
    <w:basedOn w:val="Normal"/>
    <w:next w:val="BodyTextMultiline"/>
    <w:uiPriority w:val="4"/>
    <w:qFormat/>
    <w:pPr>
      <w:widowControl w:val="0"/>
      <w:spacing w:line="280" w:lineRule="exact"/>
      <w:outlineLvl w:val="3"/>
    </w:pPr>
    <w:rPr>
      <w:b/>
      <w:sz w:val="24"/>
      <w:lang w:val="en-US"/>
    </w:rPr>
  </w:style>
  <w:style w:type="paragraph" w:styleId="Heading5">
    <w:name w:val="heading 5"/>
    <w:basedOn w:val="Normal"/>
    <w:next w:val="Normal"/>
    <w:uiPriority w:val="19"/>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Char"/>
    <w:link w:val="BodyTextChar"/>
    <w:qFormat/>
    <w:pPr>
      <w:spacing w:after="170" w:line="280" w:lineRule="atLeast"/>
      <w:jc w:val="both"/>
    </w:pPr>
    <w:rPr>
      <w:sz w:val="22"/>
      <w:lang w:eastAsia="en-US"/>
    </w:rPr>
  </w:style>
  <w:style w:type="paragraph" w:styleId="BodyTextIndent">
    <w:name w:val="Body Text Indent"/>
    <w:basedOn w:val="BodyText"/>
    <w:uiPriority w:val="49"/>
    <w:pPr>
      <w:ind w:left="1134" w:hanging="675"/>
    </w:pPr>
  </w:style>
  <w:style w:type="paragraph" w:customStyle="1" w:styleId="BodyTextMultiline">
    <w:name w:val="Body Text Multiline"/>
    <w:basedOn w:val="BodyText"/>
    <w:qFormat/>
    <w:pPr>
      <w:numPr>
        <w:numId w:val="1"/>
      </w:numPr>
    </w:pPr>
  </w:style>
  <w:style w:type="paragraph" w:customStyle="1" w:styleId="BodyTextSummary">
    <w:name w:val="Body Text Summary"/>
    <w:uiPriority w:val="49"/>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uiPriority w:val="49"/>
    <w:pPr>
      <w:spacing w:after="85"/>
    </w:pPr>
    <w:rPr>
      <w:sz w:val="18"/>
      <w:lang w:val="en-US" w:eastAsia="en-US"/>
    </w:rPr>
  </w:style>
  <w:style w:type="paragraph" w:customStyle="1" w:styleId="ListBulleted">
    <w:name w:val="List Bulleted"/>
    <w:uiPriority w:val="7"/>
    <w:qFormat/>
    <w:pPr>
      <w:numPr>
        <w:numId w:val="6"/>
      </w:numPr>
      <w:tabs>
        <w:tab w:val="clear" w:pos="1179"/>
        <w:tab w:val="left" w:pos="919"/>
      </w:tabs>
      <w:ind w:left="918" w:right="1134" w:hanging="459"/>
      <w:jc w:val="both"/>
    </w:pPr>
    <w:rPr>
      <w:sz w:val="22"/>
      <w:lang w:eastAsia="en-US"/>
    </w:rPr>
  </w:style>
  <w:style w:type="paragraph" w:customStyle="1" w:styleId="ListEmdash">
    <w:name w:val="List Emdash"/>
    <w:uiPriority w:val="6"/>
    <w:qFormat/>
    <w:pPr>
      <w:numPr>
        <w:numId w:val="7"/>
      </w:numPr>
      <w:ind w:right="1134"/>
      <w:jc w:val="both"/>
    </w:pPr>
    <w:rPr>
      <w:sz w:val="22"/>
      <w:lang w:eastAsia="en-US"/>
    </w:rPr>
  </w:style>
  <w:style w:type="paragraph" w:customStyle="1" w:styleId="ListNumbered">
    <w:name w:val="List Numbered"/>
    <w:uiPriority w:val="5"/>
    <w:qFormat/>
    <w:pPr>
      <w:numPr>
        <w:numId w:val="8"/>
      </w:numPr>
      <w:ind w:right="1134"/>
    </w:pPr>
    <w:rPr>
      <w:sz w:val="22"/>
      <w:lang w:eastAsia="en-US"/>
    </w:rPr>
  </w:style>
  <w:style w:type="paragraph" w:styleId="Title">
    <w:name w:val="Title"/>
    <w:uiPriority w:val="2"/>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pPr>
      <w:spacing w:after="20" w:line="220" w:lineRule="exact"/>
      <w:jc w:val="right"/>
    </w:pPr>
    <w:rPr>
      <w:rFonts w:ascii="Arial" w:hAnsi="Arial" w:cs="Arial"/>
      <w:color w:val="FF0000"/>
    </w:rPr>
  </w:style>
  <w:style w:type="paragraph" w:customStyle="1" w:styleId="zyxConfidRed">
    <w:name w:val="zyxConfidRed"/>
    <w:uiPriority w:val="49"/>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pPr>
      <w:spacing w:after="60" w:line="280" w:lineRule="exact"/>
      <w:ind w:left="113"/>
    </w:pPr>
    <w:rPr>
      <w:sz w:val="22"/>
      <w:lang w:eastAsia="en-US"/>
    </w:rPr>
  </w:style>
  <w:style w:type="paragraph" w:customStyle="1" w:styleId="zyxFillIn">
    <w:name w:val="zyxFill_In"/>
    <w:basedOn w:val="zyxPrePrint"/>
    <w:uiPriority w:val="49"/>
    <w:rPr>
      <w:b/>
    </w:rPr>
  </w:style>
  <w:style w:type="paragraph" w:customStyle="1" w:styleId="zyxLogo">
    <w:name w:val="zyxLogo"/>
    <w:basedOn w:val="Normal"/>
    <w:uiPriority w:val="49"/>
    <w:pPr>
      <w:keepNext/>
      <w:spacing w:after="10"/>
    </w:pPr>
    <w:rPr>
      <w:rFonts w:ascii="Arial" w:hAnsi="Arial"/>
      <w:b/>
      <w:sz w:val="13"/>
    </w:rPr>
  </w:style>
  <w:style w:type="paragraph" w:customStyle="1" w:styleId="zyxP1Footer">
    <w:name w:val="zyxP1_Footer"/>
    <w:basedOn w:val="Normal"/>
    <w:uiPriority w:val="49"/>
    <w:pPr>
      <w:widowControl w:val="0"/>
      <w:spacing w:line="160" w:lineRule="exact"/>
      <w:ind w:left="108"/>
    </w:pPr>
    <w:rPr>
      <w:sz w:val="14"/>
    </w:rPr>
  </w:style>
  <w:style w:type="paragraph" w:customStyle="1" w:styleId="zyxSensitivity">
    <w:name w:val="zyxSensitivity"/>
    <w:basedOn w:val="Normal"/>
    <w:uiPriority w:val="49"/>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pPr>
      <w:keepNext/>
      <w:spacing w:line="420" w:lineRule="exact"/>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uiPriority w:val="3"/>
    <w:qFormat/>
    <w:pPr>
      <w:spacing w:before="113" w:after="85" w:line="240" w:lineRule="auto"/>
      <w:jc w:val="center"/>
      <w:outlineLvl w:val="9"/>
    </w:pPr>
    <w:rPr>
      <w:rFonts w:cs="Arial"/>
      <w:sz w:val="28"/>
      <w:szCs w:val="24"/>
    </w:rPr>
  </w:style>
  <w:style w:type="paragraph" w:customStyle="1" w:styleId="AgendaList">
    <w:name w:val="Agenda List"/>
    <w:uiPriority w:val="49"/>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pPr>
      <w:spacing w:after="0" w:line="280" w:lineRule="exact"/>
      <w:jc w:val="right"/>
    </w:pPr>
    <w:rPr>
      <w:rFonts w:ascii="Arial" w:hAnsi="Arial" w:cs="Arial"/>
      <w:b/>
      <w:bCs/>
      <w:caps/>
      <w:sz w:val="24"/>
    </w:rPr>
  </w:style>
  <w:style w:type="paragraph" w:customStyle="1" w:styleId="zyxClassification2">
    <w:name w:val="zyxClassification2"/>
    <w:basedOn w:val="Footer"/>
    <w:uiPriority w:val="49"/>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paragraph" w:styleId="BalloonText">
    <w:name w:val="Balloon Text"/>
    <w:basedOn w:val="Normal"/>
    <w:link w:val="BalloonTextChar"/>
    <w:uiPriority w:val="49"/>
    <w:rsid w:val="009943FA"/>
    <w:rPr>
      <w:rFonts w:ascii="Tahoma" w:hAnsi="Tahoma" w:cs="Tahoma"/>
      <w:sz w:val="16"/>
      <w:szCs w:val="16"/>
    </w:rPr>
  </w:style>
  <w:style w:type="character" w:customStyle="1" w:styleId="BalloonTextChar">
    <w:name w:val="Balloon Text Char"/>
    <w:basedOn w:val="DefaultParagraphFont"/>
    <w:link w:val="BalloonText"/>
    <w:uiPriority w:val="49"/>
    <w:rsid w:val="009943FA"/>
    <w:rPr>
      <w:rFonts w:ascii="Tahoma" w:hAnsi="Tahoma" w:cs="Tahoma"/>
      <w:sz w:val="16"/>
      <w:szCs w:val="16"/>
      <w:lang w:eastAsia="en-US"/>
    </w:rPr>
  </w:style>
  <w:style w:type="paragraph" w:styleId="ListParagraph">
    <w:name w:val="List Paragraph"/>
    <w:basedOn w:val="Normal"/>
    <w:uiPriority w:val="49"/>
    <w:rsid w:val="00750DF0"/>
    <w:pPr>
      <w:ind w:left="720"/>
      <w:contextualSpacing/>
    </w:pPr>
  </w:style>
  <w:style w:type="character" w:styleId="Hyperlink">
    <w:name w:val="Hyperlink"/>
    <w:basedOn w:val="DefaultParagraphFont"/>
    <w:uiPriority w:val="99"/>
    <w:rsid w:val="00750DF0"/>
    <w:rPr>
      <w:color w:val="0000FF" w:themeColor="hyperlink"/>
      <w:u w:val="single"/>
    </w:rPr>
  </w:style>
  <w:style w:type="character" w:customStyle="1" w:styleId="FooterChar">
    <w:name w:val="Footer Char"/>
    <w:basedOn w:val="DefaultParagraphFont"/>
    <w:link w:val="Footer"/>
    <w:uiPriority w:val="99"/>
    <w:rsid w:val="006617F7"/>
    <w:rPr>
      <w:sz w:val="2"/>
      <w:lang w:val="en-US" w:eastAsia="en-US"/>
    </w:rPr>
  </w:style>
  <w:style w:type="character" w:styleId="CommentReference">
    <w:name w:val="annotation reference"/>
    <w:basedOn w:val="DefaultParagraphFont"/>
    <w:uiPriority w:val="49"/>
    <w:rsid w:val="00CA05E6"/>
    <w:rPr>
      <w:sz w:val="16"/>
      <w:szCs w:val="16"/>
    </w:rPr>
  </w:style>
  <w:style w:type="paragraph" w:styleId="CommentText">
    <w:name w:val="annotation text"/>
    <w:basedOn w:val="Normal"/>
    <w:link w:val="CommentTextChar"/>
    <w:uiPriority w:val="49"/>
    <w:rsid w:val="00CA05E6"/>
    <w:rPr>
      <w:sz w:val="20"/>
    </w:rPr>
  </w:style>
  <w:style w:type="character" w:customStyle="1" w:styleId="CommentTextChar">
    <w:name w:val="Comment Text Char"/>
    <w:basedOn w:val="DefaultParagraphFont"/>
    <w:link w:val="CommentText"/>
    <w:uiPriority w:val="49"/>
    <w:rsid w:val="00CA05E6"/>
    <w:rPr>
      <w:lang w:eastAsia="en-US"/>
    </w:rPr>
  </w:style>
  <w:style w:type="paragraph" w:styleId="CommentSubject">
    <w:name w:val="annotation subject"/>
    <w:basedOn w:val="CommentText"/>
    <w:next w:val="CommentText"/>
    <w:link w:val="CommentSubjectChar"/>
    <w:uiPriority w:val="49"/>
    <w:rsid w:val="00CA05E6"/>
    <w:rPr>
      <w:b/>
      <w:bCs/>
    </w:rPr>
  </w:style>
  <w:style w:type="character" w:customStyle="1" w:styleId="CommentSubjectChar">
    <w:name w:val="Comment Subject Char"/>
    <w:basedOn w:val="CommentTextChar"/>
    <w:link w:val="CommentSubject"/>
    <w:uiPriority w:val="49"/>
    <w:rsid w:val="00CA05E6"/>
    <w:rPr>
      <w:b/>
      <w:bCs/>
      <w:lang w:eastAsia="en-US"/>
    </w:rPr>
  </w:style>
  <w:style w:type="paragraph" w:styleId="Revision">
    <w:name w:val="Revision"/>
    <w:hidden/>
    <w:uiPriority w:val="99"/>
    <w:semiHidden/>
    <w:rsid w:val="003B1DED"/>
    <w:rPr>
      <w:sz w:val="22"/>
      <w:lang w:eastAsia="en-US"/>
    </w:rPr>
  </w:style>
  <w:style w:type="character" w:customStyle="1" w:styleId="Heading1Char">
    <w:name w:val="Heading 1 Char"/>
    <w:link w:val="Heading1"/>
    <w:locked/>
    <w:rsid w:val="000E4286"/>
    <w:rPr>
      <w:b/>
      <w:sz w:val="32"/>
      <w:lang w:eastAsia="en-US"/>
    </w:rPr>
  </w:style>
  <w:style w:type="character" w:styleId="FollowedHyperlink">
    <w:name w:val="FollowedHyperlink"/>
    <w:basedOn w:val="DefaultParagraphFont"/>
    <w:uiPriority w:val="49"/>
    <w:rsid w:val="00B64059"/>
    <w:rPr>
      <w:color w:val="800080" w:themeColor="followedHyperlink"/>
      <w:u w:val="single"/>
    </w:rPr>
  </w:style>
  <w:style w:type="character" w:customStyle="1" w:styleId="BodyTextChar">
    <w:name w:val="Body Text Char"/>
    <w:aliases w:val=" Char Char,Char Char"/>
    <w:link w:val="BodyText"/>
    <w:rsid w:val="00573C87"/>
    <w:rPr>
      <w:sz w:val="22"/>
      <w:lang w:eastAsia="en-US"/>
    </w:rPr>
  </w:style>
  <w:style w:type="paragraph" w:customStyle="1" w:styleId="std">
    <w:name w:val="std"/>
    <w:basedOn w:val="Normal"/>
    <w:rsid w:val="006117D0"/>
    <w:pPr>
      <w:overflowPunct/>
      <w:autoSpaceDE/>
      <w:autoSpaceDN/>
      <w:adjustRightInd/>
      <w:textAlignment w:val="auto"/>
    </w:pPr>
    <w:rPr>
      <w:sz w:val="24"/>
      <w:szCs w:val="24"/>
      <w:lang w:eastAsia="zh-CN"/>
    </w:rPr>
  </w:style>
  <w:style w:type="character" w:styleId="UnresolvedMention">
    <w:name w:val="Unresolved Mention"/>
    <w:basedOn w:val="DefaultParagraphFont"/>
    <w:uiPriority w:val="99"/>
    <w:semiHidden/>
    <w:unhideWhenUsed/>
    <w:rsid w:val="00D52C6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295000">
      <w:bodyDiv w:val="1"/>
      <w:marLeft w:val="0"/>
      <w:marRight w:val="0"/>
      <w:marTop w:val="0"/>
      <w:marBottom w:val="0"/>
      <w:divBdr>
        <w:top w:val="none" w:sz="0" w:space="0" w:color="auto"/>
        <w:left w:val="none" w:sz="0" w:space="0" w:color="auto"/>
        <w:bottom w:val="none" w:sz="0" w:space="0" w:color="auto"/>
        <w:right w:val="none" w:sz="0" w:space="0" w:color="auto"/>
      </w:divBdr>
    </w:div>
    <w:div w:id="870073636">
      <w:bodyDiv w:val="1"/>
      <w:marLeft w:val="0"/>
      <w:marRight w:val="0"/>
      <w:marTop w:val="0"/>
      <w:marBottom w:val="0"/>
      <w:divBdr>
        <w:top w:val="none" w:sz="0" w:space="0" w:color="auto"/>
        <w:left w:val="none" w:sz="0" w:space="0" w:color="auto"/>
        <w:bottom w:val="none" w:sz="0" w:space="0" w:color="auto"/>
        <w:right w:val="none" w:sz="0" w:space="0" w:color="auto"/>
      </w:divBdr>
    </w:div>
    <w:div w:id="101653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M.Tolstenkova@iaea.or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F.N.Dragolici@iaea.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b.iaea.org/iaeaevents/GeneralInfo/Guide/VIC"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nTouchPlus.Contact-Point@iaea.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intouchplus.iaea.org"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A3EB7-CF0A-4DAF-A8A3-BB8CE2EA9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0</TotalTime>
  <Pages>6</Pages>
  <Words>2000</Words>
  <Characters>11681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13654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TURBEK, Zoltan</dc:creator>
  <cp:lastModifiedBy>TOLSTENKOVA, Marina</cp:lastModifiedBy>
  <cp:revision>5</cp:revision>
  <cp:lastPrinted>2019-02-18T12:48:00Z</cp:lastPrinted>
  <dcterms:created xsi:type="dcterms:W3CDTF">2019-02-20T14:35:00Z</dcterms:created>
  <dcterms:modified xsi:type="dcterms:W3CDTF">2019-02-21T09:25:00Z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