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B89" w:rsidRPr="00401B89" w:rsidRDefault="00401B89" w:rsidP="00401B89">
      <w:pPr>
        <w:pStyle w:val="PlainText"/>
        <w:jc w:val="center"/>
        <w:rPr>
          <w:b/>
        </w:rPr>
      </w:pPr>
      <w:r w:rsidRPr="00401B89">
        <w:rPr>
          <w:b/>
        </w:rPr>
        <w:t>Surgical Specimens to be Submitted to Pathology for Examination</w:t>
      </w:r>
    </w:p>
    <w:p w:rsidR="00401B89" w:rsidRDefault="00401B89" w:rsidP="00CC6701">
      <w:pPr>
        <w:pStyle w:val="PlainText"/>
      </w:pPr>
    </w:p>
    <w:p w:rsidR="00CC6701" w:rsidRDefault="00CC6701" w:rsidP="00CC6701">
      <w:pPr>
        <w:pStyle w:val="PlainText"/>
      </w:pPr>
      <w:r>
        <w:t xml:space="preserve">Hospital medical staff has reviewed </w:t>
      </w:r>
      <w:r w:rsidR="00401B89">
        <w:t>Title 22 of the California Code of Regulation section 70223(</w:t>
      </w:r>
      <w:r w:rsidR="00C57BD6">
        <w:t>g) requiring</w:t>
      </w:r>
      <w:r>
        <w:t xml:space="preserve"> all anatomical parts, tissues, and foreign objects removed by operation shall be delivered to a pathologist designated by the hospital and a report of his findings shall be filed in the patient's medical record. </w:t>
      </w:r>
      <w:r w:rsidR="00401B89">
        <w:t xml:space="preserve"> </w:t>
      </w:r>
      <w:r>
        <w:t>Further subsection (h) requires a committee of the medical staff to periodically review the services pro</w:t>
      </w:r>
      <w:r w:rsidR="00401B89">
        <w:t xml:space="preserve">vided and make recommendations </w:t>
      </w:r>
      <w:r>
        <w:t>to the executive committee of the medical staff and administration.</w:t>
      </w:r>
    </w:p>
    <w:p w:rsidR="00CC6701" w:rsidRDefault="00CC6701" w:rsidP="00CC6701">
      <w:pPr>
        <w:pStyle w:val="PlainText"/>
      </w:pPr>
    </w:p>
    <w:p w:rsidR="00CC6701" w:rsidRDefault="00CC6701" w:rsidP="00CC6701">
      <w:pPr>
        <w:pStyle w:val="PlainText"/>
      </w:pPr>
      <w:r>
        <w:t>The medical staff has reviewed this requirement and requests regulatory flexibility to exempt certain types of specimens removed during surgery based upon a lack of medical need or appropriateness. The medical staff relies upon the College of American Pathologists Policy Manual Section M "Surgical Specimens to be Submitted to Pathology for Examination.” That polic</w:t>
      </w:r>
      <w:r w:rsidR="00F05281">
        <w:t>y recommends that each hospital</w:t>
      </w:r>
      <w:r>
        <w:t>, in conjunction with the pathologist and appropriate medical staff departments should develop a written policy that addresses which specimens do not need to be submitted to the pathology department. The policy should take into account the diagnostic needs of the medical staff, the likelihood of significant findings in otherwise unremarkable specimens given the clinical situation, the reliability of procedures to ensure proper handling of surgical specimens, and potential medicolegal implications. The policy should be jointly determined by the pathology depart</w:t>
      </w:r>
      <w:r w:rsidR="00F05281">
        <w:t>ment and hospital medical staff</w:t>
      </w:r>
      <w:r>
        <w:t xml:space="preserve">. </w:t>
      </w:r>
      <w:r w:rsidR="00F05281">
        <w:t xml:space="preserve"> </w:t>
      </w:r>
      <w:r>
        <w:t>The policy should allow that an exempted specimen can be sent for microscopic examination when requested by the attending physician or when the pathologist determines a microscopic examination is indicated by the gross findings or clinical history.</w:t>
      </w:r>
    </w:p>
    <w:p w:rsidR="00CC6701" w:rsidRDefault="00CC6701" w:rsidP="00CC6701">
      <w:pPr>
        <w:pStyle w:val="PlainText"/>
      </w:pPr>
    </w:p>
    <w:p w:rsidR="00CC6701" w:rsidRDefault="00CC6701" w:rsidP="00CC6701">
      <w:pPr>
        <w:pStyle w:val="PlainText"/>
      </w:pPr>
      <w:r>
        <w:t xml:space="preserve">Based upon this policy the medical staff in conjunction with the pathology department has determined that the following specimens may be exempt from routine submission to the pathology department.  For those specimens deemed exempt from submission to Pathology, the physician on record shall notate </w:t>
      </w:r>
      <w:r w:rsidR="00F05281">
        <w:t xml:space="preserve">their findings </w:t>
      </w:r>
      <w:r>
        <w:t xml:space="preserve">in the patient’s medical record </w:t>
      </w:r>
      <w:r w:rsidR="00F05281">
        <w:t xml:space="preserve">(i.e. operative note) </w:t>
      </w:r>
      <w:r>
        <w:t xml:space="preserve">and the specimen shall be disposed in accordance with hospitals standard handling of biohazard materials.  This </w:t>
      </w:r>
      <w:r w:rsidR="00401B89">
        <w:t>documentation of removal and disposition of any specimens or devices i</w:t>
      </w:r>
      <w:r>
        <w:t xml:space="preserve">s particularly important for any failed </w:t>
      </w:r>
      <w:r w:rsidR="00F05281">
        <w:t>medical devices that may have contributed to patient injury, any failed device for which litigation is pending or likely, and for devices subject to tracking under the Safe Medical Devices Act of 1990 (see Appendix).</w:t>
      </w:r>
    </w:p>
    <w:p w:rsidR="00CC6701" w:rsidRDefault="00CC6701" w:rsidP="00CC6701">
      <w:pPr>
        <w:pStyle w:val="PlainText"/>
      </w:pPr>
    </w:p>
    <w:p w:rsidR="00CC6701" w:rsidRDefault="00CC6701" w:rsidP="00CC6701">
      <w:pPr>
        <w:pStyle w:val="PlainText"/>
      </w:pPr>
      <w:r>
        <w:t xml:space="preserve">Specimens that </w:t>
      </w:r>
      <w:r w:rsidRPr="00F05281">
        <w:rPr>
          <w:i/>
        </w:rPr>
        <w:t>may</w:t>
      </w:r>
      <w:r>
        <w:t xml:space="preserve"> be appropriate to exclude from routine or mandatory submission to the pathology department:</w:t>
      </w:r>
    </w:p>
    <w:p w:rsidR="00CC6701" w:rsidRDefault="00CC6701" w:rsidP="00CC6701">
      <w:pPr>
        <w:pStyle w:val="PlainText"/>
      </w:pPr>
    </w:p>
    <w:p w:rsidR="00CC6701" w:rsidRDefault="00CC6701" w:rsidP="00CC6701">
      <w:pPr>
        <w:pStyle w:val="PlainText"/>
        <w:numPr>
          <w:ilvl w:val="0"/>
          <w:numId w:val="1"/>
        </w:numPr>
      </w:pPr>
      <w:r>
        <w:t xml:space="preserve">Bone donated to the blood bank.  </w:t>
      </w:r>
    </w:p>
    <w:p w:rsidR="00F05281" w:rsidRDefault="00F05281" w:rsidP="00CC6701">
      <w:pPr>
        <w:pStyle w:val="PlainText"/>
        <w:numPr>
          <w:ilvl w:val="0"/>
          <w:numId w:val="1"/>
        </w:numPr>
      </w:pPr>
      <w:r>
        <w:t>Cataracts removed by phacoemulsification.</w:t>
      </w:r>
    </w:p>
    <w:p w:rsidR="00F05281" w:rsidRDefault="00F05281" w:rsidP="00CC6701">
      <w:pPr>
        <w:pStyle w:val="PlainText"/>
        <w:numPr>
          <w:ilvl w:val="0"/>
          <w:numId w:val="1"/>
        </w:numPr>
      </w:pPr>
      <w:r>
        <w:t>Dental appliances.</w:t>
      </w:r>
    </w:p>
    <w:p w:rsidR="00F05281" w:rsidRDefault="00F05281" w:rsidP="00CC6701">
      <w:pPr>
        <w:pStyle w:val="PlainText"/>
        <w:numPr>
          <w:ilvl w:val="0"/>
          <w:numId w:val="1"/>
        </w:numPr>
      </w:pPr>
      <w:r>
        <w:t>Fat removed by liposuction.</w:t>
      </w:r>
    </w:p>
    <w:p w:rsidR="00F05281" w:rsidRDefault="00F05281" w:rsidP="00CC6701">
      <w:pPr>
        <w:pStyle w:val="PlainText"/>
        <w:numPr>
          <w:ilvl w:val="0"/>
          <w:numId w:val="1"/>
        </w:numPr>
      </w:pPr>
      <w:r>
        <w:t>Foreign bodies such as bullets o</w:t>
      </w:r>
      <w:r w:rsidR="00EE0C0E">
        <w:t>r</w:t>
      </w:r>
      <w:r>
        <w:t xml:space="preserve"> other medicolegal evidence given directly to law enforcement personnel.</w:t>
      </w:r>
    </w:p>
    <w:p w:rsidR="00F05281" w:rsidRDefault="00F05281" w:rsidP="00CC6701">
      <w:pPr>
        <w:pStyle w:val="PlainText"/>
        <w:numPr>
          <w:ilvl w:val="0"/>
          <w:numId w:val="1"/>
        </w:numPr>
      </w:pPr>
      <w:r>
        <w:t>Foreskin from circumcisions of newborns.</w:t>
      </w:r>
    </w:p>
    <w:p w:rsidR="00F05281" w:rsidRDefault="00F05281" w:rsidP="00CC6701">
      <w:pPr>
        <w:pStyle w:val="PlainText"/>
        <w:numPr>
          <w:ilvl w:val="0"/>
          <w:numId w:val="1"/>
        </w:numPr>
      </w:pPr>
      <w:r>
        <w:t>Medical devices such as catheters, gastrostomy tubes, myringotomy tubes, stents, and sutures that have not contributed to patient illness, injury, or death.</w:t>
      </w:r>
    </w:p>
    <w:p w:rsidR="00F05281" w:rsidRDefault="00F05281" w:rsidP="00CC6701">
      <w:pPr>
        <w:pStyle w:val="PlainText"/>
        <w:numPr>
          <w:ilvl w:val="0"/>
          <w:numId w:val="1"/>
        </w:numPr>
      </w:pPr>
      <w:r>
        <w:t>Middle ear ossicles.</w:t>
      </w:r>
    </w:p>
    <w:p w:rsidR="00F05281" w:rsidRDefault="00F05281" w:rsidP="00CC6701">
      <w:pPr>
        <w:pStyle w:val="PlainText"/>
        <w:numPr>
          <w:ilvl w:val="0"/>
          <w:numId w:val="1"/>
        </w:numPr>
      </w:pPr>
      <w:r>
        <w:t>Saphenous vein segments harvested for coronary artery bypass.</w:t>
      </w:r>
    </w:p>
    <w:p w:rsidR="00F05281" w:rsidRDefault="00F05281" w:rsidP="00CC6701">
      <w:pPr>
        <w:pStyle w:val="PlainText"/>
        <w:numPr>
          <w:ilvl w:val="0"/>
          <w:numId w:val="1"/>
        </w:numPr>
      </w:pPr>
      <w:r>
        <w:t>Teeth when there is no attached soft tissue.</w:t>
      </w:r>
    </w:p>
    <w:p w:rsidR="00F05281" w:rsidRDefault="00F05281" w:rsidP="00CC6701">
      <w:pPr>
        <w:pStyle w:val="PlainText"/>
        <w:numPr>
          <w:ilvl w:val="0"/>
          <w:numId w:val="1"/>
        </w:numPr>
      </w:pPr>
      <w:r>
        <w:t>Therapeutic radioactive sources.</w:t>
      </w:r>
    </w:p>
    <w:p w:rsidR="00F05281" w:rsidRDefault="00F05281" w:rsidP="00F05281">
      <w:pPr>
        <w:pStyle w:val="PlainText"/>
        <w:numPr>
          <w:ilvl w:val="0"/>
          <w:numId w:val="1"/>
        </w:numPr>
      </w:pPr>
      <w:r>
        <w:lastRenderedPageBreak/>
        <w:t>Normal toenails and fingernails that are incidentally removed.</w:t>
      </w:r>
    </w:p>
    <w:p w:rsidR="00F05281" w:rsidRDefault="00F05281" w:rsidP="00F05281">
      <w:pPr>
        <w:pStyle w:val="PlainText"/>
      </w:pPr>
    </w:p>
    <w:p w:rsidR="00F05281" w:rsidRDefault="00F05281" w:rsidP="00F05281">
      <w:pPr>
        <w:pStyle w:val="PlainText"/>
      </w:pPr>
      <w:r>
        <w:t xml:space="preserve">Specimens that </w:t>
      </w:r>
      <w:r w:rsidRPr="00F05281">
        <w:rPr>
          <w:i/>
        </w:rPr>
        <w:t>may</w:t>
      </w:r>
      <w:r>
        <w:rPr>
          <w:i/>
        </w:rPr>
        <w:t xml:space="preserve"> </w:t>
      </w:r>
      <w:r>
        <w:t>by appropriate for submission to the pathology department for gross-only examination, with exceptions made at the pathologist’s discretion.</w:t>
      </w:r>
    </w:p>
    <w:p w:rsidR="00F05281" w:rsidRDefault="00F05281" w:rsidP="00F05281">
      <w:pPr>
        <w:pStyle w:val="PlainText"/>
      </w:pPr>
    </w:p>
    <w:p w:rsidR="00F05281" w:rsidRDefault="00F05281" w:rsidP="00F05281">
      <w:pPr>
        <w:pStyle w:val="PlainText"/>
        <w:numPr>
          <w:ilvl w:val="0"/>
          <w:numId w:val="1"/>
        </w:numPr>
      </w:pPr>
      <w:r>
        <w:t>Accessory digits.</w:t>
      </w:r>
    </w:p>
    <w:p w:rsidR="00F05281" w:rsidRDefault="00F05281" w:rsidP="00F05281">
      <w:pPr>
        <w:pStyle w:val="PlainText"/>
        <w:numPr>
          <w:ilvl w:val="0"/>
          <w:numId w:val="1"/>
        </w:numPr>
      </w:pPr>
      <w:r>
        <w:t>Bunions and hammertoes.</w:t>
      </w:r>
    </w:p>
    <w:p w:rsidR="00F05281" w:rsidRDefault="00F05281" w:rsidP="00F05281">
      <w:pPr>
        <w:pStyle w:val="PlainText"/>
        <w:numPr>
          <w:ilvl w:val="0"/>
          <w:numId w:val="1"/>
        </w:numPr>
      </w:pPr>
      <w:r>
        <w:t>Extraocular muscle for corrective procedures (e</w:t>
      </w:r>
      <w:r w:rsidR="00EE0C0E">
        <w:t>.</w:t>
      </w:r>
      <w:r>
        <w:t>g</w:t>
      </w:r>
      <w:r w:rsidR="00EE0C0E">
        <w:t>.</w:t>
      </w:r>
      <w:bookmarkStart w:id="0" w:name="_GoBack"/>
      <w:bookmarkEnd w:id="0"/>
      <w:r>
        <w:t>, strabismus repair)</w:t>
      </w:r>
    </w:p>
    <w:p w:rsidR="00F05281" w:rsidRDefault="00F05281" w:rsidP="00F05281">
      <w:pPr>
        <w:pStyle w:val="PlainText"/>
        <w:numPr>
          <w:ilvl w:val="0"/>
          <w:numId w:val="1"/>
        </w:numPr>
      </w:pPr>
      <w:r>
        <w:t xml:space="preserve">Inguinal hernia sacs in </w:t>
      </w:r>
      <w:r w:rsidR="007665D1">
        <w:t>patients 18 years and older</w:t>
      </w:r>
      <w:r>
        <w:t>.</w:t>
      </w:r>
    </w:p>
    <w:p w:rsidR="00F05281" w:rsidRDefault="00F05281" w:rsidP="00F05281">
      <w:pPr>
        <w:pStyle w:val="PlainText"/>
        <w:numPr>
          <w:ilvl w:val="0"/>
          <w:numId w:val="1"/>
        </w:numPr>
      </w:pPr>
      <w:r>
        <w:t>Nasal bone and cartilage from rhinoplasty or septoplasty.</w:t>
      </w:r>
    </w:p>
    <w:p w:rsidR="00F05281" w:rsidRDefault="007665D1" w:rsidP="00F05281">
      <w:pPr>
        <w:pStyle w:val="PlainText"/>
        <w:numPr>
          <w:ilvl w:val="0"/>
          <w:numId w:val="1"/>
        </w:numPr>
      </w:pPr>
      <w:r>
        <w:t>Prosthetic breast implants (2).</w:t>
      </w:r>
    </w:p>
    <w:p w:rsidR="007665D1" w:rsidRDefault="007665D1" w:rsidP="00F05281">
      <w:pPr>
        <w:pStyle w:val="PlainText"/>
        <w:numPr>
          <w:ilvl w:val="0"/>
          <w:numId w:val="1"/>
        </w:numPr>
      </w:pPr>
      <w:r>
        <w:t>Prosthetic cardiac valves without attached tissue.</w:t>
      </w:r>
    </w:p>
    <w:p w:rsidR="007665D1" w:rsidRDefault="007665D1" w:rsidP="00F05281">
      <w:pPr>
        <w:pStyle w:val="PlainText"/>
        <w:numPr>
          <w:ilvl w:val="0"/>
          <w:numId w:val="1"/>
        </w:numPr>
      </w:pPr>
      <w:r>
        <w:t>Tonsils and adenoids from patients 16 years and younger.</w:t>
      </w:r>
    </w:p>
    <w:p w:rsidR="007665D1" w:rsidRDefault="007665D1" w:rsidP="00F05281">
      <w:pPr>
        <w:pStyle w:val="PlainText"/>
        <w:numPr>
          <w:ilvl w:val="0"/>
          <w:numId w:val="1"/>
        </w:numPr>
      </w:pPr>
      <w:r>
        <w:t>Torn meniscus.</w:t>
      </w:r>
    </w:p>
    <w:p w:rsidR="007665D1" w:rsidRDefault="007665D1" w:rsidP="00F05281">
      <w:pPr>
        <w:pStyle w:val="PlainText"/>
        <w:numPr>
          <w:ilvl w:val="0"/>
          <w:numId w:val="1"/>
        </w:numPr>
      </w:pPr>
      <w:r>
        <w:t>Umbilical hernia sacs in patients younger than 18 years.</w:t>
      </w:r>
    </w:p>
    <w:p w:rsidR="007665D1" w:rsidRDefault="007665D1" w:rsidP="00F05281">
      <w:pPr>
        <w:pStyle w:val="PlainText"/>
        <w:numPr>
          <w:ilvl w:val="0"/>
          <w:numId w:val="1"/>
        </w:numPr>
      </w:pPr>
      <w:r>
        <w:t>Varicose veins.</w:t>
      </w:r>
    </w:p>
    <w:p w:rsidR="007665D1" w:rsidRDefault="007665D1" w:rsidP="007665D1">
      <w:pPr>
        <w:pStyle w:val="PlainText"/>
      </w:pPr>
    </w:p>
    <w:p w:rsidR="007665D1" w:rsidRPr="007665D1" w:rsidRDefault="007665D1" w:rsidP="007665D1">
      <w:pPr>
        <w:pStyle w:val="PlainText"/>
        <w:rPr>
          <w:b/>
        </w:rPr>
      </w:pPr>
      <w:r w:rsidRPr="007665D1">
        <w:rPr>
          <w:b/>
        </w:rPr>
        <w:t>Appendix</w:t>
      </w:r>
    </w:p>
    <w:p w:rsidR="00CC6701" w:rsidRDefault="007665D1" w:rsidP="00CC6701">
      <w:pPr>
        <w:pStyle w:val="PlainText"/>
      </w:pPr>
      <w:r>
        <w:t>The following is a complete list of devices required for tracking under the Safe Medical Devices Act of 1990 (</w:t>
      </w:r>
      <w:r w:rsidRPr="007665D1">
        <w:rPr>
          <w:i/>
        </w:rPr>
        <w:t>Federal Register</w:t>
      </w:r>
      <w:r>
        <w:t xml:space="preserve">, May 29,1992; 57:22966-22981). </w:t>
      </w:r>
    </w:p>
    <w:p w:rsidR="007665D1" w:rsidRDefault="007665D1" w:rsidP="00CC6701">
      <w:pPr>
        <w:pStyle w:val="PlainText"/>
      </w:pPr>
    </w:p>
    <w:p w:rsidR="007665D1" w:rsidRDefault="007665D1" w:rsidP="00CC6701">
      <w:pPr>
        <w:pStyle w:val="PlainText"/>
      </w:pPr>
      <w:r>
        <w:t>Permanently Implantable devices:</w:t>
      </w:r>
    </w:p>
    <w:p w:rsidR="007665D1" w:rsidRDefault="007665D1" w:rsidP="007665D1">
      <w:pPr>
        <w:pStyle w:val="PlainText"/>
        <w:numPr>
          <w:ilvl w:val="0"/>
          <w:numId w:val="1"/>
        </w:numPr>
      </w:pPr>
      <w:r>
        <w:t>Vascular graft prostheses</w:t>
      </w:r>
    </w:p>
    <w:p w:rsidR="007665D1" w:rsidRDefault="007665D1" w:rsidP="007665D1">
      <w:pPr>
        <w:pStyle w:val="PlainText"/>
        <w:numPr>
          <w:ilvl w:val="0"/>
          <w:numId w:val="1"/>
        </w:numPr>
      </w:pPr>
      <w:r>
        <w:t>Vascular bypass (assist) devices</w:t>
      </w:r>
    </w:p>
    <w:p w:rsidR="007665D1" w:rsidRDefault="007665D1" w:rsidP="007665D1">
      <w:pPr>
        <w:pStyle w:val="PlainText"/>
        <w:numPr>
          <w:ilvl w:val="0"/>
          <w:numId w:val="1"/>
        </w:numPr>
      </w:pPr>
      <w:r>
        <w:t>Implantable pacemaker pulse generator</w:t>
      </w:r>
    </w:p>
    <w:p w:rsidR="007665D1" w:rsidRDefault="007665D1" w:rsidP="007665D1">
      <w:pPr>
        <w:pStyle w:val="PlainText"/>
        <w:numPr>
          <w:ilvl w:val="0"/>
          <w:numId w:val="1"/>
        </w:numPr>
      </w:pPr>
      <w:r>
        <w:t>Cardiovascular permanent pacemaker electrode</w:t>
      </w:r>
    </w:p>
    <w:p w:rsidR="007665D1" w:rsidRDefault="007665D1" w:rsidP="007665D1">
      <w:pPr>
        <w:pStyle w:val="PlainText"/>
        <w:numPr>
          <w:ilvl w:val="0"/>
          <w:numId w:val="1"/>
        </w:numPr>
      </w:pPr>
      <w:r>
        <w:t>Annuloplasty ring</w:t>
      </w:r>
    </w:p>
    <w:p w:rsidR="007665D1" w:rsidRDefault="007665D1" w:rsidP="007665D1">
      <w:pPr>
        <w:pStyle w:val="PlainText"/>
        <w:numPr>
          <w:ilvl w:val="0"/>
          <w:numId w:val="1"/>
        </w:numPr>
      </w:pPr>
      <w:r>
        <w:t>Replacement heart valve</w:t>
      </w:r>
    </w:p>
    <w:p w:rsidR="007665D1" w:rsidRDefault="007665D1" w:rsidP="007665D1">
      <w:pPr>
        <w:pStyle w:val="PlainText"/>
        <w:numPr>
          <w:ilvl w:val="0"/>
          <w:numId w:val="1"/>
        </w:numPr>
      </w:pPr>
      <w:r>
        <w:t>Automatic implantable cardioverter/defibrillator</w:t>
      </w:r>
    </w:p>
    <w:p w:rsidR="007665D1" w:rsidRDefault="007665D1" w:rsidP="007665D1">
      <w:pPr>
        <w:pStyle w:val="PlainText"/>
        <w:numPr>
          <w:ilvl w:val="0"/>
          <w:numId w:val="1"/>
        </w:numPr>
      </w:pPr>
      <w:r>
        <w:t>Tracheal prosthesis</w:t>
      </w:r>
    </w:p>
    <w:p w:rsidR="007665D1" w:rsidRDefault="007665D1" w:rsidP="007665D1">
      <w:pPr>
        <w:pStyle w:val="PlainText"/>
        <w:numPr>
          <w:ilvl w:val="0"/>
          <w:numId w:val="1"/>
        </w:numPr>
      </w:pPr>
      <w:r>
        <w:t>Implanted cerebellar stimulator</w:t>
      </w:r>
    </w:p>
    <w:p w:rsidR="007665D1" w:rsidRDefault="007665D1" w:rsidP="007665D1">
      <w:pPr>
        <w:pStyle w:val="PlainText"/>
        <w:numPr>
          <w:ilvl w:val="0"/>
          <w:numId w:val="1"/>
        </w:numPr>
      </w:pPr>
      <w:r>
        <w:t>Implanted diaphragmatic/phrenic nerve stimulator</w:t>
      </w:r>
    </w:p>
    <w:p w:rsidR="007665D1" w:rsidRDefault="007665D1" w:rsidP="007665D1">
      <w:pPr>
        <w:pStyle w:val="PlainText"/>
        <w:numPr>
          <w:ilvl w:val="0"/>
          <w:numId w:val="1"/>
        </w:numPr>
      </w:pPr>
      <w:r>
        <w:t>Implantable infusion devices</w:t>
      </w:r>
    </w:p>
    <w:p w:rsidR="007665D1" w:rsidRDefault="007665D1" w:rsidP="007665D1">
      <w:pPr>
        <w:pStyle w:val="PlainText"/>
      </w:pPr>
    </w:p>
    <w:p w:rsidR="007665D1" w:rsidRDefault="007665D1" w:rsidP="007665D1">
      <w:pPr>
        <w:pStyle w:val="PlainText"/>
      </w:pPr>
      <w:r>
        <w:t>Life-sustaining or life-supporting devices:</w:t>
      </w:r>
    </w:p>
    <w:p w:rsidR="007665D1" w:rsidRDefault="007665D1" w:rsidP="007665D1">
      <w:pPr>
        <w:pStyle w:val="PlainText"/>
        <w:numPr>
          <w:ilvl w:val="0"/>
          <w:numId w:val="1"/>
        </w:numPr>
      </w:pPr>
      <w:r>
        <w:t>Breathing frequency monitors (apnea monitors)</w:t>
      </w:r>
    </w:p>
    <w:p w:rsidR="007665D1" w:rsidRDefault="007665D1" w:rsidP="007665D1">
      <w:pPr>
        <w:pStyle w:val="PlainText"/>
        <w:numPr>
          <w:ilvl w:val="0"/>
          <w:numId w:val="1"/>
        </w:numPr>
      </w:pPr>
      <w:r>
        <w:t>Continuous ventilator</w:t>
      </w:r>
    </w:p>
    <w:p w:rsidR="007665D1" w:rsidRDefault="007665D1" w:rsidP="007665D1">
      <w:pPr>
        <w:pStyle w:val="PlainText"/>
        <w:numPr>
          <w:ilvl w:val="0"/>
          <w:numId w:val="1"/>
        </w:numPr>
      </w:pPr>
      <w:r>
        <w:t>CD-defibrillator and paddles</w:t>
      </w:r>
    </w:p>
    <w:p w:rsidR="007665D1" w:rsidRDefault="007665D1" w:rsidP="007665D1">
      <w:pPr>
        <w:pStyle w:val="PlainText"/>
      </w:pPr>
    </w:p>
    <w:p w:rsidR="007665D1" w:rsidRDefault="007665D1" w:rsidP="007665D1">
      <w:pPr>
        <w:pStyle w:val="PlainText"/>
      </w:pPr>
      <w:r>
        <w:t>FDA-designated devices:</w:t>
      </w:r>
    </w:p>
    <w:p w:rsidR="007665D1" w:rsidRDefault="007665D1" w:rsidP="007665D1">
      <w:pPr>
        <w:pStyle w:val="PlainText"/>
        <w:numPr>
          <w:ilvl w:val="0"/>
          <w:numId w:val="1"/>
        </w:numPr>
      </w:pPr>
      <w:r>
        <w:t>Silicone inflatable breast prosthesis</w:t>
      </w:r>
    </w:p>
    <w:p w:rsidR="007665D1" w:rsidRDefault="007665D1" w:rsidP="007665D1">
      <w:pPr>
        <w:pStyle w:val="PlainText"/>
        <w:numPr>
          <w:ilvl w:val="0"/>
          <w:numId w:val="1"/>
        </w:numPr>
      </w:pPr>
      <w:r>
        <w:t>Silicone gel-filled breast prosthesis</w:t>
      </w:r>
    </w:p>
    <w:p w:rsidR="007665D1" w:rsidRDefault="00401B89" w:rsidP="007665D1">
      <w:pPr>
        <w:pStyle w:val="PlainText"/>
        <w:numPr>
          <w:ilvl w:val="0"/>
          <w:numId w:val="1"/>
        </w:numPr>
      </w:pPr>
      <w:r>
        <w:t>Silicone gel-</w:t>
      </w:r>
      <w:r w:rsidR="007665D1">
        <w:t>filled testicular prosthesis</w:t>
      </w:r>
    </w:p>
    <w:p w:rsidR="007665D1" w:rsidRDefault="007665D1" w:rsidP="007665D1">
      <w:pPr>
        <w:pStyle w:val="PlainText"/>
        <w:numPr>
          <w:ilvl w:val="0"/>
          <w:numId w:val="1"/>
        </w:numPr>
      </w:pPr>
      <w:r>
        <w:t>Silicone gel-filled chin prosthesis</w:t>
      </w:r>
    </w:p>
    <w:p w:rsidR="007665D1" w:rsidRDefault="007665D1" w:rsidP="007665D1">
      <w:pPr>
        <w:pStyle w:val="PlainText"/>
        <w:numPr>
          <w:ilvl w:val="0"/>
          <w:numId w:val="1"/>
        </w:numPr>
      </w:pPr>
      <w:r>
        <w:t>Silicone gel-filled angel chik reflux valve</w:t>
      </w:r>
    </w:p>
    <w:p w:rsidR="007665D1" w:rsidRDefault="007665D1" w:rsidP="007665D1">
      <w:pPr>
        <w:pStyle w:val="PlainText"/>
        <w:numPr>
          <w:ilvl w:val="0"/>
          <w:numId w:val="1"/>
        </w:numPr>
      </w:pPr>
      <w:r>
        <w:t>Electromechanical infusion pumps</w:t>
      </w:r>
    </w:p>
    <w:p w:rsidR="00CC6701" w:rsidRDefault="00CC6701" w:rsidP="00CC6701">
      <w:pPr>
        <w:pStyle w:val="PlainText"/>
      </w:pPr>
    </w:p>
    <w:p w:rsidR="00367566" w:rsidRDefault="00EE0C0E"/>
    <w:sectPr w:rsidR="00367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065C3"/>
    <w:multiLevelType w:val="hybridMultilevel"/>
    <w:tmpl w:val="2F0EAECA"/>
    <w:lvl w:ilvl="0" w:tplc="E2F675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01"/>
    <w:rsid w:val="00401B89"/>
    <w:rsid w:val="005B4E28"/>
    <w:rsid w:val="007665D1"/>
    <w:rsid w:val="00A77BE1"/>
    <w:rsid w:val="00C57BD6"/>
    <w:rsid w:val="00CC6701"/>
    <w:rsid w:val="00EE0C0E"/>
    <w:rsid w:val="00F0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4A76"/>
  <w15:chartTrackingRefBased/>
  <w15:docId w15:val="{A2D9B9F7-E96C-46C6-97DB-642157B5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C670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C670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2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dc:creator>
  <cp:keywords/>
  <dc:description/>
  <cp:lastModifiedBy>Bob Achermann</cp:lastModifiedBy>
  <cp:revision>3</cp:revision>
  <dcterms:created xsi:type="dcterms:W3CDTF">2018-02-16T19:44:00Z</dcterms:created>
  <dcterms:modified xsi:type="dcterms:W3CDTF">2018-02-16T19:44:00Z</dcterms:modified>
</cp:coreProperties>
</file>