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C279A4" w14:textId="77777777" w:rsidR="006E6CF4" w:rsidRDefault="00000000">
      <w:pPr>
        <w:spacing w:after="679" w:line="259" w:lineRule="auto"/>
        <w:ind w:left="34" w:right="0" w:firstLine="0"/>
      </w:pPr>
      <w:r>
        <w:rPr>
          <w:sz w:val="20"/>
        </w:rPr>
        <w:t xml:space="preserve">  </w:t>
      </w:r>
    </w:p>
    <w:p w14:paraId="09C17A2C" w14:textId="77777777" w:rsidR="006E6CF4" w:rsidRDefault="00000000">
      <w:pPr>
        <w:spacing w:after="5" w:line="236" w:lineRule="auto"/>
        <w:ind w:left="2798" w:right="2116" w:hanging="616"/>
        <w:jc w:val="left"/>
      </w:pPr>
      <w:r>
        <w:rPr>
          <w:b/>
        </w:rPr>
        <w:t xml:space="preserve">Advanced Ceramics for Defense Consortium (ACDC) FY 2026 Defense Appropriations Request </w:t>
      </w:r>
    </w:p>
    <w:p w14:paraId="5E78AB8C" w14:textId="77777777" w:rsidR="006E6CF4" w:rsidRDefault="00000000">
      <w:pPr>
        <w:spacing w:after="0" w:line="259" w:lineRule="auto"/>
        <w:ind w:left="34" w:right="0" w:firstLine="0"/>
        <w:jc w:val="left"/>
      </w:pPr>
      <w:r>
        <w:t xml:space="preserve"> </w:t>
      </w:r>
    </w:p>
    <w:p w14:paraId="5659F13A" w14:textId="77777777" w:rsidR="006E6CF4" w:rsidRDefault="00000000">
      <w:pPr>
        <w:ind w:left="29" w:right="35"/>
      </w:pPr>
      <w:r>
        <w:rPr>
          <w:b/>
        </w:rPr>
        <w:t xml:space="preserve">The shrinking workforce of ceramic engineers threatens the future of U.S. defense technologies </w:t>
      </w:r>
      <w:r>
        <w:t xml:space="preserve">Advanced ceramics play a critical role in defense technologies, ranging from armor to </w:t>
      </w:r>
      <w:proofErr w:type="spellStart"/>
      <w:r>
        <w:t>hypersonics</w:t>
      </w:r>
      <w:proofErr w:type="spellEnd"/>
      <w:r>
        <w:t xml:space="preserve"> to microelectronics. Despite the vast usage of advanced ceramics in a multitude of military applications, the United States is producing fewer Ceramic Engineers today than at any point in the last 70 years while our adversaries are doing just the opposite. Advanced ceramics engineering is a unique subspecialty within the engineering field, and as such, the defense industry requires both technicians and engineers trained in advanced ceramics. Yet, with only three ceramic engineering programs in the country and fewer than fifty qualified ceramic engineers graduating annually, the advanced ceramics industry faces severe workforce constraints. Given the industry’s critical role in the defense industrial base, targeted workforce development is urgently needed to grow the U.S. ceramic engineering talent pool, ensuring that the United States has a critical mass of well-trained ceramics engineers ready to meet the ever-increasing demand for well-made technologies that rely on advanced ceramics. </w:t>
      </w:r>
      <w:r>
        <w:rPr>
          <w:b/>
        </w:rPr>
        <w:t xml:space="preserve"> </w:t>
      </w:r>
    </w:p>
    <w:p w14:paraId="53880FF7" w14:textId="77777777" w:rsidR="006E6CF4" w:rsidRDefault="00000000">
      <w:pPr>
        <w:spacing w:after="0" w:line="259" w:lineRule="auto"/>
        <w:ind w:left="34" w:right="0" w:firstLine="0"/>
        <w:jc w:val="left"/>
      </w:pPr>
      <w:r>
        <w:t xml:space="preserve"> </w:t>
      </w:r>
    </w:p>
    <w:p w14:paraId="25D96507" w14:textId="77777777" w:rsidR="006E6CF4" w:rsidRDefault="00000000">
      <w:pPr>
        <w:spacing w:after="5" w:line="236" w:lineRule="auto"/>
        <w:ind w:left="29" w:right="0"/>
        <w:jc w:val="left"/>
      </w:pPr>
      <w:r>
        <w:rPr>
          <w:b/>
        </w:rPr>
        <w:t xml:space="preserve">Targeted workforce development is essential to growing the U.S. ceramic engineering talent pool and sustaining the U.S. Defense Industrial Base </w:t>
      </w:r>
    </w:p>
    <w:p w14:paraId="20057F68" w14:textId="77777777" w:rsidR="006E6CF4" w:rsidRDefault="00000000">
      <w:pPr>
        <w:ind w:left="29" w:right="35"/>
      </w:pPr>
      <w:r>
        <w:rPr>
          <w:noProof/>
        </w:rPr>
        <w:drawing>
          <wp:anchor distT="0" distB="0" distL="114300" distR="114300" simplePos="0" relativeHeight="251658240" behindDoc="0" locked="0" layoutInCell="1" allowOverlap="0" wp14:anchorId="099E3787" wp14:editId="15C4FE6D">
            <wp:simplePos x="0" y="0"/>
            <wp:positionH relativeFrom="page">
              <wp:posOffset>5186100</wp:posOffset>
            </wp:positionH>
            <wp:positionV relativeFrom="page">
              <wp:posOffset>1</wp:posOffset>
            </wp:positionV>
            <wp:extent cx="1905000" cy="347472"/>
            <wp:effectExtent l="0" t="0" r="0" b="0"/>
            <wp:wrapSquare wrapText="bothSides"/>
            <wp:docPr id="2727" name="Picture 2727"/>
            <wp:cNvGraphicFramePr/>
            <a:graphic xmlns:a="http://schemas.openxmlformats.org/drawingml/2006/main">
              <a:graphicData uri="http://schemas.openxmlformats.org/drawingml/2006/picture">
                <pic:pic xmlns:pic="http://schemas.openxmlformats.org/drawingml/2006/picture">
                  <pic:nvPicPr>
                    <pic:cNvPr id="2727" name="Picture 2727"/>
                    <pic:cNvPicPr/>
                  </pic:nvPicPr>
                  <pic:blipFill>
                    <a:blip r:embed="rId5"/>
                    <a:stretch>
                      <a:fillRect/>
                    </a:stretch>
                  </pic:blipFill>
                  <pic:spPr>
                    <a:xfrm>
                      <a:off x="0" y="0"/>
                      <a:ext cx="1905000" cy="347472"/>
                    </a:xfrm>
                    <a:prstGeom prst="rect">
                      <a:avLst/>
                    </a:prstGeom>
                  </pic:spPr>
                </pic:pic>
              </a:graphicData>
            </a:graphic>
          </wp:anchor>
        </w:drawing>
      </w:r>
      <w:r>
        <w:t xml:space="preserve">According to a study published by Grand View Research in 2023, the global advanced ceramic market was estimated at $107 billion in 2024 and is projected to grow at a compound growth rate of 4.2% annually over the next six years. Due to high government investment in advanced ceramics workforce training and production, including a portion of funding from China’s recently created National Natural Science Foundation Regional Innovation and Development Joint Fund, encouraging 16 provinces to invest 4.98 billion yuan over five years, matched by 1.66 billion yuan from the fund, America’s competitors in the </w:t>
      </w:r>
      <w:proofErr w:type="spellStart"/>
      <w:r>
        <w:t>AsiaPacific</w:t>
      </w:r>
      <w:proofErr w:type="spellEnd"/>
      <w:r>
        <w:t xml:space="preserve"> region topped the market with a 40% share in 2023. Meanwhile, Germany has emerged as a key player in the European regional sector due to its thriving manufacturing base and strong technological capabilities. The U.S. advanced ceramics market is anticipated to grow at a steady rate of 4.0% over the forecast period. Given these factors, to remain competitive and potentially lead in the advanced ceramics industry, American universities should aim to double or triple the number of ceramic engineering graduates over the next 5-10 years. The American government must invest in solutions to enable workforce development in the advanced ceramics industry. </w:t>
      </w:r>
      <w:r>
        <w:rPr>
          <w:b/>
        </w:rPr>
        <w:t xml:space="preserve"> </w:t>
      </w:r>
    </w:p>
    <w:p w14:paraId="0DF585A9" w14:textId="77777777" w:rsidR="006E6CF4" w:rsidRDefault="00000000">
      <w:pPr>
        <w:spacing w:after="0" w:line="259" w:lineRule="auto"/>
        <w:ind w:left="34" w:right="0" w:firstLine="0"/>
        <w:jc w:val="left"/>
      </w:pPr>
      <w:r>
        <w:rPr>
          <w:b/>
        </w:rPr>
        <w:t xml:space="preserve"> </w:t>
      </w:r>
    </w:p>
    <w:p w14:paraId="1F1565CF" w14:textId="77777777" w:rsidR="006E6CF4" w:rsidRDefault="00000000">
      <w:pPr>
        <w:spacing w:after="5" w:line="236" w:lineRule="auto"/>
        <w:ind w:left="29" w:right="0"/>
        <w:jc w:val="left"/>
      </w:pPr>
      <w:r>
        <w:rPr>
          <w:b/>
        </w:rPr>
        <w:t xml:space="preserve">The Advanced Ceramics for Defense Consortium will partner with universities to create regional training hubs that address ceramic workforce shortages </w:t>
      </w:r>
    </w:p>
    <w:p w14:paraId="12EF7FA2" w14:textId="77777777" w:rsidR="006E6CF4" w:rsidRDefault="00000000">
      <w:pPr>
        <w:ind w:left="29" w:right="35"/>
      </w:pPr>
      <w:r>
        <w:t xml:space="preserve">The United States Advanced Ceramics Association (USACA) is working to address the workforce shortages by establishing the Advanced Ceramics for Defense Consortium (ACDC). ACDC is designed to address the critical workforce shortages in the advanced ceramics sector, particularly in support of defense industry needs. The consortium will employ several strategic approaches to overcome these challenges: </w:t>
      </w:r>
    </w:p>
    <w:p w14:paraId="09001DA1" w14:textId="77777777" w:rsidR="006E6CF4" w:rsidRDefault="00000000">
      <w:pPr>
        <w:spacing w:after="0" w:line="259" w:lineRule="auto"/>
        <w:ind w:left="34" w:right="0" w:firstLine="0"/>
        <w:jc w:val="left"/>
      </w:pPr>
      <w:r>
        <w:t xml:space="preserve"> </w:t>
      </w:r>
    </w:p>
    <w:p w14:paraId="647D70AB" w14:textId="77777777" w:rsidR="006E6CF4" w:rsidRDefault="00000000">
      <w:pPr>
        <w:numPr>
          <w:ilvl w:val="0"/>
          <w:numId w:val="1"/>
        </w:numPr>
        <w:ind w:right="35" w:hanging="360"/>
      </w:pPr>
      <w:r>
        <w:rPr>
          <w:b/>
        </w:rPr>
        <w:t xml:space="preserve">Regional Nodes with Specialized Training: </w:t>
      </w:r>
      <w:r>
        <w:t xml:space="preserve">ACDC will establish regional </w:t>
      </w:r>
      <w:proofErr w:type="gramStart"/>
      <w:r>
        <w:t>nodes,</w:t>
      </w:r>
      <w:proofErr w:type="gramEnd"/>
      <w:r>
        <w:t xml:space="preserve"> equipped with specialized training facilities. These nodes will support hands-on coursework and provide defense industry traineeship pathways, allowing individuals to gain practical experience in advanced ceramics. This will ensure a steady pipeline of skilled workers equipped with the necessary knowledge and expertise for defense industry applications.  </w:t>
      </w:r>
    </w:p>
    <w:p w14:paraId="3B583F64" w14:textId="77777777" w:rsidR="006E6CF4" w:rsidRDefault="00000000">
      <w:pPr>
        <w:spacing w:after="655" w:line="259" w:lineRule="auto"/>
        <w:ind w:left="754" w:right="0" w:firstLine="0"/>
        <w:jc w:val="left"/>
      </w:pPr>
      <w:r>
        <w:t xml:space="preserve"> </w:t>
      </w:r>
    </w:p>
    <w:p w14:paraId="4384AF0D" w14:textId="77777777" w:rsidR="006E6CF4" w:rsidRDefault="00000000">
      <w:pPr>
        <w:spacing w:after="0" w:line="259" w:lineRule="auto"/>
        <w:ind w:left="29" w:right="0"/>
        <w:jc w:val="left"/>
      </w:pPr>
      <w:r>
        <w:rPr>
          <w:sz w:val="22"/>
        </w:rPr>
        <w:t xml:space="preserve">United States Advanced Ceramics Association (USACA) </w:t>
      </w:r>
    </w:p>
    <w:p w14:paraId="543C69C0" w14:textId="77777777" w:rsidR="006E6CF4" w:rsidRDefault="00000000">
      <w:pPr>
        <w:spacing w:after="0" w:line="259" w:lineRule="auto"/>
        <w:ind w:left="29" w:right="0"/>
        <w:jc w:val="left"/>
      </w:pPr>
      <w:r>
        <w:rPr>
          <w:sz w:val="22"/>
        </w:rPr>
        <w:t xml:space="preserve">POC for Request: Ken Wetzel, SMI Inc., (202) 350-1510, ken@strategicmi.com  </w:t>
      </w:r>
    </w:p>
    <w:p w14:paraId="2CB1D766" w14:textId="77777777" w:rsidR="006E6CF4" w:rsidRDefault="00000000">
      <w:pPr>
        <w:spacing w:after="0" w:line="259" w:lineRule="auto"/>
        <w:ind w:left="34" w:right="0" w:firstLine="0"/>
        <w:jc w:val="left"/>
      </w:pPr>
      <w:r>
        <w:rPr>
          <w:sz w:val="22"/>
        </w:rPr>
        <w:t xml:space="preserve"> </w:t>
      </w:r>
    </w:p>
    <w:p w14:paraId="3DA12611" w14:textId="77777777" w:rsidR="006E6CF4" w:rsidRDefault="00000000">
      <w:pPr>
        <w:spacing w:after="0" w:line="259" w:lineRule="auto"/>
        <w:ind w:left="34" w:right="0" w:firstLine="0"/>
        <w:jc w:val="left"/>
      </w:pPr>
      <w:r>
        <w:rPr>
          <w:sz w:val="22"/>
        </w:rPr>
        <w:t xml:space="preserve"> </w:t>
      </w:r>
    </w:p>
    <w:p w14:paraId="6A3E34FD" w14:textId="77777777" w:rsidR="006E6CF4" w:rsidRDefault="00000000">
      <w:pPr>
        <w:spacing w:after="682" w:line="259" w:lineRule="auto"/>
        <w:ind w:left="34" w:right="0" w:firstLine="0"/>
      </w:pPr>
      <w:r>
        <w:rPr>
          <w:sz w:val="20"/>
        </w:rPr>
        <w:lastRenderedPageBreak/>
        <w:t xml:space="preserve">  </w:t>
      </w:r>
    </w:p>
    <w:p w14:paraId="6F83AD71" w14:textId="77777777" w:rsidR="006E6CF4" w:rsidRDefault="00000000">
      <w:pPr>
        <w:numPr>
          <w:ilvl w:val="0"/>
          <w:numId w:val="1"/>
        </w:numPr>
        <w:ind w:right="35" w:hanging="360"/>
      </w:pPr>
      <w:r>
        <w:rPr>
          <w:b/>
        </w:rPr>
        <w:t xml:space="preserve">State-of-the-Art Equipment for Fabrication, Integration, and Testing: </w:t>
      </w:r>
      <w:r>
        <w:t xml:space="preserve">The consortium will provide financial support to acquire and/or upgrade state-of-the-art equipment focused on advanced ceramics fabrication, integration, and testing. These upgrades will focus on critical defense areas, ensuring the industry has access to innovative tools and technologies required for production and development. </w:t>
      </w:r>
      <w:r>
        <w:rPr>
          <w:b/>
        </w:rPr>
        <w:t xml:space="preserve"> </w:t>
      </w:r>
    </w:p>
    <w:p w14:paraId="29A1B898" w14:textId="77777777" w:rsidR="006E6CF4" w:rsidRDefault="00000000">
      <w:pPr>
        <w:spacing w:after="0" w:line="259" w:lineRule="auto"/>
        <w:ind w:left="34" w:right="0" w:firstLine="0"/>
        <w:jc w:val="left"/>
      </w:pPr>
      <w:r>
        <w:rPr>
          <w:b/>
        </w:rPr>
        <w:t xml:space="preserve"> </w:t>
      </w:r>
    </w:p>
    <w:p w14:paraId="3C337277" w14:textId="77777777" w:rsidR="006E6CF4" w:rsidRDefault="00000000">
      <w:pPr>
        <w:numPr>
          <w:ilvl w:val="0"/>
          <w:numId w:val="1"/>
        </w:numPr>
        <w:ind w:right="35" w:hanging="360"/>
      </w:pPr>
      <w:r>
        <w:rPr>
          <w:b/>
        </w:rPr>
        <w:t xml:space="preserve">Fellowships and Cohort Building: </w:t>
      </w:r>
      <w:r>
        <w:t xml:space="preserve">The consortium will offer first-year fellowships to students pursuing Ceramic Engineering degrees. Additionally, national cohort-building activities will be organized to increase awareness of ceramic engineering as a viable career path. </w:t>
      </w:r>
      <w:r>
        <w:rPr>
          <w:b/>
        </w:rPr>
        <w:t xml:space="preserve"> </w:t>
      </w:r>
    </w:p>
    <w:p w14:paraId="1CBB1181" w14:textId="77777777" w:rsidR="006E6CF4" w:rsidRDefault="00000000">
      <w:pPr>
        <w:spacing w:after="0" w:line="259" w:lineRule="auto"/>
        <w:ind w:left="34" w:right="0" w:firstLine="0"/>
        <w:jc w:val="left"/>
      </w:pPr>
      <w:r>
        <w:t xml:space="preserve"> </w:t>
      </w:r>
    </w:p>
    <w:p w14:paraId="4F9B4646" w14:textId="77777777" w:rsidR="006E6CF4" w:rsidRDefault="00000000">
      <w:pPr>
        <w:ind w:left="29" w:right="35"/>
      </w:pPr>
      <w:r>
        <w:t xml:space="preserve">Through these comprehensive initiatives, ACDC will help alleviate labor shortages in the advanced ceramics manufacturing industry. Over time, these efforts will ensure that the defense technologies reliant on advanced ceramics can continue to be produced, and that research and development efforts in the field are sustained without disruption.  </w:t>
      </w:r>
    </w:p>
    <w:p w14:paraId="12E3BF0E" w14:textId="77777777" w:rsidR="006E6CF4" w:rsidRDefault="00000000">
      <w:pPr>
        <w:spacing w:after="0" w:line="259" w:lineRule="auto"/>
        <w:ind w:left="34" w:right="0" w:firstLine="0"/>
        <w:jc w:val="left"/>
      </w:pPr>
      <w:r>
        <w:t xml:space="preserve"> </w:t>
      </w:r>
    </w:p>
    <w:tbl>
      <w:tblPr>
        <w:tblStyle w:val="TableGrid"/>
        <w:tblW w:w="10140" w:type="dxa"/>
        <w:tblInd w:w="-5" w:type="dxa"/>
        <w:tblCellMar>
          <w:top w:w="13" w:type="dxa"/>
          <w:left w:w="5" w:type="dxa"/>
          <w:bottom w:w="0" w:type="dxa"/>
          <w:right w:w="115" w:type="dxa"/>
        </w:tblCellMar>
        <w:tblLook w:val="04A0" w:firstRow="1" w:lastRow="0" w:firstColumn="1" w:lastColumn="0" w:noHBand="0" w:noVBand="1"/>
      </w:tblPr>
      <w:tblGrid>
        <w:gridCol w:w="10140"/>
      </w:tblGrid>
      <w:tr w:rsidR="006E6CF4" w14:paraId="09EA9674" w14:textId="77777777">
        <w:trPr>
          <w:trHeight w:val="2178"/>
        </w:trPr>
        <w:tc>
          <w:tcPr>
            <w:tcW w:w="10140" w:type="dxa"/>
            <w:tcBorders>
              <w:top w:val="single" w:sz="6" w:space="0" w:color="000000"/>
              <w:left w:val="single" w:sz="6" w:space="0" w:color="000000"/>
              <w:bottom w:val="single" w:sz="6" w:space="0" w:color="000000"/>
              <w:right w:val="single" w:sz="6" w:space="0" w:color="000000"/>
            </w:tcBorders>
          </w:tcPr>
          <w:p w14:paraId="46252479" w14:textId="77777777" w:rsidR="006E6CF4" w:rsidRDefault="00000000">
            <w:pPr>
              <w:spacing w:after="0" w:line="239" w:lineRule="auto"/>
              <w:ind w:left="143" w:right="374" w:hanging="143"/>
              <w:jc w:val="left"/>
            </w:pPr>
            <w:r>
              <w:rPr>
                <w:sz w:val="22"/>
              </w:rPr>
              <w:t xml:space="preserve">   </w:t>
            </w:r>
            <w:r>
              <w:rPr>
                <w:b/>
                <w:sz w:val="22"/>
              </w:rPr>
              <w:t xml:space="preserve">FY 2026 Defense Appropriations Request: $M above the PBR for Defense-Wide RDT&amp;E </w:t>
            </w:r>
            <w:r>
              <w:rPr>
                <w:sz w:val="22"/>
              </w:rPr>
              <w:t xml:space="preserve">Defense-Wide RDT&amp;E, Line #____ </w:t>
            </w:r>
          </w:p>
          <w:p w14:paraId="19F50C21" w14:textId="77777777" w:rsidR="006E6CF4" w:rsidRDefault="00000000">
            <w:pPr>
              <w:spacing w:after="5" w:line="234" w:lineRule="auto"/>
              <w:ind w:left="143" w:right="5061" w:firstLine="0"/>
              <w:jc w:val="left"/>
            </w:pPr>
            <w:r>
              <w:rPr>
                <w:sz w:val="22"/>
              </w:rPr>
              <w:t xml:space="preserve">PE __________; PE Title: __________________ FY24 Enacted: </w:t>
            </w:r>
          </w:p>
          <w:p w14:paraId="68DEFD1E" w14:textId="77777777" w:rsidR="006E6CF4" w:rsidRDefault="00000000">
            <w:pPr>
              <w:spacing w:after="0" w:line="259" w:lineRule="auto"/>
              <w:ind w:left="143" w:right="0" w:firstLine="0"/>
              <w:jc w:val="left"/>
            </w:pPr>
            <w:r>
              <w:rPr>
                <w:sz w:val="22"/>
              </w:rPr>
              <w:t xml:space="preserve">FY25 President’s Budget Request: </w:t>
            </w:r>
          </w:p>
          <w:p w14:paraId="4DA14B67" w14:textId="77777777" w:rsidR="006E6CF4" w:rsidRDefault="00000000">
            <w:pPr>
              <w:spacing w:after="0" w:line="259" w:lineRule="auto"/>
              <w:ind w:left="143" w:right="0" w:firstLine="0"/>
              <w:jc w:val="left"/>
            </w:pPr>
            <w:r>
              <w:rPr>
                <w:sz w:val="22"/>
              </w:rPr>
              <w:t xml:space="preserve">Requested Add: </w:t>
            </w:r>
          </w:p>
          <w:p w14:paraId="3FD690A6" w14:textId="77777777" w:rsidR="006E6CF4" w:rsidRDefault="00000000">
            <w:pPr>
              <w:spacing w:after="45" w:line="259" w:lineRule="auto"/>
              <w:ind w:left="143" w:right="0" w:firstLine="0"/>
              <w:jc w:val="left"/>
            </w:pPr>
            <w:r>
              <w:rPr>
                <w:sz w:val="22"/>
              </w:rPr>
              <w:t xml:space="preserve">Total Appropriations (including proposed increase): $ ______ million </w:t>
            </w:r>
          </w:p>
          <w:p w14:paraId="25780F2A" w14:textId="77777777" w:rsidR="006E6CF4" w:rsidRDefault="00000000">
            <w:pPr>
              <w:spacing w:after="0" w:line="259" w:lineRule="auto"/>
              <w:ind w:left="143" w:right="0" w:firstLine="0"/>
              <w:jc w:val="left"/>
            </w:pPr>
            <w:r>
              <w:rPr>
                <w:sz w:val="22"/>
              </w:rPr>
              <w:t xml:space="preserve">Suggest Project Title: Advanced Ceramics for Defense Consortium (ACDC) </w:t>
            </w:r>
          </w:p>
        </w:tc>
      </w:tr>
    </w:tbl>
    <w:p w14:paraId="079A8B9A" w14:textId="77777777" w:rsidR="006E6CF4" w:rsidRDefault="00000000">
      <w:pPr>
        <w:spacing w:after="0" w:line="259" w:lineRule="auto"/>
        <w:ind w:left="0" w:right="0" w:firstLine="0"/>
        <w:jc w:val="left"/>
      </w:pPr>
      <w:r>
        <w:rPr>
          <w:sz w:val="22"/>
        </w:rPr>
        <w:t xml:space="preserve"> </w:t>
      </w:r>
    </w:p>
    <w:p w14:paraId="4EEA53E8" w14:textId="77777777" w:rsidR="006E6CF4" w:rsidRDefault="00000000">
      <w:pPr>
        <w:spacing w:after="50" w:line="259" w:lineRule="auto"/>
        <w:ind w:left="177" w:right="0" w:firstLine="0"/>
        <w:jc w:val="left"/>
      </w:pPr>
      <w:r>
        <w:rPr>
          <w:noProof/>
        </w:rPr>
        <w:drawing>
          <wp:anchor distT="0" distB="0" distL="114300" distR="114300" simplePos="0" relativeHeight="251659264" behindDoc="0" locked="0" layoutInCell="1" allowOverlap="0" wp14:anchorId="416160E8" wp14:editId="4FCF7ECB">
            <wp:simplePos x="0" y="0"/>
            <wp:positionH relativeFrom="page">
              <wp:posOffset>5186100</wp:posOffset>
            </wp:positionH>
            <wp:positionV relativeFrom="page">
              <wp:posOffset>1</wp:posOffset>
            </wp:positionV>
            <wp:extent cx="1905000" cy="347472"/>
            <wp:effectExtent l="0" t="0" r="0" b="0"/>
            <wp:wrapSquare wrapText="bothSides"/>
            <wp:docPr id="2728" name="Picture 2728"/>
            <wp:cNvGraphicFramePr/>
            <a:graphic xmlns:a="http://schemas.openxmlformats.org/drawingml/2006/main">
              <a:graphicData uri="http://schemas.openxmlformats.org/drawingml/2006/picture">
                <pic:pic xmlns:pic="http://schemas.openxmlformats.org/drawingml/2006/picture">
                  <pic:nvPicPr>
                    <pic:cNvPr id="2728" name="Picture 2728"/>
                    <pic:cNvPicPr/>
                  </pic:nvPicPr>
                  <pic:blipFill>
                    <a:blip r:embed="rId5"/>
                    <a:stretch>
                      <a:fillRect/>
                    </a:stretch>
                  </pic:blipFill>
                  <pic:spPr>
                    <a:xfrm>
                      <a:off x="0" y="0"/>
                      <a:ext cx="1905000" cy="347472"/>
                    </a:xfrm>
                    <a:prstGeom prst="rect">
                      <a:avLst/>
                    </a:prstGeom>
                  </pic:spPr>
                </pic:pic>
              </a:graphicData>
            </a:graphic>
          </wp:anchor>
        </w:drawing>
      </w:r>
      <w:r>
        <w:rPr>
          <w:b/>
          <w:sz w:val="22"/>
        </w:rPr>
        <w:t xml:space="preserve">Report Language: Somebody needs to do a study.  </w:t>
      </w:r>
    </w:p>
    <w:p w14:paraId="0EA1D7A2" w14:textId="77777777" w:rsidR="006E6CF4" w:rsidRDefault="00000000">
      <w:pPr>
        <w:spacing w:after="45" w:line="259" w:lineRule="auto"/>
        <w:ind w:left="177" w:right="0" w:firstLine="0"/>
        <w:jc w:val="left"/>
      </w:pPr>
      <w:r>
        <w:rPr>
          <w:b/>
          <w:sz w:val="22"/>
        </w:rPr>
        <w:t xml:space="preserve"> </w:t>
      </w:r>
    </w:p>
    <w:p w14:paraId="71DA07FD" w14:textId="77777777" w:rsidR="006E6CF4" w:rsidRDefault="00000000">
      <w:pPr>
        <w:spacing w:after="45" w:line="259" w:lineRule="auto"/>
        <w:ind w:left="177" w:right="0" w:firstLine="0"/>
        <w:jc w:val="left"/>
      </w:pPr>
      <w:r>
        <w:rPr>
          <w:b/>
          <w:sz w:val="22"/>
        </w:rPr>
        <w:t xml:space="preserve"> </w:t>
      </w:r>
    </w:p>
    <w:p w14:paraId="54716035" w14:textId="77777777" w:rsidR="006E6CF4" w:rsidRDefault="00000000">
      <w:pPr>
        <w:spacing w:after="50" w:line="259" w:lineRule="auto"/>
        <w:ind w:left="177" w:right="0" w:firstLine="0"/>
        <w:jc w:val="left"/>
      </w:pPr>
      <w:r>
        <w:rPr>
          <w:b/>
          <w:sz w:val="22"/>
        </w:rPr>
        <w:t xml:space="preserve"> </w:t>
      </w:r>
    </w:p>
    <w:p w14:paraId="1C84AF4B" w14:textId="77777777" w:rsidR="006E6CF4" w:rsidRDefault="00000000">
      <w:pPr>
        <w:spacing w:after="45" w:line="259" w:lineRule="auto"/>
        <w:ind w:left="177" w:right="0" w:firstLine="0"/>
        <w:jc w:val="left"/>
      </w:pPr>
      <w:r>
        <w:rPr>
          <w:b/>
          <w:sz w:val="22"/>
        </w:rPr>
        <w:t xml:space="preserve"> </w:t>
      </w:r>
    </w:p>
    <w:p w14:paraId="29458226" w14:textId="77777777" w:rsidR="006E6CF4" w:rsidRDefault="00000000">
      <w:pPr>
        <w:spacing w:after="45" w:line="259" w:lineRule="auto"/>
        <w:ind w:left="177" w:right="0" w:firstLine="0"/>
        <w:jc w:val="left"/>
      </w:pPr>
      <w:r>
        <w:rPr>
          <w:b/>
          <w:sz w:val="22"/>
        </w:rPr>
        <w:t xml:space="preserve"> </w:t>
      </w:r>
    </w:p>
    <w:p w14:paraId="6A9EC498" w14:textId="77777777" w:rsidR="006E6CF4" w:rsidRDefault="00000000">
      <w:pPr>
        <w:spacing w:after="45" w:line="259" w:lineRule="auto"/>
        <w:ind w:left="177" w:right="0" w:firstLine="0"/>
        <w:jc w:val="left"/>
      </w:pPr>
      <w:r>
        <w:rPr>
          <w:b/>
          <w:sz w:val="22"/>
        </w:rPr>
        <w:t xml:space="preserve"> </w:t>
      </w:r>
    </w:p>
    <w:p w14:paraId="67E8DE6C" w14:textId="77777777" w:rsidR="006E6CF4" w:rsidRDefault="00000000">
      <w:pPr>
        <w:spacing w:after="50" w:line="259" w:lineRule="auto"/>
        <w:ind w:left="177" w:right="0" w:firstLine="0"/>
        <w:jc w:val="left"/>
      </w:pPr>
      <w:r>
        <w:rPr>
          <w:b/>
          <w:sz w:val="22"/>
        </w:rPr>
        <w:t xml:space="preserve"> </w:t>
      </w:r>
    </w:p>
    <w:p w14:paraId="6BA9C1F4" w14:textId="77777777" w:rsidR="006E6CF4" w:rsidRDefault="00000000">
      <w:pPr>
        <w:spacing w:after="45" w:line="259" w:lineRule="auto"/>
        <w:ind w:left="177" w:right="0" w:firstLine="0"/>
        <w:jc w:val="left"/>
      </w:pPr>
      <w:r>
        <w:rPr>
          <w:b/>
          <w:sz w:val="22"/>
        </w:rPr>
        <w:t xml:space="preserve"> </w:t>
      </w:r>
    </w:p>
    <w:p w14:paraId="6A829CFB" w14:textId="77777777" w:rsidR="006E6CF4" w:rsidRDefault="00000000">
      <w:pPr>
        <w:spacing w:after="45" w:line="259" w:lineRule="auto"/>
        <w:ind w:left="177" w:right="0" w:firstLine="0"/>
        <w:jc w:val="left"/>
      </w:pPr>
      <w:r>
        <w:rPr>
          <w:b/>
          <w:sz w:val="22"/>
        </w:rPr>
        <w:t xml:space="preserve"> </w:t>
      </w:r>
    </w:p>
    <w:p w14:paraId="2FCD4664" w14:textId="77777777" w:rsidR="006E6CF4" w:rsidRDefault="00000000">
      <w:pPr>
        <w:spacing w:after="50" w:line="259" w:lineRule="auto"/>
        <w:ind w:left="177" w:right="0" w:firstLine="0"/>
        <w:jc w:val="left"/>
      </w:pPr>
      <w:r>
        <w:rPr>
          <w:b/>
          <w:sz w:val="22"/>
        </w:rPr>
        <w:t xml:space="preserve"> </w:t>
      </w:r>
    </w:p>
    <w:p w14:paraId="711231CF" w14:textId="77777777" w:rsidR="006E6CF4" w:rsidRDefault="00000000">
      <w:pPr>
        <w:spacing w:after="45" w:line="259" w:lineRule="auto"/>
        <w:ind w:left="177" w:right="0" w:firstLine="0"/>
        <w:jc w:val="left"/>
      </w:pPr>
      <w:r>
        <w:rPr>
          <w:b/>
          <w:sz w:val="22"/>
        </w:rPr>
        <w:t xml:space="preserve"> </w:t>
      </w:r>
    </w:p>
    <w:p w14:paraId="620DB6FA" w14:textId="77777777" w:rsidR="006E6CF4" w:rsidRDefault="00000000">
      <w:pPr>
        <w:spacing w:after="45" w:line="259" w:lineRule="auto"/>
        <w:ind w:left="177" w:right="0" w:firstLine="0"/>
        <w:jc w:val="left"/>
      </w:pPr>
      <w:r>
        <w:rPr>
          <w:b/>
          <w:sz w:val="22"/>
        </w:rPr>
        <w:t xml:space="preserve"> </w:t>
      </w:r>
    </w:p>
    <w:p w14:paraId="43317A80" w14:textId="77777777" w:rsidR="006E6CF4" w:rsidRDefault="00000000">
      <w:pPr>
        <w:spacing w:after="45" w:line="259" w:lineRule="auto"/>
        <w:ind w:left="177" w:right="0" w:firstLine="0"/>
        <w:jc w:val="left"/>
      </w:pPr>
      <w:r>
        <w:rPr>
          <w:b/>
          <w:sz w:val="22"/>
        </w:rPr>
        <w:t xml:space="preserve"> </w:t>
      </w:r>
    </w:p>
    <w:p w14:paraId="5C3546A2" w14:textId="77777777" w:rsidR="006E6CF4" w:rsidRDefault="00000000">
      <w:pPr>
        <w:spacing w:after="1965" w:line="259" w:lineRule="auto"/>
        <w:ind w:left="34" w:right="0" w:firstLine="0"/>
        <w:jc w:val="left"/>
      </w:pPr>
      <w:r>
        <w:rPr>
          <w:b/>
          <w:sz w:val="22"/>
        </w:rPr>
        <w:t xml:space="preserve"> </w:t>
      </w:r>
    </w:p>
    <w:p w14:paraId="02E38F4B" w14:textId="77777777" w:rsidR="006E6CF4" w:rsidRDefault="00000000">
      <w:pPr>
        <w:spacing w:after="0" w:line="259" w:lineRule="auto"/>
        <w:ind w:left="29" w:right="0"/>
        <w:jc w:val="left"/>
      </w:pPr>
      <w:r>
        <w:rPr>
          <w:sz w:val="22"/>
        </w:rPr>
        <w:t xml:space="preserve">United States Advanced Ceramics Association (USACA) </w:t>
      </w:r>
    </w:p>
    <w:p w14:paraId="6EFCECEF" w14:textId="77777777" w:rsidR="006E6CF4" w:rsidRDefault="00000000">
      <w:pPr>
        <w:spacing w:after="0" w:line="259" w:lineRule="auto"/>
        <w:ind w:left="29" w:right="0"/>
        <w:jc w:val="left"/>
      </w:pPr>
      <w:r>
        <w:rPr>
          <w:sz w:val="22"/>
        </w:rPr>
        <w:t xml:space="preserve">POC for Request: Ken Wetzel, SMI Inc., (202) 350-1510, ken@strategicmi.com  </w:t>
      </w:r>
    </w:p>
    <w:p w14:paraId="781A91F9" w14:textId="77777777" w:rsidR="006E6CF4" w:rsidRDefault="00000000">
      <w:pPr>
        <w:spacing w:after="0" w:line="259" w:lineRule="auto"/>
        <w:ind w:left="34" w:right="0" w:firstLine="0"/>
        <w:jc w:val="left"/>
      </w:pPr>
      <w:r>
        <w:rPr>
          <w:sz w:val="22"/>
        </w:rPr>
        <w:lastRenderedPageBreak/>
        <w:t xml:space="preserve"> </w:t>
      </w:r>
    </w:p>
    <w:p w14:paraId="2E5EE5AF" w14:textId="77777777" w:rsidR="006E6CF4" w:rsidRDefault="00000000">
      <w:pPr>
        <w:spacing w:after="0" w:line="259" w:lineRule="auto"/>
        <w:ind w:left="34" w:right="0" w:firstLine="0"/>
        <w:jc w:val="left"/>
      </w:pPr>
      <w:r>
        <w:rPr>
          <w:sz w:val="22"/>
        </w:rPr>
        <w:t xml:space="preserve"> </w:t>
      </w:r>
    </w:p>
    <w:sectPr w:rsidR="006E6CF4">
      <w:pgSz w:w="12240" w:h="15840"/>
      <w:pgMar w:top="562" w:right="1025" w:bottom="0" w:left="10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3B148C"/>
    <w:multiLevelType w:val="hybridMultilevel"/>
    <w:tmpl w:val="00D40116"/>
    <w:lvl w:ilvl="0" w:tplc="16284308">
      <w:start w:val="1"/>
      <w:numFmt w:val="decimal"/>
      <w:lvlText w:val="%1."/>
      <w:lvlJc w:val="left"/>
      <w:pPr>
        <w:ind w:left="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F2EE24">
      <w:start w:val="1"/>
      <w:numFmt w:val="lowerLetter"/>
      <w:lvlText w:val="%2"/>
      <w:lvlJc w:val="left"/>
      <w:pPr>
        <w:ind w:left="1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3893BA">
      <w:start w:val="1"/>
      <w:numFmt w:val="lowerRoman"/>
      <w:lvlText w:val="%3"/>
      <w:lvlJc w:val="left"/>
      <w:pPr>
        <w:ind w:left="2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269E88">
      <w:start w:val="1"/>
      <w:numFmt w:val="decimal"/>
      <w:lvlText w:val="%4"/>
      <w:lvlJc w:val="left"/>
      <w:pPr>
        <w:ind w:left="2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FEDDD4">
      <w:start w:val="1"/>
      <w:numFmt w:val="lowerLetter"/>
      <w:lvlText w:val="%5"/>
      <w:lvlJc w:val="left"/>
      <w:pPr>
        <w:ind w:left="3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14EEDA">
      <w:start w:val="1"/>
      <w:numFmt w:val="lowerRoman"/>
      <w:lvlText w:val="%6"/>
      <w:lvlJc w:val="left"/>
      <w:pPr>
        <w:ind w:left="4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7E641C">
      <w:start w:val="1"/>
      <w:numFmt w:val="decimal"/>
      <w:lvlText w:val="%7"/>
      <w:lvlJc w:val="left"/>
      <w:pPr>
        <w:ind w:left="5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E6052C">
      <w:start w:val="1"/>
      <w:numFmt w:val="lowerLetter"/>
      <w:lvlText w:val="%8"/>
      <w:lvlJc w:val="left"/>
      <w:pPr>
        <w:ind w:left="5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8A16DC">
      <w:start w:val="1"/>
      <w:numFmt w:val="lowerRoman"/>
      <w:lvlText w:val="%9"/>
      <w:lvlJc w:val="left"/>
      <w:pPr>
        <w:ind w:left="6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7142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CF4"/>
    <w:rsid w:val="001F24D6"/>
    <w:rsid w:val="006E6CF4"/>
    <w:rsid w:val="00DF7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EBC09"/>
  <w15:docId w15:val="{FC2DC6FF-E34D-40F6-BC6C-8951527B5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38" w:lineRule="auto"/>
      <w:ind w:left="44" w:right="50" w:hanging="1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4641</Characters>
  <Application>Microsoft Office Word</Application>
  <DocSecurity>0</DocSecurity>
  <Lines>38</Lines>
  <Paragraphs>10</Paragraphs>
  <ScaleCrop>false</ScaleCrop>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USACA Workforce Development Working Group White Paper FY26_Alex Draft_LB Edits[38]</dc:title>
  <dc:subject/>
  <dc:creator>LB Fullerton</dc:creator>
  <cp:keywords/>
  <cp:lastModifiedBy>Bryan Bender</cp:lastModifiedBy>
  <cp:revision>2</cp:revision>
  <dcterms:created xsi:type="dcterms:W3CDTF">2025-01-07T18:14:00Z</dcterms:created>
  <dcterms:modified xsi:type="dcterms:W3CDTF">2025-01-07T18:14:00Z</dcterms:modified>
</cp:coreProperties>
</file>