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3B30" w14:textId="77777777" w:rsidR="000610F4" w:rsidRDefault="00885C44" w:rsidP="00CB5D9D">
      <w:pPr>
        <w:jc w:val="right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9CB40B8" wp14:editId="757E8A4A">
            <wp:simplePos x="0" y="0"/>
            <wp:positionH relativeFrom="column">
              <wp:posOffset>-6350</wp:posOffset>
            </wp:positionH>
            <wp:positionV relativeFrom="paragraph">
              <wp:posOffset>-683722</wp:posOffset>
            </wp:positionV>
            <wp:extent cx="3333750" cy="6722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ersifiedheattransfer-JP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67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A7A33" w14:textId="77777777" w:rsidR="00D01549" w:rsidRPr="00874F42" w:rsidRDefault="00D01549" w:rsidP="00D01549">
      <w:pPr>
        <w:rPr>
          <w:rFonts w:asciiTheme="minorHAnsi" w:hAnsiTheme="minorHAnsi"/>
          <w:b/>
          <w:sz w:val="22"/>
          <w:szCs w:val="22"/>
        </w:rPr>
      </w:pPr>
      <w:r w:rsidRPr="00874F42">
        <w:rPr>
          <w:rFonts w:asciiTheme="minorHAnsi" w:hAnsiTheme="minorHAnsi"/>
          <w:b/>
          <w:sz w:val="22"/>
          <w:szCs w:val="22"/>
        </w:rPr>
        <w:t>FOR IMMEDIATE RELEASE</w:t>
      </w:r>
    </w:p>
    <w:p w14:paraId="013EE799" w14:textId="77777777" w:rsidR="00D01549" w:rsidRPr="00874F42" w:rsidRDefault="00D01549" w:rsidP="00D01549">
      <w:pPr>
        <w:rPr>
          <w:rFonts w:asciiTheme="minorHAnsi" w:hAnsiTheme="minorHAnsi"/>
          <w:sz w:val="22"/>
          <w:szCs w:val="22"/>
        </w:rPr>
      </w:pPr>
      <w:r w:rsidRPr="00874F42">
        <w:rPr>
          <w:rFonts w:asciiTheme="minorHAnsi" w:hAnsiTheme="minorHAnsi"/>
          <w:b/>
          <w:sz w:val="22"/>
          <w:szCs w:val="22"/>
        </w:rPr>
        <w:t>CONTACT:</w:t>
      </w:r>
      <w:r w:rsidRPr="00874F42">
        <w:rPr>
          <w:rFonts w:asciiTheme="minorHAnsi" w:hAnsiTheme="minorHAnsi"/>
          <w:sz w:val="22"/>
          <w:szCs w:val="22"/>
        </w:rPr>
        <w:t xml:space="preserve"> </w:t>
      </w:r>
      <w:r w:rsidR="00BB6584">
        <w:rPr>
          <w:rFonts w:asciiTheme="minorHAnsi" w:hAnsiTheme="minorHAnsi"/>
          <w:sz w:val="22"/>
          <w:szCs w:val="22"/>
        </w:rPr>
        <w:t>Michael Salerno</w:t>
      </w:r>
      <w:r w:rsidRPr="00874F42">
        <w:rPr>
          <w:rFonts w:asciiTheme="minorHAnsi" w:hAnsiTheme="minorHAnsi"/>
          <w:sz w:val="22"/>
          <w:szCs w:val="22"/>
        </w:rPr>
        <w:t>, Marketing</w:t>
      </w:r>
      <w:r w:rsidR="00BB6584">
        <w:rPr>
          <w:rFonts w:asciiTheme="minorHAnsi" w:hAnsiTheme="minorHAnsi"/>
          <w:sz w:val="22"/>
          <w:szCs w:val="22"/>
        </w:rPr>
        <w:t xml:space="preserve"> Specialist</w:t>
      </w:r>
    </w:p>
    <w:p w14:paraId="65478FBA" w14:textId="77777777" w:rsidR="00D01549" w:rsidRPr="00874F42" w:rsidRDefault="00D01549" w:rsidP="00D01549">
      <w:pPr>
        <w:rPr>
          <w:rFonts w:asciiTheme="minorHAnsi" w:hAnsiTheme="minorHAnsi"/>
          <w:sz w:val="22"/>
          <w:szCs w:val="22"/>
        </w:rPr>
      </w:pPr>
      <w:r w:rsidRPr="00874F42">
        <w:rPr>
          <w:rFonts w:asciiTheme="minorHAnsi" w:hAnsiTheme="minorHAnsi"/>
          <w:sz w:val="22"/>
          <w:szCs w:val="22"/>
        </w:rPr>
        <w:t xml:space="preserve">                    </w:t>
      </w:r>
      <w:r w:rsidR="00BB6584">
        <w:rPr>
          <w:rFonts w:asciiTheme="minorHAnsi" w:hAnsiTheme="minorHAnsi"/>
          <w:sz w:val="22"/>
          <w:szCs w:val="22"/>
        </w:rPr>
        <w:t>msalerno</w:t>
      </w:r>
      <w:r w:rsidRPr="00874F42">
        <w:rPr>
          <w:rFonts w:asciiTheme="minorHAnsi" w:hAnsiTheme="minorHAnsi"/>
          <w:sz w:val="22"/>
          <w:szCs w:val="22"/>
        </w:rPr>
        <w:t>@dhtnet.com or 201-</w:t>
      </w:r>
      <w:r w:rsidR="00BB6584">
        <w:rPr>
          <w:rFonts w:asciiTheme="minorHAnsi" w:hAnsiTheme="minorHAnsi"/>
          <w:sz w:val="22"/>
          <w:szCs w:val="22"/>
        </w:rPr>
        <w:t>419</w:t>
      </w:r>
      <w:r w:rsidRPr="00874F42">
        <w:rPr>
          <w:rFonts w:asciiTheme="minorHAnsi" w:hAnsiTheme="minorHAnsi"/>
          <w:sz w:val="22"/>
          <w:szCs w:val="22"/>
        </w:rPr>
        <w:t>-</w:t>
      </w:r>
      <w:r w:rsidR="00BB6584">
        <w:rPr>
          <w:rFonts w:asciiTheme="minorHAnsi" w:hAnsiTheme="minorHAnsi"/>
          <w:sz w:val="22"/>
          <w:szCs w:val="22"/>
        </w:rPr>
        <w:t>6049</w:t>
      </w:r>
    </w:p>
    <w:p w14:paraId="0561C6CA" w14:textId="77777777" w:rsidR="005664F1" w:rsidRDefault="005664F1" w:rsidP="00D01549">
      <w:pPr>
        <w:rPr>
          <w:rFonts w:asciiTheme="minorHAnsi" w:hAnsiTheme="minorHAnsi"/>
        </w:rPr>
      </w:pPr>
    </w:p>
    <w:p w14:paraId="7DAED60A" w14:textId="77777777" w:rsidR="00997BA0" w:rsidRPr="005F42C2" w:rsidRDefault="00997BA0" w:rsidP="00997BA0">
      <w:pPr>
        <w:jc w:val="center"/>
        <w:rPr>
          <w:rFonts w:asciiTheme="minorHAnsi" w:hAnsiTheme="minorHAnsi"/>
        </w:rPr>
      </w:pPr>
    </w:p>
    <w:p w14:paraId="3756324C" w14:textId="191C30D4" w:rsidR="00997BA0" w:rsidRPr="005F42C2" w:rsidRDefault="003E5E98" w:rsidP="00997BA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Sussman</w:t>
      </w:r>
      <w:r w:rsidR="00333B37" w:rsidRPr="00333B37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Electric Boilers Expands </w:t>
      </w:r>
      <w:proofErr w:type="spellStart"/>
      <w:r>
        <w:rPr>
          <w:rFonts w:asciiTheme="minorHAnsi" w:hAnsiTheme="minorHAnsi"/>
          <w:b/>
          <w:sz w:val="22"/>
          <w:szCs w:val="22"/>
        </w:rPr>
        <w:t>EWx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Series with New 30-240kW Models</w:t>
      </w:r>
    </w:p>
    <w:p w14:paraId="00D46069" w14:textId="77777777" w:rsidR="00997BA0" w:rsidRPr="005F42C2" w:rsidRDefault="00997BA0" w:rsidP="00997BA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CEBCB72" w14:textId="1CD346E1" w:rsidR="00997BA0" w:rsidRPr="00573DFA" w:rsidRDefault="003E5E98" w:rsidP="00573DFA">
      <w:pPr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Newly Expanded Product Line Supports Broader Electrification Needs</w:t>
      </w:r>
      <w:r w:rsidR="004438D8">
        <w:rPr>
          <w:rFonts w:asciiTheme="minorHAnsi" w:hAnsiTheme="minorHAnsi"/>
          <w:i/>
          <w:sz w:val="22"/>
          <w:szCs w:val="22"/>
        </w:rPr>
        <w:t xml:space="preserve"> </w:t>
      </w:r>
    </w:p>
    <w:p w14:paraId="3CE8B167" w14:textId="77777777" w:rsidR="00997BA0" w:rsidRPr="005664F1" w:rsidRDefault="00997BA0" w:rsidP="00997BA0">
      <w:pPr>
        <w:jc w:val="center"/>
        <w:rPr>
          <w:rFonts w:asciiTheme="minorHAnsi" w:hAnsiTheme="minorHAnsi" w:cs="Arial"/>
          <w:bCs/>
          <w:color w:val="000000"/>
        </w:rPr>
      </w:pPr>
    </w:p>
    <w:p w14:paraId="45EA7FDA" w14:textId="4B1DA52C" w:rsidR="00925AAF" w:rsidRDefault="00997BA0" w:rsidP="7CA5535F">
      <w:pPr>
        <w:rPr>
          <w:rFonts w:asciiTheme="minorHAnsi" w:hAnsiTheme="minorHAnsi" w:cs="Arial"/>
          <w:sz w:val="22"/>
          <w:szCs w:val="22"/>
        </w:rPr>
      </w:pPr>
      <w:r w:rsidRPr="7CA5535F">
        <w:rPr>
          <w:rFonts w:asciiTheme="minorHAnsi" w:hAnsiTheme="minorHAnsi" w:cs="Arial"/>
          <w:b/>
          <w:bCs/>
          <w:sz w:val="22"/>
          <w:szCs w:val="22"/>
        </w:rPr>
        <w:t>Towaco, NJ - (</w:t>
      </w:r>
      <w:r w:rsidR="003E5E98">
        <w:rPr>
          <w:rFonts w:asciiTheme="minorHAnsi" w:hAnsiTheme="minorHAnsi" w:cs="Arial"/>
          <w:b/>
          <w:bCs/>
          <w:sz w:val="22"/>
          <w:szCs w:val="22"/>
        </w:rPr>
        <w:t>Dec</w:t>
      </w:r>
      <w:r w:rsidR="0052150F">
        <w:rPr>
          <w:rFonts w:asciiTheme="minorHAnsi" w:hAnsiTheme="minorHAnsi" w:cs="Arial"/>
          <w:b/>
          <w:bCs/>
          <w:sz w:val="22"/>
          <w:szCs w:val="22"/>
        </w:rPr>
        <w:t>em</w:t>
      </w:r>
      <w:r w:rsidR="001A51B1">
        <w:rPr>
          <w:rFonts w:asciiTheme="minorHAnsi" w:hAnsiTheme="minorHAnsi" w:cs="Arial"/>
          <w:b/>
          <w:bCs/>
          <w:sz w:val="22"/>
          <w:szCs w:val="22"/>
        </w:rPr>
        <w:t>ber</w:t>
      </w:r>
      <w:r w:rsidR="0040774F" w:rsidRPr="7CA5535F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3E5E98">
        <w:rPr>
          <w:rFonts w:asciiTheme="minorHAnsi" w:hAnsiTheme="minorHAnsi" w:cs="Arial"/>
          <w:b/>
          <w:bCs/>
          <w:sz w:val="22"/>
          <w:szCs w:val="22"/>
        </w:rPr>
        <w:t>1</w:t>
      </w:r>
      <w:r w:rsidR="008B6A19">
        <w:rPr>
          <w:rFonts w:asciiTheme="minorHAnsi" w:hAnsiTheme="minorHAnsi" w:cs="Arial"/>
          <w:b/>
          <w:bCs/>
          <w:sz w:val="22"/>
          <w:szCs w:val="22"/>
        </w:rPr>
        <w:t>8</w:t>
      </w:r>
      <w:r w:rsidR="00BA2187" w:rsidRPr="7CA5535F">
        <w:rPr>
          <w:rFonts w:asciiTheme="minorHAnsi" w:hAnsiTheme="minorHAnsi" w:cs="Arial"/>
          <w:b/>
          <w:bCs/>
          <w:sz w:val="22"/>
          <w:szCs w:val="22"/>
        </w:rPr>
        <w:t>,</w:t>
      </w:r>
      <w:r w:rsidR="0040774F" w:rsidRPr="7CA5535F">
        <w:rPr>
          <w:rFonts w:asciiTheme="minorHAnsi" w:hAnsiTheme="minorHAnsi" w:cs="Arial"/>
          <w:b/>
          <w:bCs/>
          <w:sz w:val="22"/>
          <w:szCs w:val="22"/>
        </w:rPr>
        <w:t xml:space="preserve"> 202</w:t>
      </w:r>
      <w:r w:rsidR="00333B37" w:rsidRPr="7CA5535F">
        <w:rPr>
          <w:rFonts w:asciiTheme="minorHAnsi" w:hAnsiTheme="minorHAnsi" w:cs="Arial"/>
          <w:b/>
          <w:bCs/>
          <w:sz w:val="22"/>
          <w:szCs w:val="22"/>
        </w:rPr>
        <w:t>5</w:t>
      </w:r>
      <w:r w:rsidRPr="7CA5535F">
        <w:rPr>
          <w:rFonts w:asciiTheme="minorHAnsi" w:hAnsiTheme="minorHAnsi" w:cs="Arial"/>
          <w:b/>
          <w:bCs/>
          <w:sz w:val="22"/>
          <w:szCs w:val="22"/>
        </w:rPr>
        <w:t xml:space="preserve">): </w:t>
      </w:r>
      <w:r w:rsidR="003E5E98">
        <w:rPr>
          <w:rFonts w:asciiTheme="minorHAnsi" w:hAnsiTheme="minorHAnsi" w:cs="Arial"/>
          <w:b/>
          <w:bCs/>
          <w:sz w:val="22"/>
          <w:szCs w:val="22"/>
        </w:rPr>
        <w:t xml:space="preserve">Sussman Electric Boilers, </w:t>
      </w:r>
      <w:r w:rsidR="003E5E98" w:rsidRPr="7CA5535F">
        <w:rPr>
          <w:rFonts w:asciiTheme="minorHAnsi" w:hAnsiTheme="minorHAnsi" w:cs="Arial"/>
          <w:sz w:val="22"/>
          <w:szCs w:val="22"/>
        </w:rPr>
        <w:t xml:space="preserve">a </w:t>
      </w:r>
      <w:r w:rsidR="003E5E98">
        <w:rPr>
          <w:rFonts w:asciiTheme="minorHAnsi" w:hAnsiTheme="minorHAnsi" w:cs="Arial"/>
          <w:sz w:val="22"/>
          <w:szCs w:val="22"/>
        </w:rPr>
        <w:t xml:space="preserve">trusted brand under </w:t>
      </w:r>
      <w:r w:rsidR="003E5E98">
        <w:rPr>
          <w:rFonts w:asciiTheme="minorHAnsi" w:hAnsiTheme="minorHAnsi" w:cs="Arial"/>
          <w:b/>
          <w:bCs/>
          <w:sz w:val="22"/>
          <w:szCs w:val="22"/>
        </w:rPr>
        <w:t>Di</w:t>
      </w:r>
      <w:r w:rsidR="00BB6584" w:rsidRPr="7CA5535F">
        <w:rPr>
          <w:rFonts w:asciiTheme="minorHAnsi" w:hAnsiTheme="minorHAnsi" w:cs="Arial"/>
          <w:b/>
          <w:bCs/>
          <w:sz w:val="22"/>
          <w:szCs w:val="22"/>
        </w:rPr>
        <w:t>versified Heat Transfer, Inc. (DHT)</w:t>
      </w:r>
      <w:r w:rsidR="00BB6584" w:rsidRPr="7CA5535F">
        <w:rPr>
          <w:rFonts w:asciiTheme="minorHAnsi" w:hAnsiTheme="minorHAnsi" w:cs="Arial"/>
          <w:sz w:val="22"/>
          <w:szCs w:val="22"/>
        </w:rPr>
        <w:t xml:space="preserve">, </w:t>
      </w:r>
      <w:r w:rsidR="003E5E98">
        <w:rPr>
          <w:rFonts w:asciiTheme="minorHAnsi" w:hAnsiTheme="minorHAnsi" w:cs="Arial"/>
          <w:sz w:val="22"/>
          <w:szCs w:val="22"/>
        </w:rPr>
        <w:t xml:space="preserve">announces </w:t>
      </w:r>
      <w:r w:rsidR="003E5E98" w:rsidRPr="003E5E98">
        <w:rPr>
          <w:rFonts w:asciiTheme="minorHAnsi" w:hAnsiTheme="minorHAnsi" w:cs="Arial"/>
          <w:sz w:val="22"/>
          <w:szCs w:val="22"/>
        </w:rPr>
        <w:t xml:space="preserve">the expansion of its </w:t>
      </w:r>
      <w:proofErr w:type="spellStart"/>
      <w:r w:rsidR="003E5E98" w:rsidRPr="003E5E98">
        <w:rPr>
          <w:rFonts w:asciiTheme="minorHAnsi" w:hAnsiTheme="minorHAnsi" w:cs="Arial"/>
          <w:sz w:val="22"/>
          <w:szCs w:val="22"/>
        </w:rPr>
        <w:t>EWx</w:t>
      </w:r>
      <w:proofErr w:type="spellEnd"/>
      <w:r w:rsidR="003E5E98" w:rsidRPr="003E5E98">
        <w:rPr>
          <w:rFonts w:asciiTheme="minorHAnsi" w:hAnsiTheme="minorHAnsi" w:cs="Arial"/>
          <w:sz w:val="22"/>
          <w:szCs w:val="22"/>
        </w:rPr>
        <w:t xml:space="preserve"> Series Electric Hot Water Boiler lineup with new models ranging from 30 kW to 240 kW. These additions extend the reach of the </w:t>
      </w:r>
      <w:proofErr w:type="spellStart"/>
      <w:r w:rsidR="003E5E98" w:rsidRPr="003E5E98">
        <w:rPr>
          <w:rFonts w:asciiTheme="minorHAnsi" w:hAnsiTheme="minorHAnsi" w:cs="Arial"/>
          <w:sz w:val="22"/>
          <w:szCs w:val="22"/>
        </w:rPr>
        <w:t>EWx</w:t>
      </w:r>
      <w:proofErr w:type="spellEnd"/>
      <w:r w:rsidR="003E5E98" w:rsidRPr="003E5E98">
        <w:rPr>
          <w:rFonts w:asciiTheme="minorHAnsi" w:hAnsiTheme="minorHAnsi" w:cs="Arial"/>
          <w:sz w:val="22"/>
          <w:szCs w:val="22"/>
        </w:rPr>
        <w:t xml:space="preserve"> platform and give engineers, contractors, and facility owners a compact, high-efficiency solution for an even wider range of hydronic heating applications.</w:t>
      </w:r>
    </w:p>
    <w:p w14:paraId="29E94C72" w14:textId="77777777" w:rsidR="00333B37" w:rsidRDefault="00333B37" w:rsidP="00976BCC">
      <w:pPr>
        <w:rPr>
          <w:rFonts w:asciiTheme="minorHAnsi" w:hAnsiTheme="minorHAnsi" w:cs="Arial"/>
          <w:bCs/>
          <w:sz w:val="22"/>
          <w:szCs w:val="22"/>
        </w:rPr>
      </w:pPr>
    </w:p>
    <w:p w14:paraId="3CAB3176" w14:textId="51256FB7" w:rsidR="00333B37" w:rsidRDefault="003E5E98" w:rsidP="00976BCC">
      <w:pPr>
        <w:rPr>
          <w:rFonts w:asciiTheme="minorHAnsi" w:hAnsiTheme="minorHAnsi" w:cs="Arial"/>
          <w:bCs/>
          <w:sz w:val="22"/>
          <w:szCs w:val="22"/>
        </w:rPr>
      </w:pPr>
      <w:r w:rsidRPr="003E5E98">
        <w:rPr>
          <w:rFonts w:asciiTheme="minorHAnsi" w:hAnsiTheme="minorHAnsi" w:cs="Arial"/>
          <w:bCs/>
          <w:sz w:val="22"/>
          <w:szCs w:val="22"/>
        </w:rPr>
        <w:t xml:space="preserve">The new </w:t>
      </w:r>
      <w:proofErr w:type="spellStart"/>
      <w:r w:rsidRPr="003E5E98">
        <w:rPr>
          <w:rFonts w:asciiTheme="minorHAnsi" w:hAnsiTheme="minorHAnsi" w:cs="Arial"/>
          <w:bCs/>
          <w:sz w:val="22"/>
          <w:szCs w:val="22"/>
        </w:rPr>
        <w:t>EWx</w:t>
      </w:r>
      <w:proofErr w:type="spellEnd"/>
      <w:r w:rsidRPr="003E5E98">
        <w:rPr>
          <w:rFonts w:asciiTheme="minorHAnsi" w:hAnsiTheme="minorHAnsi" w:cs="Arial"/>
          <w:bCs/>
          <w:sz w:val="22"/>
          <w:szCs w:val="22"/>
        </w:rPr>
        <w:t xml:space="preserve"> models retain the same modular design and digital feed-forward control architecture as the larger units already in the field. Their smaller footprint makes them especially well-suited for mechanical and utility rooms where space is limited, while still delivering the performance and reliability expected from the </w:t>
      </w:r>
      <w:proofErr w:type="spellStart"/>
      <w:r w:rsidRPr="003E5E98">
        <w:rPr>
          <w:rFonts w:asciiTheme="minorHAnsi" w:hAnsiTheme="minorHAnsi" w:cs="Arial"/>
          <w:bCs/>
          <w:sz w:val="22"/>
          <w:szCs w:val="22"/>
        </w:rPr>
        <w:t>EWx</w:t>
      </w:r>
      <w:proofErr w:type="spellEnd"/>
      <w:r w:rsidRPr="003E5E98">
        <w:rPr>
          <w:rFonts w:asciiTheme="minorHAnsi" w:hAnsiTheme="minorHAnsi" w:cs="Arial"/>
          <w:bCs/>
          <w:sz w:val="22"/>
          <w:szCs w:val="22"/>
        </w:rPr>
        <w:t xml:space="preserve"> line. All </w:t>
      </w:r>
      <w:proofErr w:type="spellStart"/>
      <w:r w:rsidRPr="003E5E98">
        <w:rPr>
          <w:rFonts w:asciiTheme="minorHAnsi" w:hAnsiTheme="minorHAnsi" w:cs="Arial"/>
          <w:bCs/>
          <w:sz w:val="22"/>
          <w:szCs w:val="22"/>
        </w:rPr>
        <w:t>EWx</w:t>
      </w:r>
      <w:proofErr w:type="spellEnd"/>
      <w:r w:rsidRPr="003E5E98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gramStart"/>
      <w:r w:rsidRPr="003E5E98">
        <w:rPr>
          <w:rFonts w:asciiTheme="minorHAnsi" w:hAnsiTheme="minorHAnsi" w:cs="Arial"/>
          <w:bCs/>
          <w:sz w:val="22"/>
          <w:szCs w:val="22"/>
        </w:rPr>
        <w:t>models—</w:t>
      </w:r>
      <w:proofErr w:type="gramEnd"/>
      <w:r w:rsidRPr="003E5E98">
        <w:rPr>
          <w:rFonts w:asciiTheme="minorHAnsi" w:hAnsiTheme="minorHAnsi" w:cs="Arial"/>
          <w:bCs/>
          <w:sz w:val="22"/>
          <w:szCs w:val="22"/>
        </w:rPr>
        <w:t xml:space="preserve">both the smaller and larger </w:t>
      </w:r>
      <w:proofErr w:type="gramStart"/>
      <w:r w:rsidRPr="003E5E98">
        <w:rPr>
          <w:rFonts w:asciiTheme="minorHAnsi" w:hAnsiTheme="minorHAnsi" w:cs="Arial"/>
          <w:bCs/>
          <w:sz w:val="22"/>
          <w:szCs w:val="22"/>
        </w:rPr>
        <w:t>sizes—</w:t>
      </w:r>
      <w:proofErr w:type="gramEnd"/>
      <w:r w:rsidRPr="003E5E98">
        <w:rPr>
          <w:rFonts w:asciiTheme="minorHAnsi" w:hAnsiTheme="minorHAnsi" w:cs="Arial"/>
          <w:bCs/>
          <w:sz w:val="22"/>
          <w:szCs w:val="22"/>
        </w:rPr>
        <w:t>are available in right-hand and left-hand configurations, allowing zero side clearance and tight, multi-unit installations where maximizing usable space is essential.</w:t>
      </w:r>
      <w:r w:rsidR="00623E6A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5037BA51" w14:textId="77777777" w:rsidR="00234A50" w:rsidRDefault="00234A50" w:rsidP="00976BCC">
      <w:pPr>
        <w:rPr>
          <w:rFonts w:asciiTheme="minorHAnsi" w:hAnsiTheme="minorHAnsi"/>
          <w:sz w:val="22"/>
          <w:szCs w:val="22"/>
        </w:rPr>
      </w:pPr>
    </w:p>
    <w:p w14:paraId="5DDB4AA9" w14:textId="77777777" w:rsidR="003E5E98" w:rsidRDefault="000D41A0" w:rsidP="00333B37">
      <w:pPr>
        <w:rPr>
          <w:rFonts w:asciiTheme="minorHAnsi" w:hAnsiTheme="minorHAnsi"/>
          <w:sz w:val="22"/>
          <w:szCs w:val="22"/>
        </w:rPr>
      </w:pPr>
      <w:r w:rsidRPr="003D4748">
        <w:rPr>
          <w:rFonts w:asciiTheme="minorHAnsi" w:hAnsiTheme="minorHAnsi"/>
          <w:b/>
          <w:bCs/>
          <w:sz w:val="22"/>
          <w:szCs w:val="22"/>
        </w:rPr>
        <w:t>“</w:t>
      </w:r>
      <w:r w:rsidR="003E5E98" w:rsidRPr="003E5E98">
        <w:rPr>
          <w:rFonts w:asciiTheme="minorHAnsi" w:hAnsiTheme="minorHAnsi"/>
          <w:b/>
          <w:bCs/>
          <w:sz w:val="22"/>
          <w:szCs w:val="22"/>
        </w:rPr>
        <w:t xml:space="preserve">“The expansion of the </w:t>
      </w:r>
      <w:proofErr w:type="spellStart"/>
      <w:r w:rsidR="003E5E98" w:rsidRPr="003E5E98">
        <w:rPr>
          <w:rFonts w:asciiTheme="minorHAnsi" w:hAnsiTheme="minorHAnsi"/>
          <w:b/>
          <w:bCs/>
          <w:sz w:val="22"/>
          <w:szCs w:val="22"/>
        </w:rPr>
        <w:t>EWx</w:t>
      </w:r>
      <w:proofErr w:type="spellEnd"/>
      <w:r w:rsidR="003E5E98" w:rsidRPr="003E5E98">
        <w:rPr>
          <w:rFonts w:asciiTheme="minorHAnsi" w:hAnsiTheme="minorHAnsi"/>
          <w:b/>
          <w:bCs/>
          <w:sz w:val="22"/>
          <w:szCs w:val="22"/>
        </w:rPr>
        <w:t xml:space="preserve"> Series reinforces our commitment to innovation and to giving customers flexible, future-ready electric heating options,” </w:t>
      </w:r>
      <w:r w:rsidR="00333B37" w:rsidRPr="00333B37">
        <w:rPr>
          <w:rFonts w:asciiTheme="minorHAnsi" w:hAnsiTheme="minorHAnsi"/>
          <w:sz w:val="22"/>
          <w:szCs w:val="22"/>
        </w:rPr>
        <w:t>s</w:t>
      </w:r>
      <w:r w:rsidR="005F68A0">
        <w:rPr>
          <w:rFonts w:asciiTheme="minorHAnsi" w:hAnsiTheme="minorHAnsi"/>
          <w:sz w:val="22"/>
          <w:szCs w:val="22"/>
        </w:rPr>
        <w:t>aid</w:t>
      </w:r>
      <w:r w:rsidR="00333B37" w:rsidRPr="00333B37">
        <w:rPr>
          <w:rFonts w:asciiTheme="minorHAnsi" w:hAnsiTheme="minorHAnsi"/>
          <w:sz w:val="22"/>
          <w:szCs w:val="22"/>
        </w:rPr>
        <w:t xml:space="preserve"> </w:t>
      </w:r>
      <w:r w:rsidR="003E5E98">
        <w:rPr>
          <w:rFonts w:asciiTheme="minorHAnsi" w:hAnsiTheme="minorHAnsi"/>
          <w:sz w:val="22"/>
          <w:szCs w:val="22"/>
        </w:rPr>
        <w:t>Neil Pilaar</w:t>
      </w:r>
      <w:r w:rsidR="00333B37" w:rsidRPr="00333B37">
        <w:rPr>
          <w:rFonts w:asciiTheme="minorHAnsi" w:hAnsiTheme="minorHAnsi"/>
          <w:sz w:val="22"/>
          <w:szCs w:val="22"/>
        </w:rPr>
        <w:t xml:space="preserve">, </w:t>
      </w:r>
      <w:r w:rsidR="003E5E98">
        <w:rPr>
          <w:rFonts w:asciiTheme="minorHAnsi" w:hAnsiTheme="minorHAnsi"/>
          <w:sz w:val="22"/>
          <w:szCs w:val="22"/>
        </w:rPr>
        <w:t xml:space="preserve">Vice President of Sales at Sussman Electric Boilers. </w:t>
      </w:r>
      <w:r w:rsidR="003E5E98" w:rsidRPr="003E5E98">
        <w:rPr>
          <w:rFonts w:asciiTheme="minorHAnsi" w:hAnsiTheme="minorHAnsi"/>
          <w:b/>
          <w:bCs/>
          <w:sz w:val="22"/>
          <w:szCs w:val="22"/>
        </w:rPr>
        <w:t>“By offering a broader range of sizes, we’re helping facilities of all types move toward electrification without sacrificing performance or installation simplicity.”</w:t>
      </w:r>
      <w:r w:rsidR="00333B37" w:rsidRPr="00333B37">
        <w:rPr>
          <w:rFonts w:asciiTheme="minorHAnsi" w:hAnsiTheme="minorHAnsi"/>
          <w:sz w:val="22"/>
          <w:szCs w:val="22"/>
        </w:rPr>
        <w:t xml:space="preserve"> </w:t>
      </w:r>
    </w:p>
    <w:p w14:paraId="6EC4CA3A" w14:textId="77777777" w:rsidR="003E5E98" w:rsidRDefault="003E5E98" w:rsidP="00333B37">
      <w:pPr>
        <w:rPr>
          <w:rFonts w:asciiTheme="minorHAnsi" w:hAnsiTheme="minorHAnsi"/>
          <w:sz w:val="22"/>
          <w:szCs w:val="22"/>
        </w:rPr>
      </w:pPr>
    </w:p>
    <w:p w14:paraId="04F39364" w14:textId="10958649" w:rsidR="006630F3" w:rsidRDefault="003E5E98" w:rsidP="00333B3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Jake Goldberg, President and CEO of DHT added, </w:t>
      </w:r>
      <w:r w:rsidRPr="003E5E98">
        <w:rPr>
          <w:rFonts w:asciiTheme="minorHAnsi" w:hAnsiTheme="minorHAnsi"/>
          <w:b/>
          <w:bCs/>
          <w:sz w:val="22"/>
          <w:szCs w:val="22"/>
        </w:rPr>
        <w:t xml:space="preserve">“The </w:t>
      </w:r>
      <w:proofErr w:type="spellStart"/>
      <w:r w:rsidRPr="003E5E98">
        <w:rPr>
          <w:rFonts w:asciiTheme="minorHAnsi" w:hAnsiTheme="minorHAnsi"/>
          <w:b/>
          <w:bCs/>
          <w:sz w:val="22"/>
          <w:szCs w:val="22"/>
        </w:rPr>
        <w:t>EWx</w:t>
      </w:r>
      <w:proofErr w:type="spellEnd"/>
      <w:r w:rsidRPr="003E5E98">
        <w:rPr>
          <w:rFonts w:asciiTheme="minorHAnsi" w:hAnsiTheme="minorHAnsi"/>
          <w:b/>
          <w:bCs/>
          <w:sz w:val="22"/>
          <w:szCs w:val="22"/>
        </w:rPr>
        <w:t xml:space="preserve"> platform was engineered from the ground up as a next-generation electric boiler system. Bringing these smaller sizes to market is a natural progression of that vision and supports our long-term focus on sustainable, high-efficiency heating </w:t>
      </w:r>
      <w:proofErr w:type="gramStart"/>
      <w:r w:rsidRPr="003E5E98">
        <w:rPr>
          <w:rFonts w:asciiTheme="minorHAnsi" w:hAnsiTheme="minorHAnsi"/>
          <w:b/>
          <w:bCs/>
          <w:sz w:val="22"/>
          <w:szCs w:val="22"/>
        </w:rPr>
        <w:t>technologies.</w:t>
      </w:r>
      <w:r>
        <w:rPr>
          <w:rFonts w:asciiTheme="minorHAnsi" w:hAnsiTheme="minorHAnsi"/>
          <w:b/>
          <w:bCs/>
          <w:sz w:val="22"/>
          <w:szCs w:val="22"/>
        </w:rPr>
        <w:t>”</w:t>
      </w:r>
      <w:proofErr w:type="gramEnd"/>
    </w:p>
    <w:p w14:paraId="0F6A0E44" w14:textId="77777777" w:rsidR="00BB6584" w:rsidRDefault="00BB6584" w:rsidP="00874F42">
      <w:pPr>
        <w:rPr>
          <w:rFonts w:asciiTheme="minorHAnsi" w:hAnsiTheme="minorHAnsi"/>
          <w:sz w:val="22"/>
          <w:szCs w:val="22"/>
        </w:rPr>
      </w:pPr>
    </w:p>
    <w:p w14:paraId="72B1FD40" w14:textId="1C1DDF3B" w:rsidR="00BB6584" w:rsidRDefault="003E5E98" w:rsidP="00BB6584">
      <w:pPr>
        <w:rPr>
          <w:rFonts w:asciiTheme="minorHAnsi" w:hAnsiTheme="minorHAnsi"/>
          <w:sz w:val="22"/>
          <w:szCs w:val="22"/>
        </w:rPr>
      </w:pPr>
      <w:r w:rsidRPr="003E5E98">
        <w:rPr>
          <w:rFonts w:asciiTheme="minorHAnsi" w:hAnsiTheme="minorHAnsi"/>
          <w:b/>
          <w:bCs/>
          <w:sz w:val="22"/>
          <w:szCs w:val="22"/>
        </w:rPr>
        <w:t xml:space="preserve">The Sussman </w:t>
      </w:r>
      <w:proofErr w:type="spellStart"/>
      <w:r w:rsidRPr="003E5E98">
        <w:rPr>
          <w:rFonts w:asciiTheme="minorHAnsi" w:hAnsiTheme="minorHAnsi"/>
          <w:b/>
          <w:bCs/>
          <w:sz w:val="22"/>
          <w:szCs w:val="22"/>
        </w:rPr>
        <w:t>EWx</w:t>
      </w:r>
      <w:proofErr w:type="spellEnd"/>
      <w:r w:rsidRPr="003E5E98">
        <w:rPr>
          <w:rFonts w:asciiTheme="minorHAnsi" w:hAnsiTheme="minorHAnsi"/>
          <w:b/>
          <w:bCs/>
          <w:sz w:val="22"/>
          <w:szCs w:val="22"/>
        </w:rPr>
        <w:t xml:space="preserve"> remains a next-generation electric hot water boiler system</w:t>
      </w:r>
      <w:r w:rsidRPr="003E5E98">
        <w:rPr>
          <w:rFonts w:asciiTheme="minorHAnsi" w:hAnsiTheme="minorHAnsi"/>
          <w:sz w:val="22"/>
          <w:szCs w:val="22"/>
        </w:rPr>
        <w:t xml:space="preserve">, engineered to be compact, efficient, and environmentally responsible. Designed for easy installation and integration into modern hybrid or fully electric heating systems, the </w:t>
      </w:r>
      <w:proofErr w:type="spellStart"/>
      <w:r w:rsidRPr="003E5E98">
        <w:rPr>
          <w:rFonts w:asciiTheme="minorHAnsi" w:hAnsiTheme="minorHAnsi"/>
          <w:sz w:val="22"/>
          <w:szCs w:val="22"/>
        </w:rPr>
        <w:t>EWx</w:t>
      </w:r>
      <w:proofErr w:type="spellEnd"/>
      <w:r w:rsidRPr="003E5E98">
        <w:rPr>
          <w:rFonts w:asciiTheme="minorHAnsi" w:hAnsiTheme="minorHAnsi"/>
          <w:sz w:val="22"/>
          <w:szCs w:val="22"/>
        </w:rPr>
        <w:t xml:space="preserve"> meets or exceeds building electrification and decarbonization standards. Every model features advanced electronic controls, BACnet and Modbus connectivity, and durable construction to ensure reliable, long-term operation.</w:t>
      </w:r>
    </w:p>
    <w:p w14:paraId="26A174CD" w14:textId="77777777" w:rsidR="003E5E98" w:rsidRDefault="003E5E98" w:rsidP="00BB6584">
      <w:pPr>
        <w:rPr>
          <w:rFonts w:asciiTheme="minorHAnsi" w:hAnsiTheme="minorHAnsi"/>
          <w:sz w:val="22"/>
          <w:szCs w:val="22"/>
        </w:rPr>
      </w:pPr>
    </w:p>
    <w:p w14:paraId="053D8BAC" w14:textId="77777777" w:rsidR="003E5E98" w:rsidRPr="003E5E98" w:rsidRDefault="003E5E98" w:rsidP="003E5E98">
      <w:pPr>
        <w:rPr>
          <w:rFonts w:asciiTheme="minorHAnsi" w:hAnsiTheme="minorHAnsi"/>
          <w:b/>
          <w:bCs/>
          <w:sz w:val="22"/>
          <w:szCs w:val="22"/>
        </w:rPr>
      </w:pPr>
      <w:r w:rsidRPr="003E5E98">
        <w:rPr>
          <w:rFonts w:asciiTheme="minorHAnsi" w:hAnsiTheme="minorHAnsi"/>
          <w:b/>
          <w:bCs/>
          <w:sz w:val="22"/>
          <w:szCs w:val="22"/>
        </w:rPr>
        <w:t xml:space="preserve">Key Features of the Expanded </w:t>
      </w:r>
      <w:proofErr w:type="spellStart"/>
      <w:r w:rsidRPr="003E5E98">
        <w:rPr>
          <w:rFonts w:asciiTheme="minorHAnsi" w:hAnsiTheme="minorHAnsi"/>
          <w:b/>
          <w:bCs/>
          <w:sz w:val="22"/>
          <w:szCs w:val="22"/>
        </w:rPr>
        <w:t>EWx</w:t>
      </w:r>
      <w:proofErr w:type="spellEnd"/>
      <w:r w:rsidRPr="003E5E98">
        <w:rPr>
          <w:rFonts w:asciiTheme="minorHAnsi" w:hAnsiTheme="minorHAnsi"/>
          <w:b/>
          <w:bCs/>
          <w:sz w:val="22"/>
          <w:szCs w:val="22"/>
        </w:rPr>
        <w:t xml:space="preserve"> Lineup:</w:t>
      </w:r>
    </w:p>
    <w:p w14:paraId="25240912" w14:textId="5899B4F7" w:rsidR="003E5E98" w:rsidRPr="003E5E98" w:rsidRDefault="003E5E98" w:rsidP="003E5E98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E5E98">
        <w:rPr>
          <w:rFonts w:asciiTheme="minorHAnsi" w:hAnsiTheme="minorHAnsi" w:hint="eastAsia"/>
          <w:b/>
          <w:bCs/>
          <w:sz w:val="22"/>
          <w:szCs w:val="22"/>
        </w:rPr>
        <w:t>Expanded Size Range:</w:t>
      </w:r>
      <w:r w:rsidRPr="003E5E98">
        <w:rPr>
          <w:rFonts w:asciiTheme="minorHAnsi" w:hAnsiTheme="minorHAnsi" w:hint="eastAsia"/>
          <w:sz w:val="22"/>
          <w:szCs w:val="22"/>
        </w:rPr>
        <w:t xml:space="preserve"> Now available from 30 kW to 1200 kW, making the </w:t>
      </w:r>
      <w:proofErr w:type="spellStart"/>
      <w:r w:rsidRPr="003E5E98">
        <w:rPr>
          <w:rFonts w:asciiTheme="minorHAnsi" w:hAnsiTheme="minorHAnsi" w:hint="eastAsia"/>
          <w:sz w:val="22"/>
          <w:szCs w:val="22"/>
        </w:rPr>
        <w:t>EWx</w:t>
      </w:r>
      <w:proofErr w:type="spellEnd"/>
      <w:r w:rsidRPr="003E5E98">
        <w:rPr>
          <w:rFonts w:asciiTheme="minorHAnsi" w:hAnsiTheme="minorHAnsi" w:hint="eastAsia"/>
          <w:sz w:val="22"/>
          <w:szCs w:val="22"/>
        </w:rPr>
        <w:t xml:space="preserve"> suitable for small, medium, and large hydronic systems.</w:t>
      </w:r>
    </w:p>
    <w:p w14:paraId="727CCB3B" w14:textId="3883BC84" w:rsidR="003E5E98" w:rsidRPr="003E5E98" w:rsidRDefault="003E5E98" w:rsidP="003E5E98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E5E98">
        <w:rPr>
          <w:rFonts w:asciiTheme="minorHAnsi" w:hAnsiTheme="minorHAnsi" w:hint="eastAsia"/>
          <w:b/>
          <w:bCs/>
          <w:sz w:val="22"/>
          <w:szCs w:val="22"/>
        </w:rPr>
        <w:t>Ultra-Compact Footprint:</w:t>
      </w:r>
      <w:r w:rsidRPr="003E5E98">
        <w:rPr>
          <w:rFonts w:asciiTheme="minorHAnsi" w:hAnsiTheme="minorHAnsi" w:hint="eastAsia"/>
          <w:sz w:val="22"/>
          <w:szCs w:val="22"/>
        </w:rPr>
        <w:t xml:space="preserve"> Small physical size, front-only service access, and easy transport through standard doorways.</w:t>
      </w:r>
    </w:p>
    <w:p w14:paraId="388D9284" w14:textId="30FB8F61" w:rsidR="003E5E98" w:rsidRPr="003E5E98" w:rsidRDefault="003E5E98" w:rsidP="003E5E98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E5E98">
        <w:rPr>
          <w:rFonts w:asciiTheme="minorHAnsi" w:hAnsiTheme="minorHAnsi" w:hint="eastAsia"/>
          <w:b/>
          <w:bCs/>
          <w:sz w:val="22"/>
          <w:szCs w:val="22"/>
        </w:rPr>
        <w:t>Advanced Control System:</w:t>
      </w:r>
      <w:r w:rsidRPr="003E5E98">
        <w:rPr>
          <w:rFonts w:asciiTheme="minorHAnsi" w:hAnsiTheme="minorHAnsi" w:hint="eastAsia"/>
          <w:sz w:val="22"/>
          <w:szCs w:val="22"/>
        </w:rPr>
        <w:t xml:space="preserve"> 7-inch touchscreen with PID control logic, feed-forward algorithms, and open-protocol BAS integration via BACnet and Modbus.</w:t>
      </w:r>
    </w:p>
    <w:p w14:paraId="2A3AA400" w14:textId="6230016E" w:rsidR="003E5E98" w:rsidRPr="003E5E98" w:rsidRDefault="003E5E98" w:rsidP="003E5E98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E5E98">
        <w:rPr>
          <w:rFonts w:asciiTheme="minorHAnsi" w:hAnsiTheme="minorHAnsi" w:hint="eastAsia"/>
          <w:b/>
          <w:bCs/>
          <w:sz w:val="22"/>
          <w:szCs w:val="22"/>
        </w:rPr>
        <w:t>Zero-Emission Operation:</w:t>
      </w:r>
      <w:r w:rsidRPr="003E5E98">
        <w:rPr>
          <w:rFonts w:asciiTheme="minorHAnsi" w:hAnsiTheme="minorHAnsi" w:hint="eastAsia"/>
          <w:sz w:val="22"/>
          <w:szCs w:val="22"/>
        </w:rPr>
        <w:t xml:space="preserve"> No on-site combustion for a cleaner, sustainable heating alternative that supports electrification goals.</w:t>
      </w:r>
    </w:p>
    <w:p w14:paraId="26B269DF" w14:textId="18E1BCFF" w:rsidR="003E5E98" w:rsidRPr="003E5E98" w:rsidRDefault="003E5E98" w:rsidP="003E5E98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E5E98">
        <w:rPr>
          <w:rFonts w:asciiTheme="minorHAnsi" w:hAnsiTheme="minorHAnsi" w:hint="eastAsia"/>
          <w:b/>
          <w:bCs/>
          <w:sz w:val="22"/>
          <w:szCs w:val="22"/>
        </w:rPr>
        <w:t>High Reliability:</w:t>
      </w:r>
      <w:r w:rsidRPr="003E5E98">
        <w:rPr>
          <w:rFonts w:asciiTheme="minorHAnsi" w:hAnsiTheme="minorHAnsi" w:hint="eastAsia"/>
          <w:sz w:val="22"/>
          <w:szCs w:val="22"/>
        </w:rPr>
        <w:t xml:space="preserve"> ASME-constructed pressure vessels, UL and </w:t>
      </w:r>
      <w:proofErr w:type="spellStart"/>
      <w:r w:rsidRPr="003E5E98">
        <w:rPr>
          <w:rFonts w:asciiTheme="minorHAnsi" w:hAnsiTheme="minorHAnsi" w:hint="eastAsia"/>
          <w:sz w:val="22"/>
          <w:szCs w:val="22"/>
        </w:rPr>
        <w:t>cUL</w:t>
      </w:r>
      <w:proofErr w:type="spellEnd"/>
      <w:r w:rsidRPr="003E5E98">
        <w:rPr>
          <w:rFonts w:asciiTheme="minorHAnsi" w:hAnsiTheme="minorHAnsi" w:hint="eastAsia"/>
          <w:sz w:val="22"/>
          <w:szCs w:val="22"/>
        </w:rPr>
        <w:t xml:space="preserve"> listings, and standard 5kA SCCR (with 100kA SCCR available).</w:t>
      </w:r>
    </w:p>
    <w:p w14:paraId="027749F7" w14:textId="72510474" w:rsidR="003E5E98" w:rsidRPr="003E5E98" w:rsidRDefault="003E5E98" w:rsidP="003E5E98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E5E98">
        <w:rPr>
          <w:rFonts w:asciiTheme="minorHAnsi" w:hAnsiTheme="minorHAnsi" w:hint="eastAsia"/>
          <w:b/>
          <w:bCs/>
          <w:sz w:val="22"/>
          <w:szCs w:val="22"/>
        </w:rPr>
        <w:t>Flexible Installation:</w:t>
      </w:r>
      <w:r w:rsidRPr="003E5E98">
        <w:rPr>
          <w:rFonts w:asciiTheme="minorHAnsi" w:hAnsiTheme="minorHAnsi" w:hint="eastAsia"/>
          <w:sz w:val="22"/>
          <w:szCs w:val="22"/>
        </w:rPr>
        <w:t xml:space="preserve"> Modular design and straightforward piping and electrical connections simplify retrofits and new system designs.</w:t>
      </w:r>
    </w:p>
    <w:p w14:paraId="6B0BEE28" w14:textId="77777777" w:rsidR="001765B7" w:rsidRDefault="001765B7" w:rsidP="00BB6584">
      <w:pPr>
        <w:rPr>
          <w:rFonts w:asciiTheme="minorHAnsi" w:hAnsiTheme="minorHAnsi"/>
          <w:sz w:val="22"/>
          <w:szCs w:val="22"/>
        </w:rPr>
      </w:pPr>
    </w:p>
    <w:p w14:paraId="3E8F818D" w14:textId="1C57E061" w:rsidR="003E5E98" w:rsidRDefault="003E5E98" w:rsidP="001765B7">
      <w:pPr>
        <w:rPr>
          <w:rFonts w:asciiTheme="minorHAnsi" w:hAnsiTheme="minorHAnsi"/>
          <w:sz w:val="22"/>
          <w:szCs w:val="22"/>
        </w:rPr>
      </w:pPr>
      <w:r w:rsidRPr="003E5E98">
        <w:rPr>
          <w:rFonts w:asciiTheme="minorHAnsi" w:hAnsiTheme="minorHAnsi"/>
          <w:sz w:val="22"/>
          <w:szCs w:val="22"/>
        </w:rPr>
        <w:lastRenderedPageBreak/>
        <w:t xml:space="preserve">As electrification continues to shape the future of commercial and industrial heating, the expanded </w:t>
      </w:r>
      <w:proofErr w:type="spellStart"/>
      <w:r w:rsidRPr="003E5E98">
        <w:rPr>
          <w:rFonts w:asciiTheme="minorHAnsi" w:hAnsiTheme="minorHAnsi"/>
          <w:sz w:val="22"/>
          <w:szCs w:val="22"/>
        </w:rPr>
        <w:t>EWx</w:t>
      </w:r>
      <w:proofErr w:type="spellEnd"/>
      <w:r w:rsidRPr="003E5E98">
        <w:rPr>
          <w:rFonts w:asciiTheme="minorHAnsi" w:hAnsiTheme="minorHAnsi"/>
          <w:sz w:val="22"/>
          <w:szCs w:val="22"/>
        </w:rPr>
        <w:t xml:space="preserve"> product family offers a reliable, high-performance path forward. Whether upgrading aging equipment or designing a fully electric system, the </w:t>
      </w:r>
      <w:proofErr w:type="spellStart"/>
      <w:r w:rsidRPr="003E5E98">
        <w:rPr>
          <w:rFonts w:asciiTheme="minorHAnsi" w:hAnsiTheme="minorHAnsi"/>
          <w:sz w:val="22"/>
          <w:szCs w:val="22"/>
        </w:rPr>
        <w:t>EWx</w:t>
      </w:r>
      <w:proofErr w:type="spellEnd"/>
      <w:r w:rsidRPr="003E5E98">
        <w:rPr>
          <w:rFonts w:asciiTheme="minorHAnsi" w:hAnsiTheme="minorHAnsi"/>
          <w:sz w:val="22"/>
          <w:szCs w:val="22"/>
        </w:rPr>
        <w:t xml:space="preserve"> line provides a clean, efficient, and future-focused solution.</w:t>
      </w:r>
    </w:p>
    <w:p w14:paraId="534A7BB2" w14:textId="77777777" w:rsidR="003E5E98" w:rsidRDefault="003E5E98" w:rsidP="001765B7">
      <w:pPr>
        <w:rPr>
          <w:rFonts w:asciiTheme="minorHAnsi" w:hAnsiTheme="minorHAnsi"/>
          <w:sz w:val="22"/>
          <w:szCs w:val="22"/>
        </w:rPr>
      </w:pPr>
    </w:p>
    <w:p w14:paraId="3B406825" w14:textId="0C4E887D" w:rsidR="001765B7" w:rsidRPr="00DD39E9" w:rsidRDefault="001765B7" w:rsidP="001765B7">
      <w:pPr>
        <w:rPr>
          <w:rFonts w:asciiTheme="minorHAnsi" w:hAnsiTheme="minorHAnsi" w:cstheme="minorHAnsi"/>
          <w:sz w:val="22"/>
          <w:szCs w:val="22"/>
        </w:rPr>
      </w:pPr>
      <w:r w:rsidRPr="00DD39E9">
        <w:rPr>
          <w:rFonts w:asciiTheme="minorHAnsi" w:hAnsiTheme="minorHAnsi" w:cstheme="minorHAnsi"/>
          <w:sz w:val="22"/>
          <w:szCs w:val="22"/>
        </w:rPr>
        <w:t xml:space="preserve">For </w:t>
      </w:r>
      <w:r w:rsidR="003E5E98" w:rsidRPr="00DD39E9">
        <w:rPr>
          <w:rFonts w:asciiTheme="minorHAnsi" w:hAnsiTheme="minorHAnsi" w:cstheme="minorHAnsi"/>
          <w:sz w:val="22"/>
          <w:szCs w:val="22"/>
        </w:rPr>
        <w:t xml:space="preserve">more information about the expanded </w:t>
      </w:r>
      <w:proofErr w:type="spellStart"/>
      <w:r w:rsidR="003E5E98" w:rsidRPr="00DD39E9">
        <w:rPr>
          <w:rFonts w:asciiTheme="minorHAnsi" w:hAnsiTheme="minorHAnsi" w:cstheme="minorHAnsi"/>
          <w:sz w:val="22"/>
          <w:szCs w:val="22"/>
        </w:rPr>
        <w:t>EWx</w:t>
      </w:r>
      <w:proofErr w:type="spellEnd"/>
      <w:r w:rsidR="003E5E98" w:rsidRPr="00DD39E9">
        <w:rPr>
          <w:rFonts w:asciiTheme="minorHAnsi" w:hAnsiTheme="minorHAnsi" w:cstheme="minorHAnsi"/>
          <w:sz w:val="22"/>
          <w:szCs w:val="22"/>
        </w:rPr>
        <w:t xml:space="preserve"> Series, visit </w:t>
      </w:r>
      <w:hyperlink r:id="rId12" w:history="1">
        <w:r w:rsidR="003E5E98" w:rsidRPr="00DD39E9">
          <w:rPr>
            <w:rStyle w:val="Hyperlink"/>
            <w:rFonts w:asciiTheme="minorHAnsi" w:hAnsiTheme="minorHAnsi" w:cstheme="minorHAnsi"/>
            <w:sz w:val="22"/>
            <w:szCs w:val="22"/>
          </w:rPr>
          <w:t>Sussmanboilers.com/</w:t>
        </w:r>
        <w:proofErr w:type="spellStart"/>
        <w:r w:rsidR="003E5E98" w:rsidRPr="00DD39E9">
          <w:rPr>
            <w:rStyle w:val="Hyperlink"/>
            <w:rFonts w:asciiTheme="minorHAnsi" w:hAnsiTheme="minorHAnsi" w:cstheme="minorHAnsi"/>
            <w:sz w:val="22"/>
            <w:szCs w:val="22"/>
          </w:rPr>
          <w:t>ewx</w:t>
        </w:r>
        <w:proofErr w:type="spellEnd"/>
        <w:r w:rsidR="003E5E98" w:rsidRPr="00DD39E9">
          <w:rPr>
            <w:rStyle w:val="Hyperlink"/>
            <w:rFonts w:asciiTheme="minorHAnsi" w:hAnsiTheme="minorHAnsi" w:cstheme="minorHAnsi"/>
            <w:sz w:val="22"/>
            <w:szCs w:val="22"/>
          </w:rPr>
          <w:t>-electric-hot-water-boilers</w:t>
        </w:r>
      </w:hyperlink>
      <w:r w:rsidR="003E5E98" w:rsidRPr="00DD39E9">
        <w:rPr>
          <w:rFonts w:asciiTheme="minorHAnsi" w:hAnsiTheme="minorHAnsi" w:cstheme="minorHAnsi"/>
          <w:sz w:val="22"/>
          <w:szCs w:val="22"/>
        </w:rPr>
        <w:t xml:space="preserve"> </w:t>
      </w:r>
      <w:r w:rsidRPr="00DD39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5B2EE9" w14:textId="77777777" w:rsidR="00333B37" w:rsidRDefault="00333B37" w:rsidP="00BB6584">
      <w:pPr>
        <w:rPr>
          <w:rFonts w:asciiTheme="minorHAnsi" w:hAnsiTheme="minorHAnsi"/>
          <w:sz w:val="22"/>
          <w:szCs w:val="22"/>
        </w:rPr>
      </w:pPr>
    </w:p>
    <w:p w14:paraId="36FE415C" w14:textId="77777777" w:rsidR="00874F42" w:rsidRPr="006C4477" w:rsidRDefault="00874F42" w:rsidP="00874F42">
      <w:pPr>
        <w:rPr>
          <w:rFonts w:asciiTheme="minorHAnsi" w:hAnsiTheme="minorHAnsi"/>
          <w:b/>
          <w:sz w:val="22"/>
          <w:szCs w:val="22"/>
        </w:rPr>
      </w:pPr>
      <w:r w:rsidRPr="006C4477">
        <w:rPr>
          <w:rFonts w:asciiTheme="minorHAnsi" w:hAnsiTheme="minorHAnsi"/>
          <w:b/>
          <w:sz w:val="22"/>
          <w:szCs w:val="22"/>
        </w:rPr>
        <w:t>About Diversified Heat Transfer</w:t>
      </w:r>
    </w:p>
    <w:p w14:paraId="46724B9B" w14:textId="1665E51F" w:rsidR="00874F42" w:rsidRPr="006C4477" w:rsidRDefault="00874F42" w:rsidP="00874F42">
      <w:pPr>
        <w:rPr>
          <w:rFonts w:asciiTheme="minorHAnsi" w:hAnsiTheme="minorHAnsi"/>
          <w:sz w:val="22"/>
          <w:szCs w:val="22"/>
        </w:rPr>
      </w:pPr>
      <w:r w:rsidRPr="00AE4CA3">
        <w:rPr>
          <w:rFonts w:asciiTheme="minorHAnsi" w:hAnsiTheme="minorHAnsi"/>
          <w:sz w:val="22"/>
          <w:szCs w:val="22"/>
        </w:rPr>
        <w:t>Diversified Heat Transfer (DHT)</w:t>
      </w:r>
      <w:r w:rsidRPr="006C4477">
        <w:rPr>
          <w:rFonts w:asciiTheme="minorHAnsi" w:hAnsiTheme="minorHAnsi"/>
          <w:color w:val="000000"/>
          <w:sz w:val="22"/>
          <w:szCs w:val="22"/>
        </w:rPr>
        <w:t xml:space="preserve"> is a leading engineering and manufacturing company of heat exchange equipment and systems for the residential, commercial, and industrial markets. With more than </w:t>
      </w:r>
      <w:r w:rsidR="00BB6584">
        <w:rPr>
          <w:rFonts w:asciiTheme="minorHAnsi" w:hAnsiTheme="minorHAnsi"/>
          <w:color w:val="000000"/>
          <w:sz w:val="22"/>
          <w:szCs w:val="22"/>
        </w:rPr>
        <w:t>9</w:t>
      </w:r>
      <w:r w:rsidRPr="006C4477">
        <w:rPr>
          <w:rFonts w:asciiTheme="minorHAnsi" w:hAnsiTheme="minorHAnsi"/>
          <w:color w:val="000000"/>
          <w:sz w:val="22"/>
          <w:szCs w:val="22"/>
        </w:rPr>
        <w:t>0 years of experience, DHT can design, build, and manufacture innovative, technology-driven products that provide flexible, high-quality, and cost-effective solutions for a wide variety of applications</w:t>
      </w:r>
      <w:r w:rsidR="003E5E98">
        <w:rPr>
          <w:rFonts w:asciiTheme="minorHAnsi" w:hAnsiTheme="minorHAnsi"/>
          <w:color w:val="000000"/>
          <w:sz w:val="22"/>
          <w:szCs w:val="22"/>
        </w:rPr>
        <w:t>.</w:t>
      </w:r>
      <w:r w:rsidR="008B6A1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B6A19" w:rsidRPr="008B6A19">
        <w:rPr>
          <w:rFonts w:asciiTheme="minorHAnsi" w:hAnsiTheme="minorHAnsi"/>
          <w:color w:val="000000"/>
          <w:sz w:val="22"/>
          <w:szCs w:val="22"/>
        </w:rPr>
        <w:t>In 2022, DHT acquired Sussman Electric Boilers, the industry leader in electric steam and hot water boilers</w:t>
      </w:r>
      <w:r w:rsidR="008B6A19">
        <w:rPr>
          <w:rFonts w:asciiTheme="minorHAnsi" w:hAnsiTheme="minorHAnsi"/>
          <w:color w:val="000000"/>
          <w:sz w:val="22"/>
          <w:szCs w:val="22"/>
        </w:rPr>
        <w:t>, with a century-long legacy</w:t>
      </w:r>
      <w:r w:rsidR="008B6A19" w:rsidRPr="008B6A19">
        <w:rPr>
          <w:rFonts w:asciiTheme="minorHAnsi" w:hAnsiTheme="minorHAnsi"/>
          <w:color w:val="000000"/>
          <w:sz w:val="22"/>
          <w:szCs w:val="22"/>
        </w:rPr>
        <w:t>.</w:t>
      </w:r>
    </w:p>
    <w:sectPr w:rsidR="00874F42" w:rsidRPr="006C4477" w:rsidSect="00D01549">
      <w:headerReference w:type="default" r:id="rId13"/>
      <w:pgSz w:w="12240" w:h="15840"/>
      <w:pgMar w:top="720" w:right="720" w:bottom="270" w:left="720" w:header="360" w:footer="2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7D9D" w14:textId="77777777" w:rsidR="008E5A60" w:rsidRDefault="008E5A60" w:rsidP="00F16D67">
      <w:r>
        <w:separator/>
      </w:r>
    </w:p>
  </w:endnote>
  <w:endnote w:type="continuationSeparator" w:id="0">
    <w:p w14:paraId="080AB9F4" w14:textId="77777777" w:rsidR="008E5A60" w:rsidRDefault="008E5A60" w:rsidP="00F1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3E10" w14:textId="77777777" w:rsidR="008E5A60" w:rsidRDefault="008E5A60" w:rsidP="00F16D67">
      <w:r>
        <w:separator/>
      </w:r>
    </w:p>
  </w:footnote>
  <w:footnote w:type="continuationSeparator" w:id="0">
    <w:p w14:paraId="7515F653" w14:textId="77777777" w:rsidR="008E5A60" w:rsidRDefault="008E5A60" w:rsidP="00F16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8B98" w14:textId="77777777" w:rsidR="005664F1" w:rsidRDefault="005664F1" w:rsidP="00F16D67">
    <w:pPr>
      <w:pStyle w:val="Header"/>
      <w:jc w:val="right"/>
      <w:rPr>
        <w:rFonts w:asciiTheme="minorHAnsi" w:hAnsiTheme="minorHAnsi"/>
        <w:b/>
        <w:sz w:val="48"/>
        <w:szCs w:val="48"/>
      </w:rPr>
    </w:pPr>
    <w:r w:rsidRPr="005664F1">
      <w:rPr>
        <w:rFonts w:asciiTheme="minorHAnsi" w:hAnsiTheme="minorHAnsi"/>
        <w:b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3E4EB" wp14:editId="6B41E415">
              <wp:simplePos x="0" y="0"/>
              <wp:positionH relativeFrom="column">
                <wp:posOffset>4114800</wp:posOffset>
              </wp:positionH>
              <wp:positionV relativeFrom="paragraph">
                <wp:posOffset>189865</wp:posOffset>
              </wp:positionV>
              <wp:extent cx="2743200" cy="53467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534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D7FC3A" w14:textId="77777777" w:rsidR="005664F1" w:rsidRPr="005664F1" w:rsidRDefault="005664F1" w:rsidP="005664F1">
                          <w:pPr>
                            <w:jc w:val="right"/>
                            <w:rPr>
                              <w:rFonts w:asciiTheme="minorHAnsi" w:hAnsiTheme="minorHAnsi"/>
                              <w:sz w:val="56"/>
                              <w:szCs w:val="36"/>
                            </w:rPr>
                          </w:pPr>
                          <w:r w:rsidRPr="005664F1">
                            <w:rPr>
                              <w:rFonts w:asciiTheme="minorHAnsi" w:hAnsiTheme="minorHAnsi"/>
                              <w:sz w:val="56"/>
                              <w:szCs w:val="36"/>
                            </w:rPr>
                            <w:t>PRESS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13E4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4pt;margin-top:14.95pt;width:3in;height:42.1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" stroked="f">
              <v:textbox style="mso-fit-shape-to-text:t">
                <w:txbxContent>
                  <w:p w14:paraId="59D7FC3A" w14:textId="77777777" w:rsidR="005664F1" w:rsidRPr="005664F1" w:rsidRDefault="005664F1" w:rsidP="005664F1">
                    <w:pPr>
                      <w:jc w:val="right"/>
                      <w:rPr>
                        <w:rFonts w:asciiTheme="minorHAnsi" w:hAnsiTheme="minorHAnsi"/>
                        <w:sz w:val="56"/>
                        <w:szCs w:val="36"/>
                      </w:rPr>
                    </w:pPr>
                    <w:r w:rsidRPr="005664F1">
                      <w:rPr>
                        <w:rFonts w:asciiTheme="minorHAnsi" w:hAnsiTheme="minorHAnsi"/>
                        <w:sz w:val="56"/>
                        <w:szCs w:val="36"/>
                      </w:rPr>
                      <w:t>PRESS RELEASE</w:t>
                    </w:r>
                  </w:p>
                </w:txbxContent>
              </v:textbox>
            </v:shape>
          </w:pict>
        </mc:Fallback>
      </mc:AlternateContent>
    </w:r>
  </w:p>
  <w:p w14:paraId="6516157E" w14:textId="77777777" w:rsidR="0015286C" w:rsidRPr="00CB5D9D" w:rsidRDefault="0015286C" w:rsidP="00F16D67">
    <w:pPr>
      <w:pStyle w:val="Header"/>
      <w:jc w:val="right"/>
      <w:rPr>
        <w:rFonts w:asciiTheme="minorHAnsi" w:hAnsiTheme="minorHAnsi"/>
        <w:b/>
        <w:sz w:val="48"/>
        <w:szCs w:val="48"/>
      </w:rPr>
    </w:pPr>
  </w:p>
  <w:p w14:paraId="1B43635C" w14:textId="77777777" w:rsidR="0015286C" w:rsidRDefault="0015286C" w:rsidP="00CB5D9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6889"/>
    <w:multiLevelType w:val="hybridMultilevel"/>
    <w:tmpl w:val="2BD03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AE4B90"/>
    <w:multiLevelType w:val="multilevel"/>
    <w:tmpl w:val="52B0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04D82"/>
    <w:multiLevelType w:val="hybridMultilevel"/>
    <w:tmpl w:val="77B4B2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FD44360"/>
    <w:multiLevelType w:val="hybridMultilevel"/>
    <w:tmpl w:val="D8EA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189464">
    <w:abstractNumId w:val="1"/>
  </w:num>
  <w:num w:numId="2" w16cid:durableId="1940093679">
    <w:abstractNumId w:val="2"/>
  </w:num>
  <w:num w:numId="3" w16cid:durableId="2004620676">
    <w:abstractNumId w:val="0"/>
  </w:num>
  <w:num w:numId="4" w16cid:durableId="1934823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O0tLQwtLC0NDYxNzNW0lEKTi0uzszPAykwrgUAhTT7ySwAAAA="/>
  </w:docVars>
  <w:rsids>
    <w:rsidRoot w:val="00F16D67"/>
    <w:rsid w:val="00005FAA"/>
    <w:rsid w:val="00017FD5"/>
    <w:rsid w:val="0002063D"/>
    <w:rsid w:val="000610F4"/>
    <w:rsid w:val="00063AB9"/>
    <w:rsid w:val="00073495"/>
    <w:rsid w:val="0008493A"/>
    <w:rsid w:val="000861CE"/>
    <w:rsid w:val="000943B9"/>
    <w:rsid w:val="000C6C12"/>
    <w:rsid w:val="000D41A0"/>
    <w:rsid w:val="000E37B8"/>
    <w:rsid w:val="000E5B62"/>
    <w:rsid w:val="000F7328"/>
    <w:rsid w:val="0010041C"/>
    <w:rsid w:val="0012482A"/>
    <w:rsid w:val="001275D3"/>
    <w:rsid w:val="0013529D"/>
    <w:rsid w:val="00137E0C"/>
    <w:rsid w:val="001472F2"/>
    <w:rsid w:val="0015286C"/>
    <w:rsid w:val="00164C84"/>
    <w:rsid w:val="0017109C"/>
    <w:rsid w:val="001739E6"/>
    <w:rsid w:val="001765B7"/>
    <w:rsid w:val="00185415"/>
    <w:rsid w:val="00186657"/>
    <w:rsid w:val="00186824"/>
    <w:rsid w:val="00192435"/>
    <w:rsid w:val="00196DFA"/>
    <w:rsid w:val="001A51B1"/>
    <w:rsid w:val="001A79DF"/>
    <w:rsid w:val="001B311D"/>
    <w:rsid w:val="001B46DF"/>
    <w:rsid w:val="001C0AA0"/>
    <w:rsid w:val="001D50DA"/>
    <w:rsid w:val="001D580B"/>
    <w:rsid w:val="001D7BA3"/>
    <w:rsid w:val="001E15D8"/>
    <w:rsid w:val="001E528E"/>
    <w:rsid w:val="001E756A"/>
    <w:rsid w:val="00203F92"/>
    <w:rsid w:val="0022598A"/>
    <w:rsid w:val="00234A50"/>
    <w:rsid w:val="00242AC8"/>
    <w:rsid w:val="00244E15"/>
    <w:rsid w:val="002512BC"/>
    <w:rsid w:val="00253DE5"/>
    <w:rsid w:val="00264239"/>
    <w:rsid w:val="00271B72"/>
    <w:rsid w:val="00284B86"/>
    <w:rsid w:val="00295F86"/>
    <w:rsid w:val="002A50F7"/>
    <w:rsid w:val="002B11CB"/>
    <w:rsid w:val="002C123F"/>
    <w:rsid w:val="00303EF7"/>
    <w:rsid w:val="00322F53"/>
    <w:rsid w:val="003315CA"/>
    <w:rsid w:val="00332D0E"/>
    <w:rsid w:val="00333B37"/>
    <w:rsid w:val="00341596"/>
    <w:rsid w:val="00372172"/>
    <w:rsid w:val="00375919"/>
    <w:rsid w:val="00386172"/>
    <w:rsid w:val="003A1B6B"/>
    <w:rsid w:val="003A3514"/>
    <w:rsid w:val="003A5194"/>
    <w:rsid w:val="003B2DA0"/>
    <w:rsid w:val="003D43E4"/>
    <w:rsid w:val="003D4748"/>
    <w:rsid w:val="003D4995"/>
    <w:rsid w:val="003E5E98"/>
    <w:rsid w:val="00401E5F"/>
    <w:rsid w:val="00405A2C"/>
    <w:rsid w:val="0040774F"/>
    <w:rsid w:val="004438D8"/>
    <w:rsid w:val="00455CA7"/>
    <w:rsid w:val="00456994"/>
    <w:rsid w:val="004675E0"/>
    <w:rsid w:val="00474C10"/>
    <w:rsid w:val="00481016"/>
    <w:rsid w:val="004860A8"/>
    <w:rsid w:val="00494EF0"/>
    <w:rsid w:val="004A5567"/>
    <w:rsid w:val="004A7E8E"/>
    <w:rsid w:val="004B2152"/>
    <w:rsid w:val="004B5902"/>
    <w:rsid w:val="004C0670"/>
    <w:rsid w:val="004D01A7"/>
    <w:rsid w:val="004D05E8"/>
    <w:rsid w:val="004E4B27"/>
    <w:rsid w:val="004E612C"/>
    <w:rsid w:val="004F0B28"/>
    <w:rsid w:val="00506D4D"/>
    <w:rsid w:val="00517D18"/>
    <w:rsid w:val="0052150F"/>
    <w:rsid w:val="0052788F"/>
    <w:rsid w:val="00533969"/>
    <w:rsid w:val="00561FCF"/>
    <w:rsid w:val="005664F1"/>
    <w:rsid w:val="00566744"/>
    <w:rsid w:val="00566751"/>
    <w:rsid w:val="00573DFA"/>
    <w:rsid w:val="005762B3"/>
    <w:rsid w:val="00576E21"/>
    <w:rsid w:val="005807D3"/>
    <w:rsid w:val="00580C76"/>
    <w:rsid w:val="00585B99"/>
    <w:rsid w:val="005A2F76"/>
    <w:rsid w:val="005C4ADE"/>
    <w:rsid w:val="005C6C90"/>
    <w:rsid w:val="005D4DE6"/>
    <w:rsid w:val="005F68A0"/>
    <w:rsid w:val="006002B6"/>
    <w:rsid w:val="0060518E"/>
    <w:rsid w:val="006201C5"/>
    <w:rsid w:val="00623E6A"/>
    <w:rsid w:val="00651259"/>
    <w:rsid w:val="006630F3"/>
    <w:rsid w:val="00670031"/>
    <w:rsid w:val="00670D8C"/>
    <w:rsid w:val="006C4477"/>
    <w:rsid w:val="006D43A7"/>
    <w:rsid w:val="006D6E6A"/>
    <w:rsid w:val="006F26F6"/>
    <w:rsid w:val="00701810"/>
    <w:rsid w:val="007119C0"/>
    <w:rsid w:val="00712A05"/>
    <w:rsid w:val="00725552"/>
    <w:rsid w:val="00781D9E"/>
    <w:rsid w:val="007A64A8"/>
    <w:rsid w:val="007B0001"/>
    <w:rsid w:val="007B6884"/>
    <w:rsid w:val="007B7E58"/>
    <w:rsid w:val="007D4314"/>
    <w:rsid w:val="007E3E2A"/>
    <w:rsid w:val="007F1C9F"/>
    <w:rsid w:val="007F22F1"/>
    <w:rsid w:val="00813025"/>
    <w:rsid w:val="00816038"/>
    <w:rsid w:val="00827608"/>
    <w:rsid w:val="008435A5"/>
    <w:rsid w:val="00874F42"/>
    <w:rsid w:val="00881469"/>
    <w:rsid w:val="00885C44"/>
    <w:rsid w:val="008B3C72"/>
    <w:rsid w:val="008B6A19"/>
    <w:rsid w:val="008C06AC"/>
    <w:rsid w:val="008C3730"/>
    <w:rsid w:val="008D7AAD"/>
    <w:rsid w:val="008E01AB"/>
    <w:rsid w:val="008E06E9"/>
    <w:rsid w:val="008E15D7"/>
    <w:rsid w:val="008E5A60"/>
    <w:rsid w:val="008F16A4"/>
    <w:rsid w:val="00913BC5"/>
    <w:rsid w:val="00920281"/>
    <w:rsid w:val="00925AAF"/>
    <w:rsid w:val="00930F9C"/>
    <w:rsid w:val="00947FDE"/>
    <w:rsid w:val="00960127"/>
    <w:rsid w:val="00976BCC"/>
    <w:rsid w:val="00984C12"/>
    <w:rsid w:val="00991CDD"/>
    <w:rsid w:val="009960A6"/>
    <w:rsid w:val="00997BA0"/>
    <w:rsid w:val="009A4656"/>
    <w:rsid w:val="009A597B"/>
    <w:rsid w:val="009C6742"/>
    <w:rsid w:val="009D04E5"/>
    <w:rsid w:val="009D35F2"/>
    <w:rsid w:val="009E6D49"/>
    <w:rsid w:val="009F2CCD"/>
    <w:rsid w:val="00A12C08"/>
    <w:rsid w:val="00A75841"/>
    <w:rsid w:val="00A83049"/>
    <w:rsid w:val="00A9204F"/>
    <w:rsid w:val="00AA1035"/>
    <w:rsid w:val="00AA3E83"/>
    <w:rsid w:val="00AC513C"/>
    <w:rsid w:val="00AE4CA3"/>
    <w:rsid w:val="00AF13AF"/>
    <w:rsid w:val="00AF657E"/>
    <w:rsid w:val="00B13A7A"/>
    <w:rsid w:val="00B36065"/>
    <w:rsid w:val="00B443F4"/>
    <w:rsid w:val="00B56E66"/>
    <w:rsid w:val="00B577A5"/>
    <w:rsid w:val="00B805EA"/>
    <w:rsid w:val="00BA2187"/>
    <w:rsid w:val="00BA2EB5"/>
    <w:rsid w:val="00BA77C7"/>
    <w:rsid w:val="00BB10B7"/>
    <w:rsid w:val="00BB6584"/>
    <w:rsid w:val="00BB77C2"/>
    <w:rsid w:val="00BE0DC9"/>
    <w:rsid w:val="00BF7FED"/>
    <w:rsid w:val="00C24D9A"/>
    <w:rsid w:val="00C25F85"/>
    <w:rsid w:val="00C32DD4"/>
    <w:rsid w:val="00C35AE7"/>
    <w:rsid w:val="00C5208F"/>
    <w:rsid w:val="00C529CB"/>
    <w:rsid w:val="00C53A1D"/>
    <w:rsid w:val="00C64EC1"/>
    <w:rsid w:val="00C73DC4"/>
    <w:rsid w:val="00C86CE4"/>
    <w:rsid w:val="00C87588"/>
    <w:rsid w:val="00CA52E0"/>
    <w:rsid w:val="00CA5F4C"/>
    <w:rsid w:val="00CB5D9D"/>
    <w:rsid w:val="00D01549"/>
    <w:rsid w:val="00D43D30"/>
    <w:rsid w:val="00D5267C"/>
    <w:rsid w:val="00D62DEA"/>
    <w:rsid w:val="00D6530C"/>
    <w:rsid w:val="00D71117"/>
    <w:rsid w:val="00D71756"/>
    <w:rsid w:val="00D74C09"/>
    <w:rsid w:val="00D93D18"/>
    <w:rsid w:val="00D93FC8"/>
    <w:rsid w:val="00D966F5"/>
    <w:rsid w:val="00DB2BE5"/>
    <w:rsid w:val="00DB55CF"/>
    <w:rsid w:val="00DD39E9"/>
    <w:rsid w:val="00DD4953"/>
    <w:rsid w:val="00DF38FB"/>
    <w:rsid w:val="00E00A1E"/>
    <w:rsid w:val="00E35830"/>
    <w:rsid w:val="00E42516"/>
    <w:rsid w:val="00E43610"/>
    <w:rsid w:val="00E51DB5"/>
    <w:rsid w:val="00E60447"/>
    <w:rsid w:val="00E71AC6"/>
    <w:rsid w:val="00E7770C"/>
    <w:rsid w:val="00E863E5"/>
    <w:rsid w:val="00E93074"/>
    <w:rsid w:val="00E96BD0"/>
    <w:rsid w:val="00EA1E70"/>
    <w:rsid w:val="00EB02C5"/>
    <w:rsid w:val="00EC3A0E"/>
    <w:rsid w:val="00ED00C9"/>
    <w:rsid w:val="00F01CC5"/>
    <w:rsid w:val="00F01DF2"/>
    <w:rsid w:val="00F06286"/>
    <w:rsid w:val="00F16D67"/>
    <w:rsid w:val="00F22534"/>
    <w:rsid w:val="00F22CD9"/>
    <w:rsid w:val="00F37EE8"/>
    <w:rsid w:val="00F4775E"/>
    <w:rsid w:val="00F652E3"/>
    <w:rsid w:val="00F81723"/>
    <w:rsid w:val="00F90695"/>
    <w:rsid w:val="00F961D1"/>
    <w:rsid w:val="00F96628"/>
    <w:rsid w:val="00FA4F3D"/>
    <w:rsid w:val="00FB191F"/>
    <w:rsid w:val="00FB1BFB"/>
    <w:rsid w:val="00FC21FD"/>
    <w:rsid w:val="00FC43D2"/>
    <w:rsid w:val="00FE103C"/>
    <w:rsid w:val="00FF4937"/>
    <w:rsid w:val="01CDA8C9"/>
    <w:rsid w:val="2278A0AB"/>
    <w:rsid w:val="25D1BF91"/>
    <w:rsid w:val="33EAFCC9"/>
    <w:rsid w:val="66F7F058"/>
    <w:rsid w:val="7CA5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3349A"/>
  <w15:docId w15:val="{D001E857-D669-4555-A55E-2CA7CCB9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D6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D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D67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6D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D67"/>
    <w:rPr>
      <w:rFonts w:ascii="Cambria" w:eastAsia="MS Mincho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16D6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1E15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8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810"/>
    <w:rPr>
      <w:rFonts w:ascii="Segoe UI" w:eastAsia="MS Mincho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7E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22F53"/>
  </w:style>
  <w:style w:type="table" w:styleId="TableGrid">
    <w:name w:val="Table Grid"/>
    <w:basedOn w:val="TableNormal"/>
    <w:uiPriority w:val="39"/>
    <w:rsid w:val="009D0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A12C0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2C08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3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9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1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568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22916">
                  <w:marLeft w:val="1392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7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0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ussmanboilers.com/ewx-electric-hot-water-boile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7701d7-92df-44bc-90a7-f171ea3f287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2A5048126294EA0D5302EC692DC5E" ma:contentTypeVersion="11" ma:contentTypeDescription="Create a new document." ma:contentTypeScope="" ma:versionID="92002f0473422b36cbea2c8e2bc1b8a3">
  <xsd:schema xmlns:xsd="http://www.w3.org/2001/XMLSchema" xmlns:xs="http://www.w3.org/2001/XMLSchema" xmlns:p="http://schemas.microsoft.com/office/2006/metadata/properties" xmlns:ns3="617701d7-92df-44bc-90a7-f171ea3f2874" targetNamespace="http://schemas.microsoft.com/office/2006/metadata/properties" ma:root="true" ma:fieldsID="5ec9d51c89b4853740c8709ccbd21c48" ns3:_="">
    <xsd:import namespace="617701d7-92df-44bc-90a7-f171ea3f287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701d7-92df-44bc-90a7-f171ea3f287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2C9F7-A7BC-4F46-A474-2D63F6083EEF}">
  <ds:schemaRefs>
    <ds:schemaRef ds:uri="http://schemas.microsoft.com/office/2006/metadata/properties"/>
    <ds:schemaRef ds:uri="http://schemas.microsoft.com/office/infopath/2007/PartnerControls"/>
    <ds:schemaRef ds:uri="617701d7-92df-44bc-90a7-f171ea3f2874"/>
  </ds:schemaRefs>
</ds:datastoreItem>
</file>

<file path=customXml/itemProps2.xml><?xml version="1.0" encoding="utf-8"?>
<ds:datastoreItem xmlns:ds="http://schemas.openxmlformats.org/officeDocument/2006/customXml" ds:itemID="{662F34DE-A063-415B-8C4F-2C9A6CE884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A7B91-0502-479A-B9C4-148CF2109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701d7-92df-44bc-90a7-f171ea3f2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8FC8B-794F-4908-9010-E504B4C1DF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3747</Characters>
  <Application>Microsoft Office Word</Application>
  <DocSecurity>0</DocSecurity>
  <Lines>64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Purdy</dc:creator>
  <cp:keywords/>
  <dc:description/>
  <cp:lastModifiedBy>Michael Salerno</cp:lastModifiedBy>
  <cp:revision>2</cp:revision>
  <cp:lastPrinted>2024-11-25T14:28:00Z</cp:lastPrinted>
  <dcterms:created xsi:type="dcterms:W3CDTF">2025-12-15T14:19:00Z</dcterms:created>
  <dcterms:modified xsi:type="dcterms:W3CDTF">2025-12-15T14:19:00Z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0x0101000FE2A5048126294EA0D5302EC692DC5E</vt:lpwstr>
  </property>
</Properties>
</file>