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96935" w:rsidTr="00396935">
        <w:trPr>
          <w:tblCellSpacing w:w="0" w:type="dxa"/>
          <w:jc w:val="center"/>
        </w:trPr>
        <w:tc>
          <w:tcPr>
            <w:tcW w:w="0" w:type="auto"/>
            <w:vAlign w:val="center"/>
          </w:tcPr>
          <w:tbl>
            <w:tblPr>
              <w:tblW w:w="9045" w:type="dxa"/>
              <w:tblCellSpacing w:w="15" w:type="dxa"/>
              <w:tblInd w:w="900" w:type="dxa"/>
              <w:tblCellMar>
                <w:left w:w="0" w:type="dxa"/>
                <w:right w:w="0" w:type="dxa"/>
              </w:tblCellMar>
              <w:tblLook w:val="04A0" w:firstRow="1" w:lastRow="0" w:firstColumn="1" w:lastColumn="0" w:noHBand="0" w:noVBand="1"/>
            </w:tblPr>
            <w:tblGrid>
              <w:gridCol w:w="7921"/>
              <w:gridCol w:w="1139"/>
            </w:tblGrid>
            <w:tr w:rsidR="00396935" w:rsidTr="00396935">
              <w:trPr>
                <w:gridAfter w:val="1"/>
                <w:tblCellSpacing w:w="15" w:type="dxa"/>
              </w:trPr>
              <w:tc>
                <w:tcPr>
                  <w:tcW w:w="0" w:type="auto"/>
                  <w:tcMar>
                    <w:top w:w="15" w:type="dxa"/>
                    <w:left w:w="15" w:type="dxa"/>
                    <w:bottom w:w="15" w:type="dxa"/>
                    <w:right w:w="15" w:type="dxa"/>
                  </w:tcMar>
                  <w:vAlign w:val="center"/>
                  <w:hideMark/>
                </w:tcPr>
                <w:p w:rsidR="00396935" w:rsidRDefault="00396935"/>
              </w:tc>
            </w:tr>
            <w:tr w:rsidR="00396935" w:rsidTr="00396935">
              <w:tblPrEx>
                <w:jc w:val="center"/>
                <w:tblCellSpacing w:w="0" w:type="dxa"/>
                <w:tblInd w:w="0" w:type="dxa"/>
              </w:tblPrEx>
              <w:trPr>
                <w:trHeight w:val="12618"/>
                <w:tblCellSpacing w:w="0" w:type="dxa"/>
                <w:jc w:val="center"/>
              </w:trPr>
              <w:tc>
                <w:tcPr>
                  <w:tcW w:w="8985" w:type="dxa"/>
                  <w:gridSpan w:val="2"/>
                  <w:shd w:val="clear" w:color="auto" w:fill="ACC3B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96935">
                    <w:trPr>
                      <w:jc w:val="center"/>
                    </w:trPr>
                    <w:tc>
                      <w:tcPr>
                        <w:tcW w:w="0" w:type="auto"/>
                        <w:hideMark/>
                      </w:tcPr>
                      <w:p w:rsidR="00396935" w:rsidRDefault="00396935">
                        <w:r>
                          <w:rPr>
                            <w:noProof/>
                          </w:rPr>
                          <w:drawing>
                            <wp:inline distT="0" distB="0" distL="0" distR="0">
                              <wp:extent cx="5715000" cy="1428750"/>
                              <wp:effectExtent l="0" t="0" r="0" b="0"/>
                              <wp:docPr id="6" name="Picture 6" descr="Press Office Media Adviso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Office Media Advisory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396935" w:rsidTr="00396935">
                    <w:trPr>
                      <w:trHeight w:val="9822"/>
                      <w:jc w:val="center"/>
                    </w:trPr>
                    <w:tc>
                      <w:tcPr>
                        <w:tcW w:w="0" w:type="auto"/>
                        <w:shd w:val="clear" w:color="auto" w:fill="FFFFFF"/>
                        <w:tcMar>
                          <w:top w:w="150" w:type="dxa"/>
                          <w:left w:w="450" w:type="dxa"/>
                          <w:bottom w:w="150" w:type="dxa"/>
                          <w:right w:w="450" w:type="dxa"/>
                        </w:tcMar>
                        <w:hideMark/>
                      </w:tcPr>
                      <w:p w:rsidR="00396935" w:rsidRDefault="00396935">
                        <w:pPr>
                          <w:pStyle w:val="Heading1"/>
                          <w:spacing w:before="0" w:beforeAutospacing="0" w:after="75" w:afterAutospacing="0"/>
                          <w:jc w:val="center"/>
                          <w:rPr>
                            <w:rFonts w:ascii="Arial" w:eastAsia="Times New Roman" w:hAnsi="Arial" w:cs="Arial"/>
                            <w:color w:val="000000"/>
                            <w:sz w:val="30"/>
                            <w:szCs w:val="30"/>
                          </w:rPr>
                        </w:pPr>
                        <w:r>
                          <w:rPr>
                            <w:rStyle w:val="Strong"/>
                            <w:rFonts w:ascii="Arial" w:eastAsia="Times New Roman" w:hAnsi="Arial" w:cs="Arial"/>
                            <w:b/>
                            <w:bCs/>
                            <w:color w:val="000000"/>
                            <w:sz w:val="30"/>
                            <w:szCs w:val="30"/>
                          </w:rPr>
                          <w:t>DEP Solicits Proposals for</w:t>
                        </w:r>
                      </w:p>
                      <w:p w:rsidR="00396935" w:rsidRDefault="00396935">
                        <w:pPr>
                          <w:pStyle w:val="Heading1"/>
                          <w:spacing w:before="0" w:beforeAutospacing="0" w:after="75" w:afterAutospacing="0"/>
                          <w:jc w:val="center"/>
                          <w:rPr>
                            <w:rFonts w:ascii="Arial" w:eastAsia="Times New Roman" w:hAnsi="Arial" w:cs="Arial"/>
                            <w:color w:val="000000"/>
                            <w:sz w:val="30"/>
                            <w:szCs w:val="30"/>
                          </w:rPr>
                        </w:pPr>
                        <w:r>
                          <w:rPr>
                            <w:rStyle w:val="Strong"/>
                            <w:rFonts w:ascii="Arial" w:eastAsia="Times New Roman" w:hAnsi="Arial" w:cs="Arial"/>
                            <w:b/>
                            <w:bCs/>
                            <w:color w:val="000000"/>
                            <w:sz w:val="30"/>
                            <w:szCs w:val="30"/>
                          </w:rPr>
                          <w:t>Up to $3 Million in Federal 319(h) Grants and </w:t>
                        </w:r>
                        <w:r>
                          <w:rPr>
                            <w:rFonts w:ascii="Arial" w:eastAsia="Times New Roman" w:hAnsi="Arial" w:cs="Arial"/>
                            <w:color w:val="000000"/>
                            <w:sz w:val="30"/>
                            <w:szCs w:val="30"/>
                          </w:rPr>
                          <w:t xml:space="preserve"> </w:t>
                        </w:r>
                      </w:p>
                      <w:p w:rsidR="00396935" w:rsidRDefault="00396935">
                        <w:pPr>
                          <w:pStyle w:val="Heading1"/>
                          <w:spacing w:before="0" w:beforeAutospacing="0" w:after="75" w:afterAutospacing="0"/>
                          <w:jc w:val="center"/>
                          <w:rPr>
                            <w:rFonts w:ascii="Arial" w:eastAsia="Times New Roman" w:hAnsi="Arial" w:cs="Arial"/>
                            <w:color w:val="000000"/>
                            <w:sz w:val="30"/>
                            <w:szCs w:val="30"/>
                          </w:rPr>
                        </w:pPr>
                        <w:r>
                          <w:rPr>
                            <w:rStyle w:val="Strong"/>
                            <w:rFonts w:ascii="Arial" w:eastAsia="Times New Roman" w:hAnsi="Arial" w:cs="Arial"/>
                            <w:b/>
                            <w:bCs/>
                            <w:color w:val="000000"/>
                            <w:sz w:val="30"/>
                            <w:szCs w:val="30"/>
                          </w:rPr>
                          <w:t xml:space="preserve">Up to $5 Million in Water Quality Assistance Grants </w:t>
                        </w:r>
                      </w:p>
                      <w:p w:rsidR="00396935" w:rsidRPr="00396935" w:rsidRDefault="00396935">
                        <w:pPr>
                          <w:pStyle w:val="NormalWeb"/>
                          <w:spacing w:after="225" w:afterAutospacing="0"/>
                          <w:rPr>
                            <w:rFonts w:ascii="Arial" w:hAnsi="Arial" w:cs="Arial"/>
                            <w:color w:val="323232"/>
                            <w:sz w:val="18"/>
                            <w:szCs w:val="21"/>
                          </w:rPr>
                        </w:pPr>
                        <w:r w:rsidRPr="00396935">
                          <w:rPr>
                            <w:rFonts w:ascii="Arial" w:hAnsi="Arial" w:cs="Arial"/>
                            <w:color w:val="323232"/>
                            <w:sz w:val="18"/>
                            <w:szCs w:val="21"/>
                          </w:rPr>
                          <w:t>The Florida Department of Environmental Protection's Division of Water Restoration Assistance (DWRA) is pleased to announce its call for proposals for two grant opportunities. These grants are:</w:t>
                        </w:r>
                      </w:p>
                      <w:p w:rsidR="00396935" w:rsidRPr="00396935" w:rsidRDefault="00396935" w:rsidP="008755BE">
                        <w:pPr>
                          <w:numPr>
                            <w:ilvl w:val="0"/>
                            <w:numId w:val="1"/>
                          </w:numPr>
                          <w:spacing w:before="100" w:beforeAutospacing="1" w:after="225"/>
                          <w:rPr>
                            <w:rFonts w:ascii="Arial" w:eastAsia="Times New Roman" w:hAnsi="Arial" w:cs="Arial"/>
                            <w:color w:val="323232"/>
                            <w:sz w:val="18"/>
                            <w:szCs w:val="21"/>
                          </w:rPr>
                        </w:pPr>
                        <w:r w:rsidRPr="00396935">
                          <w:rPr>
                            <w:rFonts w:ascii="Arial" w:eastAsia="Times New Roman" w:hAnsi="Arial" w:cs="Arial"/>
                            <w:color w:val="323232"/>
                            <w:sz w:val="18"/>
                            <w:szCs w:val="21"/>
                          </w:rPr>
                          <w:t>The Section 319(h) Nonpoint Source Grant - Funding for projects that reduce or eliminate nonpoint source pollution through public education, demonstration or implementation of best management practices (including green infrastructure), implementation of TMDLs and water quality restoration plans, ground water protection and limited funding to a local government for eligible components of septic to sewer project implementation.</w:t>
                        </w:r>
                      </w:p>
                      <w:p w:rsidR="00396935" w:rsidRPr="00396935" w:rsidRDefault="00396935" w:rsidP="008755BE">
                        <w:pPr>
                          <w:numPr>
                            <w:ilvl w:val="0"/>
                            <w:numId w:val="1"/>
                          </w:numPr>
                          <w:spacing w:before="100" w:beforeAutospacing="1" w:after="225"/>
                          <w:rPr>
                            <w:rFonts w:ascii="Arial" w:eastAsia="Times New Roman" w:hAnsi="Arial" w:cs="Arial"/>
                            <w:color w:val="323232"/>
                            <w:sz w:val="18"/>
                            <w:szCs w:val="21"/>
                          </w:rPr>
                        </w:pPr>
                        <w:r w:rsidRPr="00396935">
                          <w:rPr>
                            <w:rFonts w:ascii="Arial" w:eastAsia="Times New Roman" w:hAnsi="Arial" w:cs="Arial"/>
                            <w:color w:val="323232"/>
                            <w:sz w:val="18"/>
                            <w:szCs w:val="21"/>
                          </w:rPr>
                          <w:t>The State Water Quality Assistance Grant - Funding for shovel-ready construction projects that reduce or eliminate nonpoint source pollution, prioritized in impaired waters implementing TMDLs and/or water quality restoration plans.</w:t>
                        </w:r>
                      </w:p>
                      <w:p w:rsidR="00396935" w:rsidRPr="00396935" w:rsidRDefault="00396935">
                        <w:pPr>
                          <w:pStyle w:val="NormalWeb"/>
                          <w:spacing w:after="225" w:afterAutospacing="0"/>
                          <w:rPr>
                            <w:rFonts w:ascii="Arial" w:hAnsi="Arial" w:cs="Arial"/>
                            <w:color w:val="323232"/>
                            <w:sz w:val="18"/>
                            <w:szCs w:val="21"/>
                          </w:rPr>
                        </w:pPr>
                        <w:r w:rsidRPr="00396935">
                          <w:rPr>
                            <w:rFonts w:ascii="Arial" w:hAnsi="Arial" w:cs="Arial"/>
                            <w:color w:val="323232"/>
                            <w:sz w:val="18"/>
                            <w:szCs w:val="21"/>
                          </w:rPr>
                          <w:t>Nonpoint source pollution refers to diffuse sources of pollution that do not originate from discernible, confined and discrete conveyances, like pipes and ditches, and that are caused by rainfall moving over and through the ground. As the runoff moves, it picks up and carries natural and human-made pollutants, depositing them into lakes, rivers, wetlands, coastal water, and underground sources of drinking water.</w:t>
                        </w:r>
                      </w:p>
                      <w:p w:rsidR="00396935" w:rsidRPr="00396935" w:rsidRDefault="00396935">
                        <w:pPr>
                          <w:pStyle w:val="NormalWeb"/>
                          <w:spacing w:after="225" w:afterAutospacing="0"/>
                          <w:rPr>
                            <w:rFonts w:ascii="Arial" w:hAnsi="Arial" w:cs="Arial"/>
                            <w:color w:val="323232"/>
                            <w:sz w:val="18"/>
                            <w:szCs w:val="21"/>
                          </w:rPr>
                        </w:pPr>
                        <w:r w:rsidRPr="00396935">
                          <w:rPr>
                            <w:rFonts w:ascii="Arial" w:hAnsi="Arial" w:cs="Arial"/>
                            <w:color w:val="323232"/>
                            <w:sz w:val="18"/>
                            <w:szCs w:val="21"/>
                          </w:rPr>
                          <w:t>The single proposal request document, which can be used for consideration for both grant funding opportunities is available </w:t>
                        </w:r>
                        <w:hyperlink r:id="rId6" w:tgtFrame="_blank" w:history="1">
                          <w:r w:rsidRPr="00396935">
                            <w:rPr>
                              <w:rStyle w:val="Hyperlink"/>
                              <w:rFonts w:ascii="Arial" w:hAnsi="Arial" w:cs="Arial"/>
                              <w:color w:val="1D5782"/>
                              <w:sz w:val="18"/>
                              <w:szCs w:val="21"/>
                            </w:rPr>
                            <w:t>here</w:t>
                          </w:r>
                        </w:hyperlink>
                        <w:r w:rsidRPr="00396935">
                          <w:rPr>
                            <w:rFonts w:ascii="Arial" w:hAnsi="Arial" w:cs="Arial"/>
                            <w:color w:val="323232"/>
                            <w:sz w:val="18"/>
                            <w:szCs w:val="21"/>
                          </w:rPr>
                          <w:t>.</w:t>
                        </w:r>
                      </w:p>
                      <w:p w:rsidR="00396935" w:rsidRPr="00396935" w:rsidRDefault="00396935" w:rsidP="008755BE">
                        <w:pPr>
                          <w:numPr>
                            <w:ilvl w:val="0"/>
                            <w:numId w:val="2"/>
                          </w:numPr>
                          <w:spacing w:before="100" w:beforeAutospacing="1" w:after="225"/>
                          <w:rPr>
                            <w:rFonts w:ascii="Arial" w:eastAsia="Times New Roman" w:hAnsi="Arial" w:cs="Arial"/>
                            <w:color w:val="323232"/>
                            <w:sz w:val="18"/>
                            <w:szCs w:val="21"/>
                          </w:rPr>
                        </w:pPr>
                        <w:r w:rsidRPr="00396935">
                          <w:rPr>
                            <w:rStyle w:val="Strong"/>
                            <w:rFonts w:ascii="Arial" w:eastAsia="Times New Roman" w:hAnsi="Arial" w:cs="Arial"/>
                            <w:color w:val="323232"/>
                            <w:sz w:val="18"/>
                            <w:szCs w:val="21"/>
                          </w:rPr>
                          <w:t>Proposals are due by the close of business on December 4, 2020. Please submit proposals as early as possible.</w:t>
                        </w:r>
                        <w:r w:rsidRPr="00396935">
                          <w:rPr>
                            <w:rFonts w:ascii="Arial" w:eastAsia="Times New Roman" w:hAnsi="Arial" w:cs="Arial"/>
                            <w:color w:val="323232"/>
                            <w:sz w:val="18"/>
                            <w:szCs w:val="21"/>
                          </w:rPr>
                          <w:t xml:space="preserve"> </w:t>
                        </w:r>
                      </w:p>
                      <w:p w:rsidR="00396935" w:rsidRPr="00396935" w:rsidRDefault="00396935" w:rsidP="008755BE">
                        <w:pPr>
                          <w:numPr>
                            <w:ilvl w:val="0"/>
                            <w:numId w:val="2"/>
                          </w:numPr>
                          <w:spacing w:before="100" w:beforeAutospacing="1" w:after="225"/>
                          <w:rPr>
                            <w:rFonts w:ascii="Arial" w:eastAsia="Times New Roman" w:hAnsi="Arial" w:cs="Arial"/>
                            <w:color w:val="323232"/>
                            <w:sz w:val="18"/>
                            <w:szCs w:val="21"/>
                          </w:rPr>
                        </w:pPr>
                        <w:r w:rsidRPr="00396935">
                          <w:rPr>
                            <w:rFonts w:ascii="Arial" w:eastAsia="Times New Roman" w:hAnsi="Arial" w:cs="Arial"/>
                            <w:color w:val="323232"/>
                            <w:sz w:val="18"/>
                            <w:szCs w:val="21"/>
                          </w:rPr>
                          <w:t>All proposal requests must be </w:t>
                        </w:r>
                        <w:r w:rsidRPr="00396935">
                          <w:rPr>
                            <w:rStyle w:val="Strong"/>
                            <w:rFonts w:ascii="Arial" w:eastAsia="Times New Roman" w:hAnsi="Arial" w:cs="Arial"/>
                            <w:color w:val="323232"/>
                            <w:sz w:val="18"/>
                            <w:szCs w:val="21"/>
                          </w:rPr>
                          <w:t>submitted electronically</w:t>
                        </w:r>
                        <w:r w:rsidRPr="00396935">
                          <w:rPr>
                            <w:rFonts w:ascii="Arial" w:eastAsia="Times New Roman" w:hAnsi="Arial" w:cs="Arial"/>
                            <w:color w:val="323232"/>
                            <w:sz w:val="18"/>
                            <w:szCs w:val="21"/>
                          </w:rPr>
                          <w:t> to </w:t>
                        </w:r>
                        <w:hyperlink r:id="rId7" w:tgtFrame="_blank" w:tooltip="" w:history="1">
                          <w:r w:rsidRPr="00396935">
                            <w:rPr>
                              <w:rStyle w:val="Hyperlink"/>
                              <w:rFonts w:ascii="Arial" w:eastAsia="Times New Roman" w:hAnsi="Arial" w:cs="Arial"/>
                              <w:color w:val="1D5782"/>
                              <w:sz w:val="18"/>
                              <w:szCs w:val="21"/>
                            </w:rPr>
                            <w:t xml:space="preserve">Emily </w:t>
                          </w:r>
                          <w:proofErr w:type="spellStart"/>
                          <w:r w:rsidRPr="00396935">
                            <w:rPr>
                              <w:rStyle w:val="Hyperlink"/>
                              <w:rFonts w:ascii="Arial" w:eastAsia="Times New Roman" w:hAnsi="Arial" w:cs="Arial"/>
                              <w:color w:val="1D5782"/>
                              <w:sz w:val="18"/>
                              <w:szCs w:val="21"/>
                            </w:rPr>
                            <w:t>Forinash</w:t>
                          </w:r>
                          <w:proofErr w:type="spellEnd"/>
                        </w:hyperlink>
                        <w:r w:rsidRPr="00396935">
                          <w:rPr>
                            <w:rFonts w:ascii="Arial" w:eastAsia="Times New Roman" w:hAnsi="Arial" w:cs="Arial"/>
                            <w:color w:val="323232"/>
                            <w:sz w:val="18"/>
                            <w:szCs w:val="21"/>
                          </w:rPr>
                          <w:t>, the grant coordinator in DWRA's </w:t>
                        </w:r>
                        <w:hyperlink r:id="rId8" w:tgtFrame="_blank" w:history="1">
                          <w:r w:rsidRPr="00396935">
                            <w:rPr>
                              <w:rStyle w:val="Hyperlink"/>
                              <w:rFonts w:ascii="Arial" w:eastAsia="Times New Roman" w:hAnsi="Arial" w:cs="Arial"/>
                              <w:color w:val="1D5782"/>
                              <w:sz w:val="18"/>
                              <w:szCs w:val="21"/>
                            </w:rPr>
                            <w:t>Nonpoint Source Management Program</w:t>
                          </w:r>
                        </w:hyperlink>
                        <w:r w:rsidRPr="00396935">
                          <w:rPr>
                            <w:rFonts w:ascii="Arial" w:eastAsia="Times New Roman" w:hAnsi="Arial" w:cs="Arial"/>
                            <w:color w:val="323232"/>
                            <w:sz w:val="18"/>
                            <w:szCs w:val="21"/>
                          </w:rPr>
                          <w:t>.</w:t>
                        </w:r>
                      </w:p>
                      <w:p w:rsidR="00396935" w:rsidRPr="00396935" w:rsidRDefault="00396935">
                        <w:pPr>
                          <w:pStyle w:val="NormalWeb"/>
                          <w:spacing w:after="225" w:afterAutospacing="0"/>
                          <w:rPr>
                            <w:rFonts w:ascii="Arial" w:hAnsi="Arial" w:cs="Arial"/>
                            <w:color w:val="323232"/>
                            <w:sz w:val="18"/>
                            <w:szCs w:val="21"/>
                          </w:rPr>
                        </w:pPr>
                        <w:r w:rsidRPr="00396935">
                          <w:rPr>
                            <w:rFonts w:ascii="Arial" w:hAnsi="Arial" w:cs="Arial"/>
                            <w:color w:val="323232"/>
                            <w:sz w:val="18"/>
                            <w:szCs w:val="21"/>
                          </w:rPr>
                          <w:t>If you have any questions or need further information, please email </w:t>
                        </w:r>
                        <w:hyperlink r:id="rId9" w:tgtFrame="_blank" w:history="1">
                          <w:r w:rsidRPr="00396935">
                            <w:rPr>
                              <w:rStyle w:val="Hyperlink"/>
                              <w:rFonts w:ascii="Arial" w:hAnsi="Arial" w:cs="Arial"/>
                              <w:color w:val="1D5782"/>
                              <w:sz w:val="18"/>
                              <w:szCs w:val="21"/>
                            </w:rPr>
                            <w:t>Emily.Forinash@FloridaDEP.gov</w:t>
                          </w:r>
                        </w:hyperlink>
                        <w:r w:rsidRPr="00396935">
                          <w:rPr>
                            <w:rFonts w:ascii="Arial" w:hAnsi="Arial" w:cs="Arial"/>
                            <w:color w:val="323232"/>
                            <w:sz w:val="18"/>
                            <w:szCs w:val="21"/>
                          </w:rPr>
                          <w:t xml:space="preserve">. After this initial selection period, DWRA will continue to accept proposals throughout the year and select projects for funding periodically. Learn more about DWRA's </w:t>
                        </w:r>
                        <w:hyperlink r:id="rId10" w:tgtFrame="_blank" w:history="1">
                          <w:r w:rsidRPr="00396935">
                            <w:rPr>
                              <w:rStyle w:val="Hyperlink"/>
                              <w:rFonts w:ascii="Arial" w:hAnsi="Arial" w:cs="Arial"/>
                              <w:color w:val="1D5782"/>
                              <w:sz w:val="18"/>
                              <w:szCs w:val="21"/>
                            </w:rPr>
                            <w:t>Nonpoint Source Funds</w:t>
                          </w:r>
                        </w:hyperlink>
                        <w:r w:rsidRPr="00396935">
                          <w:rPr>
                            <w:rFonts w:ascii="Arial" w:hAnsi="Arial" w:cs="Arial"/>
                            <w:color w:val="323232"/>
                            <w:sz w:val="18"/>
                            <w:szCs w:val="21"/>
                          </w:rPr>
                          <w:t>.</w:t>
                        </w:r>
                      </w:p>
                      <w:p w:rsidR="00396935" w:rsidRPr="00396935" w:rsidRDefault="00396935">
                        <w:pPr>
                          <w:pStyle w:val="Heading2"/>
                          <w:spacing w:before="75" w:beforeAutospacing="0" w:after="120" w:afterAutospacing="0"/>
                          <w:jc w:val="center"/>
                          <w:rPr>
                            <w:rFonts w:ascii="Arial" w:eastAsia="Times New Roman" w:hAnsi="Arial" w:cs="Arial"/>
                            <w:color w:val="000000"/>
                            <w:sz w:val="16"/>
                            <w:szCs w:val="20"/>
                          </w:rPr>
                        </w:pPr>
                        <w:hyperlink r:id="rId11" w:tgtFrame="_blank" w:tooltip="Division of Water Restoration Assistance" w:history="1">
                          <w:r w:rsidRPr="00396935">
                            <w:rPr>
                              <w:rStyle w:val="Hyperlink"/>
                              <w:rFonts w:ascii="Arial" w:eastAsia="Times New Roman" w:hAnsi="Arial" w:cs="Arial"/>
                              <w:color w:val="1D5782"/>
                              <w:sz w:val="16"/>
                              <w:szCs w:val="20"/>
                            </w:rPr>
                            <w:t>Division of Water Restoration Assistance </w:t>
                          </w:r>
                        </w:hyperlink>
                      </w:p>
                      <w:p w:rsidR="00396935" w:rsidRPr="00396935" w:rsidRDefault="00396935">
                        <w:pPr>
                          <w:pStyle w:val="Heading2"/>
                          <w:spacing w:before="75" w:beforeAutospacing="0" w:after="120" w:afterAutospacing="0"/>
                          <w:jc w:val="center"/>
                          <w:rPr>
                            <w:rFonts w:ascii="Arial" w:eastAsia="Times New Roman" w:hAnsi="Arial" w:cs="Arial"/>
                            <w:color w:val="000000"/>
                            <w:sz w:val="16"/>
                            <w:szCs w:val="20"/>
                          </w:rPr>
                        </w:pPr>
                        <w:r w:rsidRPr="00396935">
                          <w:rPr>
                            <w:rStyle w:val="Strong"/>
                            <w:rFonts w:ascii="Arial" w:eastAsia="Times New Roman" w:hAnsi="Arial" w:cs="Arial"/>
                            <w:b/>
                            <w:bCs/>
                            <w:color w:val="000000"/>
                            <w:sz w:val="16"/>
                            <w:szCs w:val="20"/>
                          </w:rPr>
                          <w:t>Nonpoint Source Management Program</w:t>
                        </w:r>
                      </w:p>
                      <w:p w:rsidR="00396935" w:rsidRPr="00396935" w:rsidRDefault="00396935">
                        <w:pPr>
                          <w:pStyle w:val="Heading2"/>
                          <w:spacing w:before="75" w:beforeAutospacing="0" w:after="120" w:afterAutospacing="0"/>
                          <w:jc w:val="center"/>
                          <w:rPr>
                            <w:rFonts w:ascii="Arial" w:eastAsia="Times New Roman" w:hAnsi="Arial" w:cs="Arial"/>
                            <w:color w:val="000000"/>
                            <w:sz w:val="16"/>
                            <w:szCs w:val="20"/>
                          </w:rPr>
                        </w:pPr>
                        <w:r w:rsidRPr="00396935">
                          <w:rPr>
                            <w:rFonts w:ascii="Arial" w:eastAsia="Times New Roman" w:hAnsi="Arial" w:cs="Arial"/>
                            <w:color w:val="000000"/>
                            <w:sz w:val="16"/>
                            <w:szCs w:val="20"/>
                          </w:rPr>
                          <w:t>3900 Commonwealth Blvd., MS 3570</w:t>
                        </w:r>
                      </w:p>
                      <w:p w:rsidR="00396935" w:rsidRDefault="00396935">
                        <w:pPr>
                          <w:pStyle w:val="Heading2"/>
                          <w:spacing w:before="75" w:beforeAutospacing="0" w:after="120" w:afterAutospacing="0"/>
                          <w:jc w:val="center"/>
                          <w:rPr>
                            <w:rFonts w:ascii="Arial" w:eastAsia="Times New Roman" w:hAnsi="Arial" w:cs="Arial"/>
                            <w:color w:val="000000"/>
                            <w:sz w:val="20"/>
                            <w:szCs w:val="20"/>
                          </w:rPr>
                        </w:pPr>
                        <w:r w:rsidRPr="00396935">
                          <w:rPr>
                            <w:rFonts w:ascii="Arial" w:eastAsia="Times New Roman" w:hAnsi="Arial" w:cs="Arial"/>
                            <w:color w:val="000000"/>
                            <w:sz w:val="16"/>
                            <w:szCs w:val="20"/>
                          </w:rPr>
                          <w:t>Tallahassee, FL 32399-3000; 850-245-2836</w:t>
                        </w:r>
                      </w:p>
                    </w:tc>
                  </w:tr>
                  <w:tr w:rsidR="00396935" w:rsidTr="00396935">
                    <w:trPr>
                      <w:trHeight w:val="810"/>
                      <w:jc w:val="center"/>
                    </w:trPr>
                    <w:tc>
                      <w:tcPr>
                        <w:tcW w:w="0" w:type="auto"/>
                        <w:shd w:val="clear" w:color="auto" w:fill="E4E8EB"/>
                        <w:hideMark/>
                      </w:tcPr>
                      <w:p w:rsidR="00396935" w:rsidRDefault="00396935">
                        <w:pPr>
                          <w:rPr>
                            <w:rFonts w:ascii="Arial" w:eastAsia="Times New Roman" w:hAnsi="Arial" w:cs="Arial"/>
                            <w:color w:val="000000"/>
                            <w:sz w:val="20"/>
                            <w:szCs w:val="20"/>
                          </w:rPr>
                        </w:pPr>
                      </w:p>
                    </w:tc>
                  </w:tr>
                </w:tbl>
                <w:p w:rsidR="00396935" w:rsidRDefault="00396935" w:rsidP="00396935">
                  <w:pPr>
                    <w:ind w:left="1080"/>
                    <w:jc w:val="center"/>
                    <w:rPr>
                      <w:rFonts w:eastAsia="Times New Roman"/>
                      <w:sz w:val="20"/>
                      <w:szCs w:val="20"/>
                    </w:rPr>
                  </w:pPr>
                </w:p>
              </w:tc>
            </w:tr>
          </w:tbl>
          <w:p w:rsidR="00396935" w:rsidRDefault="00396935">
            <w:pPr>
              <w:rPr>
                <w:rFonts w:eastAsia="Times New Roman"/>
              </w:rPr>
            </w:pPr>
            <w:bookmarkStart w:id="0" w:name="_GoBack"/>
            <w:bookmarkEnd w:id="0"/>
          </w:p>
        </w:tc>
      </w:tr>
    </w:tbl>
    <w:p w:rsidR="00401D5D" w:rsidRDefault="00401D5D"/>
    <w:sectPr w:rsidR="00401D5D" w:rsidSect="00396935">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545C5"/>
    <w:multiLevelType w:val="multilevel"/>
    <w:tmpl w:val="9CCA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E115E"/>
    <w:multiLevelType w:val="multilevel"/>
    <w:tmpl w:val="E40AD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35"/>
    <w:rsid w:val="00396935"/>
    <w:rsid w:val="0040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5A262-2487-43EF-8757-3835E9E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3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9693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969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3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96935"/>
    <w:rPr>
      <w:rFonts w:ascii="Times New Roman" w:hAnsi="Times New Roman" w:cs="Times New Roman"/>
      <w:b/>
      <w:bCs/>
      <w:sz w:val="36"/>
      <w:szCs w:val="36"/>
    </w:rPr>
  </w:style>
  <w:style w:type="character" w:styleId="Hyperlink">
    <w:name w:val="Hyperlink"/>
    <w:basedOn w:val="DefaultParagraphFont"/>
    <w:uiPriority w:val="99"/>
    <w:semiHidden/>
    <w:unhideWhenUsed/>
    <w:rsid w:val="00396935"/>
    <w:rPr>
      <w:color w:val="0000FF"/>
      <w:u w:val="single"/>
    </w:rPr>
  </w:style>
  <w:style w:type="paragraph" w:styleId="NormalWeb">
    <w:name w:val="Normal (Web)"/>
    <w:basedOn w:val="Normal"/>
    <w:uiPriority w:val="99"/>
    <w:unhideWhenUsed/>
    <w:rsid w:val="00396935"/>
    <w:pPr>
      <w:spacing w:before="100" w:beforeAutospacing="1" w:after="100" w:afterAutospacing="1"/>
    </w:pPr>
  </w:style>
  <w:style w:type="character" w:styleId="Strong">
    <w:name w:val="Strong"/>
    <w:basedOn w:val="DefaultParagraphFont"/>
    <w:uiPriority w:val="22"/>
    <w:qFormat/>
    <w:rsid w:val="00396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ExMDYuMzAwMjM1MjEiLCJ1cmwiOiJodHRwczovL2Zsb3JpZGFkZXAuZ292L3dyYS8zMTktdG1kbC1mdW5kL2NvbnRlbnQvbm9ucG9pbnQtc291cmNlLW1hbmFnZW1lbnQtcHJvZ3JhbS1jb250YWN0cyJ9.mbceFhzbtv1LztsqnYfZCpeVuPrxF7ErRlRqSSYpqa4/s/11940888/br/8810553316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ily.Forinash@FloridaDEP.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ExMDYuMzAwMjM1MjEiLCJ1cmwiOiJodHRwczovL2NvbnRlbnQuZ292ZGVsaXZlcnkuY29tL2F0dGFjaG1lbnRzL0ZMREVQLzIwMjAvMTEvMDQvZmlsZV9hdHRhY2htZW50cy8xNTkxNDg3L0RXUkElMjBOUFMlMjBQcm9wb3NhbCUyMGZvciUyMEdyYW50JTIwRnVuZGluZ191cGRhdGVkLmRvY3gifQ.icBbQNoL0hRmp-iwHUgk_5DA8if6GC3LR4hIuZdmisA/s/11940888/br/88105533169-l" TargetMode="External"/><Relationship Id="rId11" Type="http://schemas.openxmlformats.org/officeDocument/2006/relationships/hyperlink" Target="https://lnks.gd/l/eyJhbGciOiJIUzI1NiJ9.eyJidWxsZXRpbl9saW5rX2lkIjoxMDMsInVyaSI6ImJwMjpjbGljayIsImJ1bGxldGluX2lkIjoiMjAyMDExMDYuMzAwMjM1MjEiLCJ1cmwiOiJodHRwczovL2Zsb3JpZGFkZXAuZ292L1dSQSJ9.wwCGE5qEj3wpfuXfvqvR5jH1L2ABeVHj-jhoGWTfDuQ/s/11940888/br/88105533169-l" TargetMode="External"/><Relationship Id="rId5" Type="http://schemas.openxmlformats.org/officeDocument/2006/relationships/image" Target="media/image1.png"/><Relationship Id="rId10" Type="http://schemas.openxmlformats.org/officeDocument/2006/relationships/hyperlink" Target="https://lnks.gd/l/eyJhbGciOiJIUzI1NiJ9.eyJidWxsZXRpbl9saW5rX2lkIjoxMDIsInVyaSI6ImJwMjpjbGljayIsImJ1bGxldGluX2lkIjoiMjAyMDExMDYuMzAwMjM1MjEiLCJ1cmwiOiJodHRwczovL2Zsb3JpZGFkZXAuZ292L3dyYS8zMTktdG1kbC1mdW5kIn0.4vbMHrdtpfdQ3HpldUQ7dFyDssRsM59hjoBW7ceBxUU/s/11940888/br/88105533169-l" TargetMode="External"/><Relationship Id="rId4" Type="http://schemas.openxmlformats.org/officeDocument/2006/relationships/webSettings" Target="webSettings.xml"/><Relationship Id="rId9" Type="http://schemas.openxmlformats.org/officeDocument/2006/relationships/hyperlink" Target="mailto:Emily.Forinash@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Cutshaw</dc:creator>
  <cp:keywords/>
  <dc:description/>
  <cp:lastModifiedBy>Becky Cutshaw</cp:lastModifiedBy>
  <cp:revision>1</cp:revision>
  <dcterms:created xsi:type="dcterms:W3CDTF">2020-11-06T21:41:00Z</dcterms:created>
  <dcterms:modified xsi:type="dcterms:W3CDTF">2020-11-06T21:46:00Z</dcterms:modified>
</cp:coreProperties>
</file>