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21064" w14:textId="77777777" w:rsidR="00107388" w:rsidRPr="00123ED5" w:rsidRDefault="00107388" w:rsidP="00107388">
      <w:pPr>
        <w:rPr>
          <w:b/>
          <w:bCs/>
        </w:rPr>
      </w:pPr>
      <w:r w:rsidRPr="00123ED5">
        <w:rPr>
          <w:b/>
          <w:bCs/>
        </w:rPr>
        <w:t>Private Equity &amp; the Blue Ocean: Finding Opportunity Beyond the Horizon</w:t>
      </w:r>
    </w:p>
    <w:p w14:paraId="41DBCC3B" w14:textId="77777777" w:rsidR="00107388" w:rsidRPr="00BB7F73" w:rsidRDefault="00107388" w:rsidP="00107388">
      <w:r w:rsidRPr="00BB7F73">
        <w:t>Private equity is a market defined by complexity, but it is also full of overlooked opportunities. That was the theme of our Blue Ocean panel, which brought together</w:t>
      </w:r>
      <w:r>
        <w:t xml:space="preserve"> </w:t>
      </w:r>
      <w:r w:rsidRPr="00BB7F73">
        <w:rPr>
          <w:b/>
          <w:bCs/>
        </w:rPr>
        <w:t>Jonathan Tubiana, Managing Director at Abbott Capital</w:t>
      </w:r>
      <w:r w:rsidRPr="00BB7F73">
        <w:t xml:space="preserve">, and </w:t>
      </w:r>
      <w:r w:rsidRPr="00BB7F73">
        <w:rPr>
          <w:b/>
          <w:bCs/>
        </w:rPr>
        <w:t xml:space="preserve">Jeffrey Heisler, Managing Director at </w:t>
      </w:r>
      <w:proofErr w:type="spellStart"/>
      <w:r w:rsidRPr="00BB7F73">
        <w:rPr>
          <w:b/>
          <w:bCs/>
        </w:rPr>
        <w:t>TwinFocus</w:t>
      </w:r>
      <w:proofErr w:type="spellEnd"/>
      <w:r w:rsidRPr="00BB7F73">
        <w:t xml:space="preserve">, with </w:t>
      </w:r>
      <w:r w:rsidRPr="00BB7F73">
        <w:rPr>
          <w:b/>
          <w:bCs/>
        </w:rPr>
        <w:t xml:space="preserve">Dale O’Connell, </w:t>
      </w:r>
      <w:r>
        <w:rPr>
          <w:b/>
          <w:bCs/>
        </w:rPr>
        <w:t>Managing Director</w:t>
      </w:r>
      <w:r w:rsidRPr="00BB7F73">
        <w:rPr>
          <w:b/>
          <w:bCs/>
        </w:rPr>
        <w:t xml:space="preserve"> at Palladium Equity Partners</w:t>
      </w:r>
      <w:r w:rsidRPr="00BB7F73">
        <w:t>, moderating.</w:t>
      </w:r>
    </w:p>
    <w:p w14:paraId="2836CFAC" w14:textId="77777777" w:rsidR="00107388" w:rsidRPr="00BB7F73" w:rsidRDefault="00107388" w:rsidP="00107388">
      <w:r w:rsidRPr="00BB7F73">
        <w:t xml:space="preserve">The conversation began with a focus on fragmentation in private markets. Many strong firms with exceptional teams and performance are not widely marketed, which means attractive pools of capital remain hidden. For investors willing to build relationships, this creates a path to </w:t>
      </w:r>
      <w:proofErr w:type="gramStart"/>
      <w:r w:rsidRPr="00BB7F73">
        <w:t>discover</w:t>
      </w:r>
      <w:proofErr w:type="gramEnd"/>
      <w:r w:rsidRPr="00BB7F73">
        <w:t xml:space="preserve"> small buyouts, co-investments, and secondaries that others may never see. </w:t>
      </w:r>
      <w:r>
        <w:t>O</w:t>
      </w:r>
      <w:r w:rsidRPr="00BB7F73">
        <w:t>ptionality and liquidity are critical for being more opportunistic in seizing these moments.</w:t>
      </w:r>
    </w:p>
    <w:p w14:paraId="59C9C3F6" w14:textId="77777777" w:rsidR="00107388" w:rsidRPr="00BB7F73" w:rsidRDefault="00107388" w:rsidP="00107388">
      <w:r w:rsidRPr="00BB7F73">
        <w:t>Alignment was another central theme. Stronger alignment between GPs and LPs, as well as among LPs within a fund, is essential for performance and governance. The panel also addressed the needs of high-net-worth investors and family offices, noting that because their capital is taxable, managers must consider strategies that incorporate tax implications alongside returns.</w:t>
      </w:r>
    </w:p>
    <w:p w14:paraId="2C6FA356" w14:textId="77777777" w:rsidR="00107388" w:rsidRPr="00BB7F73" w:rsidRDefault="00107388" w:rsidP="00107388">
      <w:r w:rsidRPr="00BB7F73">
        <w:t>When looking at opportunities, small buyouts, healthcare, climate technology, and artificial intelligence</w:t>
      </w:r>
      <w:r>
        <w:t xml:space="preserve"> stand out</w:t>
      </w:r>
      <w:r w:rsidRPr="00BB7F73">
        <w:t xml:space="preserve"> as areas with long-term potential. Yet the call was for discipline. Keeping investment criteria simple, maintaining process, and resisting the temptation of trend-chasing were framed as the keys to navigating the current environment.</w:t>
      </w:r>
    </w:p>
    <w:p w14:paraId="51D9F475" w14:textId="77777777" w:rsidR="00107388" w:rsidRDefault="00107388" w:rsidP="00107388">
      <w:r w:rsidRPr="0009523B">
        <w:t>Looking ahead, a “blue ocean strategy” in private equity over the next decade will likely center on steady, incremental improvements across multiple facets of the market. Greater control of liquidity will enable investors to remain agile, while primary commitments will continue to play a vital role in deepening GP relationships and generating deal flow that extends into co-investments and secondaries. Secondaries are also poised to expand, offering both optionality and liquidity while maintaining attractive long-term value.</w:t>
      </w:r>
    </w:p>
    <w:p w14:paraId="3183FAA8" w14:textId="77777777" w:rsidR="00107388" w:rsidRDefault="00107388" w:rsidP="00107388">
      <w:r w:rsidRPr="00BB7F73">
        <w:t>The closing message was clear: private equity’s future blue ocean will not come from chasing the obvious, but from steady improvements, disciplined investing, and building the relationships that unlock hidden currents of opportunity.</w:t>
      </w:r>
    </w:p>
    <w:p w14:paraId="2F33C3D1" w14:textId="77777777" w:rsidR="00107388" w:rsidRDefault="00107388" w:rsidP="00107388"/>
    <w:p w14:paraId="6FEBF906" w14:textId="77777777" w:rsidR="00107388" w:rsidRDefault="00107388" w:rsidP="00107388">
      <w:r>
        <w:br/>
      </w:r>
    </w:p>
    <w:p w14:paraId="684F78EF" w14:textId="77777777" w:rsidR="00631057" w:rsidRDefault="00631057"/>
    <w:sectPr w:rsidR="006310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388"/>
    <w:rsid w:val="00004146"/>
    <w:rsid w:val="00107388"/>
    <w:rsid w:val="003902C7"/>
    <w:rsid w:val="006310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FEE16"/>
  <w15:chartTrackingRefBased/>
  <w15:docId w15:val="{52313D46-61A3-423C-8E94-AC3CBC508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388"/>
  </w:style>
  <w:style w:type="paragraph" w:styleId="Heading1">
    <w:name w:val="heading 1"/>
    <w:basedOn w:val="Normal"/>
    <w:next w:val="Normal"/>
    <w:link w:val="Heading1Char"/>
    <w:uiPriority w:val="9"/>
    <w:qFormat/>
    <w:rsid w:val="001073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73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73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73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73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73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73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73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73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3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73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73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73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73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73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73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73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7388"/>
    <w:rPr>
      <w:rFonts w:eastAsiaTheme="majorEastAsia" w:cstheme="majorBidi"/>
      <w:color w:val="272727" w:themeColor="text1" w:themeTint="D8"/>
    </w:rPr>
  </w:style>
  <w:style w:type="paragraph" w:styleId="Title">
    <w:name w:val="Title"/>
    <w:basedOn w:val="Normal"/>
    <w:next w:val="Normal"/>
    <w:link w:val="TitleChar"/>
    <w:uiPriority w:val="10"/>
    <w:qFormat/>
    <w:rsid w:val="001073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73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73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73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7388"/>
    <w:pPr>
      <w:spacing w:before="160"/>
      <w:jc w:val="center"/>
    </w:pPr>
    <w:rPr>
      <w:i/>
      <w:iCs/>
      <w:color w:val="404040" w:themeColor="text1" w:themeTint="BF"/>
    </w:rPr>
  </w:style>
  <w:style w:type="character" w:customStyle="1" w:styleId="QuoteChar">
    <w:name w:val="Quote Char"/>
    <w:basedOn w:val="DefaultParagraphFont"/>
    <w:link w:val="Quote"/>
    <w:uiPriority w:val="29"/>
    <w:rsid w:val="00107388"/>
    <w:rPr>
      <w:i/>
      <w:iCs/>
      <w:color w:val="404040" w:themeColor="text1" w:themeTint="BF"/>
    </w:rPr>
  </w:style>
  <w:style w:type="paragraph" w:styleId="ListParagraph">
    <w:name w:val="List Paragraph"/>
    <w:basedOn w:val="Normal"/>
    <w:uiPriority w:val="34"/>
    <w:qFormat/>
    <w:rsid w:val="00107388"/>
    <w:pPr>
      <w:ind w:left="720"/>
      <w:contextualSpacing/>
    </w:pPr>
  </w:style>
  <w:style w:type="character" w:styleId="IntenseEmphasis">
    <w:name w:val="Intense Emphasis"/>
    <w:basedOn w:val="DefaultParagraphFont"/>
    <w:uiPriority w:val="21"/>
    <w:qFormat/>
    <w:rsid w:val="00107388"/>
    <w:rPr>
      <w:i/>
      <w:iCs/>
      <w:color w:val="0F4761" w:themeColor="accent1" w:themeShade="BF"/>
    </w:rPr>
  </w:style>
  <w:style w:type="paragraph" w:styleId="IntenseQuote">
    <w:name w:val="Intense Quote"/>
    <w:basedOn w:val="Normal"/>
    <w:next w:val="Normal"/>
    <w:link w:val="IntenseQuoteChar"/>
    <w:uiPriority w:val="30"/>
    <w:qFormat/>
    <w:rsid w:val="001073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7388"/>
    <w:rPr>
      <w:i/>
      <w:iCs/>
      <w:color w:val="0F4761" w:themeColor="accent1" w:themeShade="BF"/>
    </w:rPr>
  </w:style>
  <w:style w:type="character" w:styleId="IntenseReference">
    <w:name w:val="Intense Reference"/>
    <w:basedOn w:val="DefaultParagraphFont"/>
    <w:uiPriority w:val="32"/>
    <w:qFormat/>
    <w:rsid w:val="001073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337</Words>
  <Characters>2038</Characters>
  <Application>Microsoft Office Word</Application>
  <DocSecurity>0</DocSecurity>
  <Lines>32</Lines>
  <Paragraphs>7</Paragraphs>
  <ScaleCrop>false</ScaleCrop>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Liu</dc:creator>
  <cp:keywords/>
  <dc:description/>
  <cp:lastModifiedBy>Jennifer Liu</cp:lastModifiedBy>
  <cp:revision>1</cp:revision>
  <dcterms:created xsi:type="dcterms:W3CDTF">2025-10-05T13:10:00Z</dcterms:created>
  <dcterms:modified xsi:type="dcterms:W3CDTF">2025-10-05T13:11:00Z</dcterms:modified>
</cp:coreProperties>
</file>