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A1A00" w14:textId="77777777" w:rsidR="000A3513" w:rsidRPr="000349C3" w:rsidRDefault="000A3513" w:rsidP="000A3513">
      <w:pPr>
        <w:rPr>
          <w:b/>
          <w:bCs/>
        </w:rPr>
      </w:pPr>
      <w:r w:rsidRPr="000349C3">
        <w:rPr>
          <w:b/>
          <w:bCs/>
        </w:rPr>
        <w:t>Emerging &amp; Diverse Manager Panel: Charting New Voyages in Asset Management</w:t>
      </w:r>
    </w:p>
    <w:p w14:paraId="5F143429" w14:textId="791E47D1" w:rsidR="000A3513" w:rsidRPr="000349C3" w:rsidRDefault="000A3513" w:rsidP="000A3513">
      <w:r w:rsidRPr="000349C3">
        <w:t xml:space="preserve">The next wave of opportunity in private markets may belong to emerging and diverse managers — those charting new courses across the fragmented and often overlooked edges of the investment landscape. The Blue Ocean panel featured </w:t>
      </w:r>
      <w:r w:rsidRPr="000349C3">
        <w:rPr>
          <w:b/>
          <w:bCs/>
        </w:rPr>
        <w:t>Aiyu Nicholson, Partner at StepStone Group</w:t>
      </w:r>
      <w:r w:rsidRPr="000349C3">
        <w:t xml:space="preserve">, and </w:t>
      </w:r>
      <w:r w:rsidRPr="000349C3">
        <w:rPr>
          <w:b/>
          <w:bCs/>
        </w:rPr>
        <w:t>Lance Zhou, Principal at Unigestion</w:t>
      </w:r>
      <w:r w:rsidRPr="000349C3">
        <w:t xml:space="preserve">, with </w:t>
      </w:r>
      <w:r w:rsidRPr="000349C3">
        <w:rPr>
          <w:b/>
          <w:bCs/>
        </w:rPr>
        <w:t xml:space="preserve">Katie Kuga Wenner, </w:t>
      </w:r>
      <w:r w:rsidR="00086FDA" w:rsidRPr="00086FDA">
        <w:rPr>
          <w:b/>
          <w:bCs/>
        </w:rPr>
        <w:t>Global Head of Business Development and Investor</w:t>
      </w:r>
      <w:r w:rsidR="00086FDA">
        <w:rPr>
          <w:b/>
          <w:bCs/>
        </w:rPr>
        <w:t xml:space="preserve"> </w:t>
      </w:r>
      <w:r w:rsidR="00832424">
        <w:rPr>
          <w:b/>
          <w:bCs/>
        </w:rPr>
        <w:t xml:space="preserve">Relations </w:t>
      </w:r>
      <w:r w:rsidRPr="000349C3">
        <w:rPr>
          <w:b/>
          <w:bCs/>
        </w:rPr>
        <w:t>at Terracotta Group</w:t>
      </w:r>
      <w:r w:rsidRPr="000349C3">
        <w:t>, moderating.</w:t>
      </w:r>
    </w:p>
    <w:p w14:paraId="2521F1A5" w14:textId="77777777" w:rsidR="000A3513" w:rsidRPr="000349C3" w:rsidRDefault="000A3513" w:rsidP="000A3513">
      <w:r w:rsidRPr="000349C3">
        <w:t>The discussion opened with a focus on the lower middle market, where enterprise values under $1 billion often yield the most compelling results. Deals in this range offer greater flexibility</w:t>
      </w:r>
      <w:r>
        <w:t xml:space="preserve"> and </w:t>
      </w:r>
      <w:r w:rsidRPr="000349C3">
        <w:t xml:space="preserve">broader exit options </w:t>
      </w:r>
      <w:r>
        <w:t>for both</w:t>
      </w:r>
      <w:r w:rsidRPr="000349C3">
        <w:t xml:space="preserve"> investors and managers. The panel highlighted the rise of GP-led continuation funds, particularly in the lower and middle market, as a fast-growing segment offering a “blue ocean” of opportunity. Real alpha, they noted, increasingly comes from differentiated sourcing and operational improvement rather than traditional financial engineering.</w:t>
      </w:r>
    </w:p>
    <w:p w14:paraId="22401E3C" w14:textId="77777777" w:rsidR="000A3513" w:rsidRPr="000349C3" w:rsidRDefault="000A3513" w:rsidP="000A3513">
      <w:r w:rsidRPr="00B77E8F">
        <w:t>Blending strategies across private market tools — fund investments, secondaries, and co-investments — helps create resilience and adaptability</w:t>
      </w:r>
      <w:r w:rsidRPr="000349C3">
        <w:t>. While larger funds continue to attract most institutional capital, smaller and more focused managers are better positioned to generate alpha through active management and deep industry engagement. Looking ahead, participants expect continued growth at the smaller end of the market as investors seek greater control and closer ties to value creation.</w:t>
      </w:r>
    </w:p>
    <w:p w14:paraId="10D4AEBA" w14:textId="77777777" w:rsidR="000A3513" w:rsidRPr="000349C3" w:rsidRDefault="000A3513" w:rsidP="000A3513">
      <w:r w:rsidRPr="000349C3">
        <w:t>The conversation also underscored the importance of strong alignment, disciplined underwriting, and thoughtful re-up decisions. Assessing whether key individuals within a fund remain motivated and aligned was identified as critical for long-term success. Emerging managers, especially first-time funds, were noted as requiring both strategic vision and resilience, given their longer fund lifecycles and limited liquidity.</w:t>
      </w:r>
    </w:p>
    <w:p w14:paraId="4A3FE19F" w14:textId="77777777" w:rsidR="000A3513" w:rsidRPr="000349C3" w:rsidRDefault="000A3513" w:rsidP="000A3513">
      <w:r w:rsidRPr="000349C3">
        <w:t xml:space="preserve">When it comes to strategy, the panel returned to fundamentals — paying reasonable prices, focusing on free cash flow, and backing managers who create value through operational excellence. Diversity of perspective </w:t>
      </w:r>
      <w:r>
        <w:t xml:space="preserve">is also </w:t>
      </w:r>
      <w:r w:rsidRPr="000349C3">
        <w:t>a performance driver, with many of today’s most innovative managers coming from outside traditional private equity pathways.</w:t>
      </w:r>
    </w:p>
    <w:p w14:paraId="0FBF789E" w14:textId="77777777" w:rsidR="000A3513" w:rsidRDefault="000A3513" w:rsidP="000A3513">
      <w:r w:rsidRPr="000349C3">
        <w:t xml:space="preserve">The discussion closed with a navigational message for the next generation of </w:t>
      </w:r>
      <w:r>
        <w:t>managers</w:t>
      </w:r>
      <w:r w:rsidRPr="000349C3">
        <w:t xml:space="preserve">: show up, stay persistent, and keep building relationships. Success often depends on a few key champions who believe in your potential and help guide the course forward. </w:t>
      </w:r>
    </w:p>
    <w:p w14:paraId="3F82EF6F" w14:textId="77777777" w:rsidR="000A3513" w:rsidRDefault="000A3513" w:rsidP="000A3513"/>
    <w:p w14:paraId="6DCC4071" w14:textId="77777777" w:rsidR="00631057" w:rsidRDefault="00631057"/>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13"/>
    <w:rsid w:val="00004146"/>
    <w:rsid w:val="00086FDA"/>
    <w:rsid w:val="000A3513"/>
    <w:rsid w:val="003902C7"/>
    <w:rsid w:val="00631057"/>
    <w:rsid w:val="00832424"/>
    <w:rsid w:val="00D42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2C89"/>
  <w15:chartTrackingRefBased/>
  <w15:docId w15:val="{691C96D2-AD19-4730-9640-C2FDEEE7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513"/>
  </w:style>
  <w:style w:type="paragraph" w:styleId="Heading1">
    <w:name w:val="heading 1"/>
    <w:basedOn w:val="Normal"/>
    <w:next w:val="Normal"/>
    <w:link w:val="Heading1Char"/>
    <w:uiPriority w:val="9"/>
    <w:qFormat/>
    <w:rsid w:val="000A3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513"/>
    <w:rPr>
      <w:rFonts w:eastAsiaTheme="majorEastAsia" w:cstheme="majorBidi"/>
      <w:color w:val="272727" w:themeColor="text1" w:themeTint="D8"/>
    </w:rPr>
  </w:style>
  <w:style w:type="paragraph" w:styleId="Title">
    <w:name w:val="Title"/>
    <w:basedOn w:val="Normal"/>
    <w:next w:val="Normal"/>
    <w:link w:val="TitleChar"/>
    <w:uiPriority w:val="10"/>
    <w:qFormat/>
    <w:rsid w:val="000A3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513"/>
    <w:pPr>
      <w:spacing w:before="160"/>
      <w:jc w:val="center"/>
    </w:pPr>
    <w:rPr>
      <w:i/>
      <w:iCs/>
      <w:color w:val="404040" w:themeColor="text1" w:themeTint="BF"/>
    </w:rPr>
  </w:style>
  <w:style w:type="character" w:customStyle="1" w:styleId="QuoteChar">
    <w:name w:val="Quote Char"/>
    <w:basedOn w:val="DefaultParagraphFont"/>
    <w:link w:val="Quote"/>
    <w:uiPriority w:val="29"/>
    <w:rsid w:val="000A3513"/>
    <w:rPr>
      <w:i/>
      <w:iCs/>
      <w:color w:val="404040" w:themeColor="text1" w:themeTint="BF"/>
    </w:rPr>
  </w:style>
  <w:style w:type="paragraph" w:styleId="ListParagraph">
    <w:name w:val="List Paragraph"/>
    <w:basedOn w:val="Normal"/>
    <w:uiPriority w:val="34"/>
    <w:qFormat/>
    <w:rsid w:val="000A3513"/>
    <w:pPr>
      <w:ind w:left="720"/>
      <w:contextualSpacing/>
    </w:pPr>
  </w:style>
  <w:style w:type="character" w:styleId="IntenseEmphasis">
    <w:name w:val="Intense Emphasis"/>
    <w:basedOn w:val="DefaultParagraphFont"/>
    <w:uiPriority w:val="21"/>
    <w:qFormat/>
    <w:rsid w:val="000A3513"/>
    <w:rPr>
      <w:i/>
      <w:iCs/>
      <w:color w:val="0F4761" w:themeColor="accent1" w:themeShade="BF"/>
    </w:rPr>
  </w:style>
  <w:style w:type="paragraph" w:styleId="IntenseQuote">
    <w:name w:val="Intense Quote"/>
    <w:basedOn w:val="Normal"/>
    <w:next w:val="Normal"/>
    <w:link w:val="IntenseQuoteChar"/>
    <w:uiPriority w:val="30"/>
    <w:qFormat/>
    <w:rsid w:val="000A3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513"/>
    <w:rPr>
      <w:i/>
      <w:iCs/>
      <w:color w:val="0F4761" w:themeColor="accent1" w:themeShade="BF"/>
    </w:rPr>
  </w:style>
  <w:style w:type="character" w:styleId="IntenseReference">
    <w:name w:val="Intense Reference"/>
    <w:basedOn w:val="DefaultParagraphFont"/>
    <w:uiPriority w:val="32"/>
    <w:qFormat/>
    <w:rsid w:val="000A35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3</cp:revision>
  <dcterms:created xsi:type="dcterms:W3CDTF">2025-10-05T13:13:00Z</dcterms:created>
  <dcterms:modified xsi:type="dcterms:W3CDTF">2025-10-06T16:02:00Z</dcterms:modified>
</cp:coreProperties>
</file>