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27B552" w14:textId="77777777" w:rsidR="00A60BDF" w:rsidRPr="00BA252A" w:rsidRDefault="00A60BDF" w:rsidP="00A60BDF">
      <w:pPr>
        <w:rPr>
          <w:b/>
          <w:bCs/>
        </w:rPr>
      </w:pPr>
      <w:r w:rsidRPr="00BA252A">
        <w:rPr>
          <w:b/>
          <w:bCs/>
        </w:rPr>
        <w:t>Deep Currents: Navigating the Blue Ocean of Private Credit</w:t>
      </w:r>
    </w:p>
    <w:p w14:paraId="6F63F88E" w14:textId="77777777" w:rsidR="00A60BDF" w:rsidRPr="00BA252A" w:rsidRDefault="00A60BDF" w:rsidP="00A60BDF">
      <w:r w:rsidRPr="00BA252A">
        <w:t xml:space="preserve">As investors search for stability and yield beyond traditional fixed income, private credit has become one of the fastest-growing asset classes. The Blue Ocean panel featured </w:t>
      </w:r>
      <w:r w:rsidRPr="00BA252A">
        <w:rPr>
          <w:b/>
          <w:bCs/>
        </w:rPr>
        <w:t>Francis Griffin, Senior Vice President at Callan</w:t>
      </w:r>
      <w:r w:rsidRPr="00BA252A">
        <w:t xml:space="preserve">, and </w:t>
      </w:r>
      <w:r w:rsidRPr="00BA252A">
        <w:rPr>
          <w:b/>
          <w:bCs/>
        </w:rPr>
        <w:t>Karen Mair, Managing Director at Attucks Asset Management</w:t>
      </w:r>
      <w:r w:rsidRPr="00BA252A">
        <w:t xml:space="preserve">, with </w:t>
      </w:r>
      <w:r w:rsidRPr="00BA252A">
        <w:rPr>
          <w:b/>
          <w:bCs/>
        </w:rPr>
        <w:t>Pranjul Srivastava, Managing Director at Edelweiss</w:t>
      </w:r>
      <w:r w:rsidRPr="00BA252A">
        <w:t>, moderating.</w:t>
      </w:r>
    </w:p>
    <w:p w14:paraId="694363C2" w14:textId="77777777" w:rsidR="00A60BDF" w:rsidRPr="00BA252A" w:rsidRDefault="00A60BDF" w:rsidP="00A60BDF">
      <w:r w:rsidRPr="00BA252A">
        <w:t>The discussion explored how emerging managers are uncovering opportunities in areas often overlooked by larger institutions. Many small and community banks are offloading assets as lending becomes less capital efficient, creating space for smaller, more flexible managers to step in. These managers, many of whom built their careers at larger firms, are now able to pursue risk–reward opportunities they once had to pass up</w:t>
      </w:r>
      <w:r>
        <w:t xml:space="preserve">, </w:t>
      </w:r>
      <w:r w:rsidRPr="00BA252A">
        <w:t>often being the only bidders on complex or underserved loans.</w:t>
      </w:r>
    </w:p>
    <w:p w14:paraId="5956F333" w14:textId="77777777" w:rsidR="00A60BDF" w:rsidRPr="00BA252A" w:rsidRDefault="00A60BDF" w:rsidP="00A60BDF">
      <w:r>
        <w:t>P</w:t>
      </w:r>
      <w:r w:rsidRPr="00BA252A">
        <w:t>rivate credit should be treated as a long-term program rather than a short-term trade. Success requires discipline, a thoughtful response to changing conditions, and alignment with client risk tolerance. Investors are increasingly drawn to private credit for diversification, particularly through shorter-duration and asset-based lending strategies that provide consistent, repeatable returns.</w:t>
      </w:r>
    </w:p>
    <w:p w14:paraId="77BCD0AD" w14:textId="77777777" w:rsidR="00A60BDF" w:rsidRPr="00BA252A" w:rsidRDefault="00A60BDF" w:rsidP="00A60BDF">
      <w:r w:rsidRPr="00BA252A">
        <w:t xml:space="preserve">The conversation also highlighted the expanding global landscape. Direct lending and asset-based opportunities are growing in Asia, Europe, and the Middle East, with yields that often exceed those in the United States. Australia remains comparable to U.S. returns, while select Asian markets offer spreads 200 to 400 basis points higher. </w:t>
      </w:r>
      <w:r>
        <w:t>F</w:t>
      </w:r>
      <w:r w:rsidRPr="00BA252A">
        <w:t>lexible and non-dilutive capital structures</w:t>
      </w:r>
      <w:r>
        <w:t>,</w:t>
      </w:r>
      <w:r w:rsidRPr="00BA252A">
        <w:t xml:space="preserve"> including fintech platforms and specialty finance</w:t>
      </w:r>
      <w:r>
        <w:t xml:space="preserve">, are </w:t>
      </w:r>
      <w:r w:rsidRPr="00BA252A">
        <w:t>examples of how private credit continues to evolve from its distressed debt origins into a more dynamic, solution-oriented market.</w:t>
      </w:r>
    </w:p>
    <w:p w14:paraId="5D4204FD" w14:textId="219E854B" w:rsidR="00631057" w:rsidRDefault="00A60BDF" w:rsidP="00A60BDF">
      <w:r w:rsidRPr="00BA252A">
        <w:t>Looking ahead, private credit is projected to reach $2.6 trillion by 2029, fueled by increasing participation from retail, insurance, and defined-benefit investors. The rise of secondary strategies will also play a growing role in portfolio management. Through it all, emerging managers are leading with agility, creativity, and a disciplined approach to underwriting — proving that while private credit may be a smaller vessel, it continues to chart powerful new currents in global finance.</w:t>
      </w:r>
    </w:p>
    <w:sectPr w:rsidR="0063105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0BDF"/>
    <w:rsid w:val="00004146"/>
    <w:rsid w:val="003902C7"/>
    <w:rsid w:val="00631057"/>
    <w:rsid w:val="00A60B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56E92D"/>
  <w15:chartTrackingRefBased/>
  <w15:docId w15:val="{A970F8EB-92A4-4A99-99C1-92A61B4F0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0BDF"/>
  </w:style>
  <w:style w:type="paragraph" w:styleId="Heading1">
    <w:name w:val="heading 1"/>
    <w:basedOn w:val="Normal"/>
    <w:next w:val="Normal"/>
    <w:link w:val="Heading1Char"/>
    <w:uiPriority w:val="9"/>
    <w:qFormat/>
    <w:rsid w:val="00A60BD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60BD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60BD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60BD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60BD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60BD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60BD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60BD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60BD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0BD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60BD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60BD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60BD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60BD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60BD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60BD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60BD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60BDF"/>
    <w:rPr>
      <w:rFonts w:eastAsiaTheme="majorEastAsia" w:cstheme="majorBidi"/>
      <w:color w:val="272727" w:themeColor="text1" w:themeTint="D8"/>
    </w:rPr>
  </w:style>
  <w:style w:type="paragraph" w:styleId="Title">
    <w:name w:val="Title"/>
    <w:basedOn w:val="Normal"/>
    <w:next w:val="Normal"/>
    <w:link w:val="TitleChar"/>
    <w:uiPriority w:val="10"/>
    <w:qFormat/>
    <w:rsid w:val="00A60BD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60BD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60BD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60BD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60BDF"/>
    <w:pPr>
      <w:spacing w:before="160"/>
      <w:jc w:val="center"/>
    </w:pPr>
    <w:rPr>
      <w:i/>
      <w:iCs/>
      <w:color w:val="404040" w:themeColor="text1" w:themeTint="BF"/>
    </w:rPr>
  </w:style>
  <w:style w:type="character" w:customStyle="1" w:styleId="QuoteChar">
    <w:name w:val="Quote Char"/>
    <w:basedOn w:val="DefaultParagraphFont"/>
    <w:link w:val="Quote"/>
    <w:uiPriority w:val="29"/>
    <w:rsid w:val="00A60BDF"/>
    <w:rPr>
      <w:i/>
      <w:iCs/>
      <w:color w:val="404040" w:themeColor="text1" w:themeTint="BF"/>
    </w:rPr>
  </w:style>
  <w:style w:type="paragraph" w:styleId="ListParagraph">
    <w:name w:val="List Paragraph"/>
    <w:basedOn w:val="Normal"/>
    <w:uiPriority w:val="34"/>
    <w:qFormat/>
    <w:rsid w:val="00A60BDF"/>
    <w:pPr>
      <w:ind w:left="720"/>
      <w:contextualSpacing/>
    </w:pPr>
  </w:style>
  <w:style w:type="character" w:styleId="IntenseEmphasis">
    <w:name w:val="Intense Emphasis"/>
    <w:basedOn w:val="DefaultParagraphFont"/>
    <w:uiPriority w:val="21"/>
    <w:qFormat/>
    <w:rsid w:val="00A60BDF"/>
    <w:rPr>
      <w:i/>
      <w:iCs/>
      <w:color w:val="0F4761" w:themeColor="accent1" w:themeShade="BF"/>
    </w:rPr>
  </w:style>
  <w:style w:type="paragraph" w:styleId="IntenseQuote">
    <w:name w:val="Intense Quote"/>
    <w:basedOn w:val="Normal"/>
    <w:next w:val="Normal"/>
    <w:link w:val="IntenseQuoteChar"/>
    <w:uiPriority w:val="30"/>
    <w:qFormat/>
    <w:rsid w:val="00A60BD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60BDF"/>
    <w:rPr>
      <w:i/>
      <w:iCs/>
      <w:color w:val="0F4761" w:themeColor="accent1" w:themeShade="BF"/>
    </w:rPr>
  </w:style>
  <w:style w:type="character" w:styleId="IntenseReference">
    <w:name w:val="Intense Reference"/>
    <w:basedOn w:val="DefaultParagraphFont"/>
    <w:uiPriority w:val="32"/>
    <w:qFormat/>
    <w:rsid w:val="00A60BD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334</Words>
  <Characters>2026</Characters>
  <Application>Microsoft Office Word</Application>
  <DocSecurity>0</DocSecurity>
  <Lines>29</Lines>
  <Paragraphs>7</Paragraphs>
  <ScaleCrop>false</ScaleCrop>
  <Company/>
  <LinksUpToDate>false</LinksUpToDate>
  <CharactersWithSpaces>2353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Liu</dc:creator>
  <cp:keywords/>
  <dc:description/>
  <cp:lastModifiedBy>Jennifer Liu</cp:lastModifiedBy>
  <cp:revision>1</cp:revision>
  <dcterms:created xsi:type="dcterms:W3CDTF">2025-10-05T13:14:00Z</dcterms:created>
  <dcterms:modified xsi:type="dcterms:W3CDTF">2025-10-05T13:14:00Z</dcterms:modified>
</cp:coreProperties>
</file>