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D57" w:rsidRPr="000D6FF5" w:rsidRDefault="00401017" w:rsidP="00AD6786">
      <w:pPr>
        <w:jc w:val="both"/>
        <w:rPr>
          <w:b/>
        </w:rPr>
      </w:pPr>
      <w:r w:rsidRPr="000D6FF5">
        <w:rPr>
          <w:b/>
        </w:rPr>
        <w:t>Having qualms about quorums? Here is what other Members are doing to fix that</w:t>
      </w:r>
    </w:p>
    <w:p w:rsidR="00401017" w:rsidRDefault="00401017" w:rsidP="00AD6786">
      <w:pPr>
        <w:jc w:val="both"/>
        <w:rPr>
          <w:b/>
        </w:rPr>
      </w:pPr>
      <w:r w:rsidRPr="000D6FF5">
        <w:rPr>
          <w:b/>
        </w:rPr>
        <w:t>By ANVCA Staff</w:t>
      </w:r>
    </w:p>
    <w:p w:rsidR="007B36F1" w:rsidRDefault="007B36F1" w:rsidP="007B36F1">
      <w:pPr>
        <w:jc w:val="both"/>
      </w:pPr>
      <w:r>
        <w:t xml:space="preserve">A quorum is the minimum number of voting members who must be present at a properly called meeting in order to conduct business in the name of the group (like electing board members). It usually consists of the size of group that can routinely be depended on to attend the annual meeting. Considering distance of travel, weather, etc. It is by and large, an educated guess as to the number of people who will show up each year in person or by proxy. </w:t>
      </w:r>
    </w:p>
    <w:p w:rsidR="007B36F1" w:rsidRDefault="007B36F1" w:rsidP="007B36F1">
      <w:pPr>
        <w:jc w:val="both"/>
      </w:pPr>
      <w:r>
        <w:t>Up until 2015, The State of Alaska legally required ANCs to conduct Shareholder business at a quorum of the majority of eligible shares (50% + 1). A recent change in state law</w:t>
      </w:r>
      <w:r w:rsidR="00A251C2">
        <w:t xml:space="preserve"> (passage of HB 159)</w:t>
      </w:r>
      <w:r>
        <w:t xml:space="preserve"> allows an ANC to change their minimum required quorum level from majority (50% + .1) to one-third of voting shares (33%). Any changes to these bylaws, even to allow for a lower required minimum amount of votes, must also be approved by the eligible Shareholder base. So, in order to change your quorum from 50% +1 to 33% you will need the majority vote to make the official changes to your bylaws. </w:t>
      </w:r>
    </w:p>
    <w:p w:rsidR="007B36F1" w:rsidRDefault="007B36F1" w:rsidP="007B36F1">
      <w:pPr>
        <w:jc w:val="both"/>
      </w:pPr>
      <w:r>
        <w:t>Now, the questions this leads to are: what level is an appropriate quorum level for an ANC? Should the legally required quorum stay at 50% +1, or should it be reduced to 33% + 1? What works in the best interest of both ANCs and the Shareholders they serve? This is a question whose answer will be unique to each ANC and its Board, as well as the decisions that their Shareholder base will make.</w:t>
      </w:r>
    </w:p>
    <w:p w:rsidR="007B36F1" w:rsidRDefault="007B36F1" w:rsidP="007B36F1">
      <w:pPr>
        <w:jc w:val="both"/>
      </w:pPr>
      <w:r>
        <w:t xml:space="preserve">Aside from consulting outside legal counsel to ensure compliance with Alaska state law, a good communications strategy is everything when introducing such a resolution, since that is what will help increase or deter participation when soliciting votes, either by proxy or in-person. Some ANCs, such as </w:t>
      </w:r>
      <w:proofErr w:type="spellStart"/>
      <w:r>
        <w:t>Paug-vik</w:t>
      </w:r>
      <w:proofErr w:type="spellEnd"/>
      <w:r>
        <w:t xml:space="preserve"> Inc., </w:t>
      </w:r>
      <w:proofErr w:type="spellStart"/>
      <w:r>
        <w:t>Sitnasuak</w:t>
      </w:r>
      <w:proofErr w:type="spellEnd"/>
      <w:r>
        <w:t xml:space="preserve"> Native Corporation (SNC), and </w:t>
      </w:r>
      <w:proofErr w:type="spellStart"/>
      <w:r>
        <w:t>Becharof</w:t>
      </w:r>
      <w:proofErr w:type="spellEnd"/>
      <w:r>
        <w:t xml:space="preserve"> Corporation, were successful in passing a resolution to lower their required quorum level. We asked them for some advice for other members considering the same action. </w:t>
      </w:r>
    </w:p>
    <w:p w:rsidR="007B36F1" w:rsidRDefault="007B36F1" w:rsidP="007B36F1">
      <w:pPr>
        <w:jc w:val="both"/>
      </w:pPr>
      <w:r>
        <w:t>Here a few talking points that some of our Member ANCs made when communicating this resolution to their Shareholder base:</w:t>
      </w:r>
    </w:p>
    <w:p w:rsidR="007B36F1" w:rsidRDefault="007B36F1" w:rsidP="007B36F1">
      <w:pPr>
        <w:pStyle w:val="ListParagraph"/>
        <w:numPr>
          <w:ilvl w:val="0"/>
          <w:numId w:val="2"/>
        </w:numPr>
        <w:spacing w:line="256" w:lineRule="auto"/>
        <w:jc w:val="both"/>
      </w:pPr>
      <w:r>
        <w:t xml:space="preserve">Decreasing the required number of Shareholders, while it may seem to some to be a way to conduct business without having to go to all the trouble to engage at least half of all Shareholders, can actually improve the way business is conducted. Expected demographic trends, due to passage of stock from original to descendant shareholders, hold that most ANCs’ shareholder bases will increase.  Because the amount of shares per Shareholder will decrease, an ANC will need to increase the amount of eligible Shareholders who return proxies or attend meetings in order to obtain a sufficient quorum. Lowering the required amount of voting shares helps make it easier to achieve quorum and is not necessarily intended to be an obstacle to participation, and may actually drive up Shareholder participation due to efficient business conduct. </w:t>
      </w:r>
    </w:p>
    <w:p w:rsidR="007B36F1" w:rsidRDefault="007B36F1" w:rsidP="007B36F1">
      <w:pPr>
        <w:pStyle w:val="ListParagraph"/>
        <w:numPr>
          <w:ilvl w:val="0"/>
          <w:numId w:val="2"/>
        </w:numPr>
        <w:spacing w:line="256" w:lineRule="auto"/>
        <w:jc w:val="both"/>
      </w:pPr>
      <w:r>
        <w:t xml:space="preserve">Lowering the required amount of eligible votes to establish a quorum actually saves money for both the ANC and its Shareholders alike. </w:t>
      </w:r>
      <w:proofErr w:type="spellStart"/>
      <w:r>
        <w:t>Sitnasuak</w:t>
      </w:r>
      <w:proofErr w:type="spellEnd"/>
      <w:r>
        <w:t xml:space="preserve"> Native Corporation, for example, estimates their cost of conducting a single Shareholder meeting to be around $100,000. As it is a challenge for most ANCs to meet quorum for every single meeting, it is inefficient to continue to incur costs </w:t>
      </w:r>
      <w:r>
        <w:lastRenderedPageBreak/>
        <w:t xml:space="preserve">and wait for a sufficient quorum to be established. As Bristol Bay Native Corporation also suggests, it would significantly lower the cost of soliciting proxy votes. </w:t>
      </w:r>
    </w:p>
    <w:p w:rsidR="007B36F1" w:rsidRDefault="007B36F1" w:rsidP="007B36F1">
      <w:pPr>
        <w:jc w:val="both"/>
      </w:pPr>
      <w:r>
        <w:t xml:space="preserve">However, while some Boards may choose to introduce a resolution to lower their minimum required quorum level, this is not the only solution to increasing participation and voting in Shareholder business. Some ANCs and their Shareholders elect to keep their original required quorum level, and use proxy incentives to increase voting participation. The </w:t>
      </w:r>
      <w:proofErr w:type="spellStart"/>
      <w:r>
        <w:t>Eyak</w:t>
      </w:r>
      <w:proofErr w:type="spellEnd"/>
      <w:r>
        <w:t xml:space="preserve"> Corporation, for example, started a Proxy Incentive Program </w:t>
      </w:r>
      <w:r w:rsidR="005D0784">
        <w:t xml:space="preserve">(as has </w:t>
      </w:r>
      <w:proofErr w:type="spellStart"/>
      <w:r w:rsidR="005D0784">
        <w:t>Leisnoi</w:t>
      </w:r>
      <w:proofErr w:type="spellEnd"/>
      <w:r w:rsidR="005D0784">
        <w:t xml:space="preserve">, Inc.) </w:t>
      </w:r>
      <w:r>
        <w:t xml:space="preserve">in 2012 at the recommendation of their Shareholder Advisory Committee, which has been very helpful in obtaining quorum for meetings.  </w:t>
      </w:r>
    </w:p>
    <w:p w:rsidR="00A3520F" w:rsidRDefault="005D0784" w:rsidP="007B36F1">
      <w:pPr>
        <w:jc w:val="both"/>
      </w:pPr>
      <w:r>
        <w:t>With a good communications strategy, not many of our Members expressed a lot of difficulty in passing this resolution. SNC, for example, passed their quorum resolution with over 80% of voters voting in the affirmative, after concerted efforts at marketing the proposition</w:t>
      </w:r>
      <w:r w:rsidR="00A251C2">
        <w:t xml:space="preserve"> through Shareholder educational literature. </w:t>
      </w:r>
      <w:r w:rsidR="004E7549">
        <w:t xml:space="preserve">They smoothly passed their resolution in September 2018 after some questions and open dialogue shortly before their meeting took place. </w:t>
      </w:r>
      <w:bookmarkStart w:id="0" w:name="_GoBack"/>
      <w:bookmarkEnd w:id="0"/>
    </w:p>
    <w:p w:rsidR="007B36F1" w:rsidRDefault="00A251C2" w:rsidP="007B36F1">
      <w:pPr>
        <w:jc w:val="both"/>
      </w:pPr>
      <w:r>
        <w:t xml:space="preserve">Other Members, like </w:t>
      </w:r>
      <w:proofErr w:type="spellStart"/>
      <w:r>
        <w:t>Paug</w:t>
      </w:r>
      <w:proofErr w:type="spellEnd"/>
      <w:r>
        <w:t xml:space="preserve">-Vik, Inc., communicated the needed change to their Shareholders as soon as Alaska state law began allowing such a change in quorum requirements. </w:t>
      </w:r>
      <w:r w:rsidR="004E7549">
        <w:t xml:space="preserve">The majority of Shareholders appeared to understand that it was difficult for their Corporation to achieve quorum in past annual meetings, even after </w:t>
      </w:r>
      <w:proofErr w:type="spellStart"/>
      <w:r w:rsidR="004E7549">
        <w:t>Paug</w:t>
      </w:r>
      <w:proofErr w:type="spellEnd"/>
      <w:r w:rsidR="004E7549">
        <w:t xml:space="preserve">-Vik, Inc.’s outreach efforts. Open communication and dialogue is what helped that resolution pass at their annual meeting in 2015. What further assists their efforts in increasing Shareholder participation is the addition of online voting, decreasing travel costs for many Shareholders and also increasing the likelihood that </w:t>
      </w:r>
      <w:proofErr w:type="spellStart"/>
      <w:r w:rsidR="004E7549">
        <w:t>Paug</w:t>
      </w:r>
      <w:proofErr w:type="spellEnd"/>
      <w:r w:rsidR="004E7549">
        <w:t xml:space="preserve">-Vik, Inc. meets their quorum requirement at every annual meeting. </w:t>
      </w:r>
    </w:p>
    <w:p w:rsidR="00A3520F" w:rsidRDefault="00A3520F" w:rsidP="007B36F1">
      <w:pPr>
        <w:jc w:val="both"/>
      </w:pPr>
    </w:p>
    <w:p w:rsidR="0090000F" w:rsidRDefault="00C7705F" w:rsidP="00AD6786">
      <w:pPr>
        <w:jc w:val="both"/>
      </w:pPr>
      <w:r>
        <w:t xml:space="preserve"> </w:t>
      </w:r>
    </w:p>
    <w:sectPr w:rsidR="009000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9C9" w:rsidRDefault="004169C9" w:rsidP="000D6FF5">
      <w:pPr>
        <w:spacing w:after="0" w:line="240" w:lineRule="auto"/>
      </w:pPr>
      <w:r>
        <w:separator/>
      </w:r>
    </w:p>
  </w:endnote>
  <w:endnote w:type="continuationSeparator" w:id="0">
    <w:p w:rsidR="004169C9" w:rsidRDefault="004169C9" w:rsidP="000D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9C9" w:rsidRDefault="004169C9" w:rsidP="000D6FF5">
      <w:pPr>
        <w:spacing w:after="0" w:line="240" w:lineRule="auto"/>
      </w:pPr>
      <w:r>
        <w:separator/>
      </w:r>
    </w:p>
  </w:footnote>
  <w:footnote w:type="continuationSeparator" w:id="0">
    <w:p w:rsidR="004169C9" w:rsidRDefault="004169C9" w:rsidP="000D6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FF5" w:rsidRDefault="000D6FF5">
    <w:pPr>
      <w:pStyle w:val="Header"/>
    </w:pPr>
    <w:r>
      <w:rPr>
        <w:noProof/>
      </w:rPr>
      <w:drawing>
        <wp:inline distT="0" distB="0" distL="0" distR="0">
          <wp:extent cx="1194000" cy="381000"/>
          <wp:effectExtent l="0" t="0" r="6350" b="0"/>
          <wp:docPr id="1" name="Picture 1" descr="C:\Users\work\Desktop\anv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anv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418" cy="386877"/>
                  </a:xfrm>
                  <a:prstGeom prst="rect">
                    <a:avLst/>
                  </a:prstGeom>
                  <a:noFill/>
                  <a:ln>
                    <a:noFill/>
                  </a:ln>
                </pic:spPr>
              </pic:pic>
            </a:graphicData>
          </a:graphic>
        </wp:inline>
      </w:drawing>
    </w:r>
    <w:r>
      <w:t xml:space="preserve">   </w:t>
    </w:r>
    <w:r>
      <w:rPr>
        <w:noProof/>
      </w:rPr>
      <w:drawing>
        <wp:inline distT="0" distB="0" distL="0" distR="0">
          <wp:extent cx="847946" cy="552450"/>
          <wp:effectExtent l="0" t="0" r="9525" b="0"/>
          <wp:docPr id="2" name="Picture 2" descr="C:\Users\work\Desktop\paugv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paugvi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21" cy="559600"/>
                  </a:xfrm>
                  <a:prstGeom prst="rect">
                    <a:avLst/>
                  </a:prstGeom>
                  <a:noFill/>
                  <a:ln>
                    <a:noFill/>
                  </a:ln>
                </pic:spPr>
              </pic:pic>
            </a:graphicData>
          </a:graphic>
        </wp:inline>
      </w:drawing>
    </w:r>
    <w:r>
      <w:t xml:space="preserve">    </w:t>
    </w:r>
    <w:r>
      <w:rPr>
        <w:noProof/>
      </w:rPr>
      <w:drawing>
        <wp:inline distT="0" distB="0" distL="0" distR="0">
          <wp:extent cx="830185" cy="552450"/>
          <wp:effectExtent l="0" t="0" r="8255" b="0"/>
          <wp:docPr id="3" name="Picture 3" descr="C:\Users\work\Desktop\bb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rk\Desktop\bbn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1949" cy="566933"/>
                  </a:xfrm>
                  <a:prstGeom prst="rect">
                    <a:avLst/>
                  </a:prstGeom>
                  <a:noFill/>
                  <a:ln>
                    <a:noFill/>
                  </a:ln>
                </pic:spPr>
              </pic:pic>
            </a:graphicData>
          </a:graphic>
        </wp:inline>
      </w:drawing>
    </w:r>
    <w:r>
      <w:t xml:space="preserve">    </w:t>
    </w:r>
    <w:r>
      <w:rPr>
        <w:noProof/>
      </w:rPr>
      <w:drawing>
        <wp:inline distT="0" distB="0" distL="0" distR="0">
          <wp:extent cx="830385" cy="714375"/>
          <wp:effectExtent l="0" t="0" r="8255" b="0"/>
          <wp:docPr id="4" name="Picture 4" descr="C:\Users\work\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ork\Desktop\downlo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0155" cy="722780"/>
                  </a:xfrm>
                  <a:prstGeom prst="rect">
                    <a:avLst/>
                  </a:prstGeom>
                  <a:noFill/>
                  <a:ln>
                    <a:noFill/>
                  </a:ln>
                </pic:spPr>
              </pic:pic>
            </a:graphicData>
          </a:graphic>
        </wp:inline>
      </w:drawing>
    </w:r>
    <w:r w:rsidR="00152529">
      <w:rPr>
        <w:noProof/>
      </w:rPr>
      <w:drawing>
        <wp:inline distT="0" distB="0" distL="0" distR="0">
          <wp:extent cx="747757" cy="533400"/>
          <wp:effectExtent l="0" t="0" r="0" b="0"/>
          <wp:docPr id="5" name="Picture 5" descr="C:\Users\work\Desktop\EY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EYAK-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771" cy="543396"/>
                  </a:xfrm>
                  <a:prstGeom prst="rect">
                    <a:avLst/>
                  </a:prstGeom>
                  <a:noFill/>
                  <a:ln>
                    <a:noFill/>
                  </a:ln>
                </pic:spPr>
              </pic:pic>
            </a:graphicData>
          </a:graphic>
        </wp:inline>
      </w:drawing>
    </w:r>
    <w:r w:rsidR="00152529">
      <w:t xml:space="preserve"> </w:t>
    </w:r>
    <w:r w:rsidR="00152529">
      <w:rPr>
        <w:noProof/>
      </w:rPr>
      <w:drawing>
        <wp:inline distT="0" distB="0" distL="0" distR="0">
          <wp:extent cx="1076325" cy="394653"/>
          <wp:effectExtent l="0" t="0" r="0" b="5715"/>
          <wp:docPr id="6" name="Picture 6" descr="C:\Users\work\Desktop\LEISNO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LEISNOI-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8921" cy="3992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F406A"/>
    <w:multiLevelType w:val="hybridMultilevel"/>
    <w:tmpl w:val="ED0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B2"/>
    <w:rsid w:val="000D6FF5"/>
    <w:rsid w:val="00152529"/>
    <w:rsid w:val="00170285"/>
    <w:rsid w:val="00313D57"/>
    <w:rsid w:val="00401017"/>
    <w:rsid w:val="004169C9"/>
    <w:rsid w:val="004569DC"/>
    <w:rsid w:val="004E7549"/>
    <w:rsid w:val="005915D2"/>
    <w:rsid w:val="005D0784"/>
    <w:rsid w:val="007B36F1"/>
    <w:rsid w:val="00807DD1"/>
    <w:rsid w:val="00821605"/>
    <w:rsid w:val="0090000F"/>
    <w:rsid w:val="00A14E44"/>
    <w:rsid w:val="00A251C2"/>
    <w:rsid w:val="00A3520F"/>
    <w:rsid w:val="00AD6786"/>
    <w:rsid w:val="00B55207"/>
    <w:rsid w:val="00C7705F"/>
    <w:rsid w:val="00D14E44"/>
    <w:rsid w:val="00D16CED"/>
    <w:rsid w:val="00D31EB2"/>
    <w:rsid w:val="00D63BE1"/>
    <w:rsid w:val="00E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8F18"/>
  <w15:chartTrackingRefBased/>
  <w15:docId w15:val="{55003FBB-2F4B-4947-9F37-4FB7B587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9DC"/>
    <w:pPr>
      <w:ind w:left="720"/>
      <w:contextualSpacing/>
    </w:pPr>
  </w:style>
  <w:style w:type="paragraph" w:styleId="Header">
    <w:name w:val="header"/>
    <w:basedOn w:val="Normal"/>
    <w:link w:val="HeaderChar"/>
    <w:uiPriority w:val="99"/>
    <w:unhideWhenUsed/>
    <w:rsid w:val="000D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F5"/>
  </w:style>
  <w:style w:type="paragraph" w:styleId="Footer">
    <w:name w:val="footer"/>
    <w:basedOn w:val="Normal"/>
    <w:link w:val="FooterChar"/>
    <w:uiPriority w:val="99"/>
    <w:unhideWhenUsed/>
    <w:rsid w:val="000D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27E2-008F-49F3-986F-A816B306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2018-12-19T18:58:00Z</dcterms:created>
  <dcterms:modified xsi:type="dcterms:W3CDTF">2018-12-19T18:58:00Z</dcterms:modified>
</cp:coreProperties>
</file>