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5D" w:rsidRPr="001A4349" w:rsidRDefault="001A4349" w:rsidP="00094F34">
      <w:pPr>
        <w:jc w:val="both"/>
        <w:rPr>
          <w:b/>
        </w:rPr>
      </w:pPr>
      <w:r w:rsidRPr="001A4349">
        <w:rPr>
          <w:b/>
        </w:rPr>
        <w:t xml:space="preserve">United States Small Business Administration EXTENDS </w:t>
      </w:r>
      <w:proofErr w:type="spellStart"/>
      <w:r w:rsidRPr="001A4349">
        <w:rPr>
          <w:b/>
        </w:rPr>
        <w:t>HUBZone</w:t>
      </w:r>
      <w:proofErr w:type="spellEnd"/>
      <w:r w:rsidRPr="001A4349">
        <w:rPr>
          <w:b/>
        </w:rPr>
        <w:t xml:space="preserve"> Comment Period</w:t>
      </w:r>
    </w:p>
    <w:p w:rsidR="001A4349" w:rsidRDefault="001A4349" w:rsidP="00094F34">
      <w:pPr>
        <w:jc w:val="both"/>
      </w:pPr>
      <w:r>
        <w:t>By ANVCA Staff</w:t>
      </w:r>
    </w:p>
    <w:p w:rsidR="001A4349" w:rsidRDefault="001A4349" w:rsidP="00094F34">
      <w:pPr>
        <w:jc w:val="both"/>
      </w:pPr>
    </w:p>
    <w:p w:rsidR="001A4349" w:rsidRDefault="001A4349" w:rsidP="00094F34">
      <w:pPr>
        <w:jc w:val="both"/>
        <w:rPr>
          <w:b/>
        </w:rPr>
      </w:pPr>
      <w:r>
        <w:t xml:space="preserve">The original due date for </w:t>
      </w:r>
      <w:proofErr w:type="spellStart"/>
      <w:r>
        <w:t>HUBZone</w:t>
      </w:r>
      <w:proofErr w:type="spellEnd"/>
      <w:r>
        <w:t xml:space="preserve"> comments was extended on December 31, 2018 to a new due date: </w:t>
      </w:r>
      <w:r>
        <w:rPr>
          <w:b/>
        </w:rPr>
        <w:t>February 14, 2019.</w:t>
      </w:r>
    </w:p>
    <w:p w:rsidR="001A4349" w:rsidRDefault="001A4349" w:rsidP="00094F34">
      <w:pPr>
        <w:jc w:val="both"/>
      </w:pPr>
      <w:r>
        <w:t>You will be able to submit comments using the following:</w:t>
      </w:r>
    </w:p>
    <w:p w:rsidR="001A4349" w:rsidRDefault="001A4349" w:rsidP="00094F34">
      <w:pPr>
        <w:pStyle w:val="ListParagraph"/>
        <w:numPr>
          <w:ilvl w:val="0"/>
          <w:numId w:val="1"/>
        </w:numPr>
        <w:jc w:val="both"/>
      </w:pPr>
      <w:r>
        <w:t xml:space="preserve">Federal </w:t>
      </w:r>
      <w:proofErr w:type="spellStart"/>
      <w:r>
        <w:t>eRulemaking</w:t>
      </w:r>
      <w:proofErr w:type="spellEnd"/>
      <w:r>
        <w:t xml:space="preserve"> Portal: </w:t>
      </w:r>
      <w:hyperlink r:id="rId7" w:history="1">
        <w:r w:rsidRPr="0068487F">
          <w:rPr>
            <w:rStyle w:val="Hyperlink"/>
          </w:rPr>
          <w:t>http://www.regulations.gov</w:t>
        </w:r>
      </w:hyperlink>
      <w:r>
        <w:t xml:space="preserve"> and fo</w:t>
      </w:r>
      <w:r w:rsidR="00094F34">
        <w:t>llow the necessary instructions</w:t>
      </w:r>
    </w:p>
    <w:p w:rsidR="001A4349" w:rsidRDefault="001A4349" w:rsidP="00094F34">
      <w:pPr>
        <w:pStyle w:val="ListParagraph"/>
        <w:numPr>
          <w:ilvl w:val="0"/>
          <w:numId w:val="1"/>
        </w:numPr>
        <w:jc w:val="both"/>
      </w:pPr>
      <w:r>
        <w:t xml:space="preserve">Mail/Hand delivery/courier: you are able to send hard-copy letters to </w:t>
      </w:r>
    </w:p>
    <w:p w:rsidR="001A4349" w:rsidRDefault="001A4349" w:rsidP="00094F34">
      <w:pPr>
        <w:spacing w:after="0" w:line="240" w:lineRule="auto"/>
        <w:ind w:left="765" w:firstLine="675"/>
        <w:jc w:val="both"/>
      </w:pPr>
      <w:r>
        <w:t>U.S. Small Business Administration</w:t>
      </w:r>
    </w:p>
    <w:p w:rsidR="001A4349" w:rsidRDefault="001A4349" w:rsidP="00094F34">
      <w:pPr>
        <w:spacing w:after="0" w:line="240" w:lineRule="auto"/>
        <w:ind w:left="765" w:firstLine="675"/>
        <w:jc w:val="both"/>
      </w:pPr>
      <w:r>
        <w:tab/>
        <w:t>ATTN: Arthur E. Collins, Jr.</w:t>
      </w:r>
    </w:p>
    <w:p w:rsidR="001A4349" w:rsidRDefault="001A4349" w:rsidP="00094F34">
      <w:pPr>
        <w:spacing w:after="0" w:line="240" w:lineRule="auto"/>
        <w:ind w:left="765" w:firstLine="675"/>
        <w:jc w:val="both"/>
      </w:pPr>
      <w:r>
        <w:tab/>
        <w:t xml:space="preserve">Deputy Director, </w:t>
      </w:r>
      <w:proofErr w:type="spellStart"/>
      <w:r>
        <w:t>HUBZone</w:t>
      </w:r>
      <w:proofErr w:type="spellEnd"/>
      <w:r>
        <w:t xml:space="preserve"> Program</w:t>
      </w:r>
      <w:bookmarkStart w:id="0" w:name="_GoBack"/>
      <w:bookmarkEnd w:id="0"/>
    </w:p>
    <w:p w:rsidR="001A4349" w:rsidRDefault="001A4349" w:rsidP="00094F34">
      <w:pPr>
        <w:spacing w:after="0" w:line="240" w:lineRule="auto"/>
        <w:ind w:left="765" w:firstLine="675"/>
        <w:jc w:val="both"/>
      </w:pPr>
      <w:r>
        <w:t>409 Third Street SW, 8</w:t>
      </w:r>
      <w:r w:rsidRPr="001A4349">
        <w:rPr>
          <w:vertAlign w:val="superscript"/>
        </w:rPr>
        <w:t>th</w:t>
      </w:r>
      <w:r>
        <w:t xml:space="preserve"> Floor</w:t>
      </w:r>
    </w:p>
    <w:p w:rsidR="001A4349" w:rsidRDefault="001A4349" w:rsidP="00094F34">
      <w:pPr>
        <w:spacing w:after="0" w:line="240" w:lineRule="auto"/>
        <w:ind w:left="765" w:firstLine="675"/>
        <w:jc w:val="both"/>
      </w:pPr>
      <w:r>
        <w:t>Washington, D.C. 20416</w:t>
      </w:r>
    </w:p>
    <w:p w:rsidR="001A4349" w:rsidRDefault="001A4349" w:rsidP="00094F34">
      <w:pPr>
        <w:spacing w:after="0" w:line="240" w:lineRule="auto"/>
        <w:ind w:left="765" w:firstLine="675"/>
        <w:jc w:val="both"/>
      </w:pPr>
    </w:p>
    <w:p w:rsidR="001A4349" w:rsidRDefault="001A4349" w:rsidP="00094F34">
      <w:pPr>
        <w:spacing w:after="0" w:line="240" w:lineRule="auto"/>
        <w:jc w:val="both"/>
      </w:pPr>
      <w:r w:rsidRPr="00DB5D3D">
        <w:rPr>
          <w:b/>
        </w:rPr>
        <w:t>Be sure to include the Regulatory Information Number 3245-AG38</w:t>
      </w:r>
      <w:r w:rsidR="007311DD" w:rsidRPr="00DB5D3D">
        <w:rPr>
          <w:b/>
        </w:rPr>
        <w:t xml:space="preserve"> in ALL submissions</w:t>
      </w:r>
      <w:r w:rsidR="007311DD">
        <w:t xml:space="preserve">, whether by hard copy or online. </w:t>
      </w:r>
    </w:p>
    <w:p w:rsidR="007311DD" w:rsidRDefault="007311DD" w:rsidP="00094F34">
      <w:pPr>
        <w:spacing w:after="0" w:line="240" w:lineRule="auto"/>
        <w:jc w:val="both"/>
      </w:pPr>
    </w:p>
    <w:p w:rsidR="00094F34" w:rsidRDefault="007311DD" w:rsidP="00094F34">
      <w:pPr>
        <w:spacing w:after="0" w:line="240" w:lineRule="auto"/>
        <w:jc w:val="both"/>
      </w:pPr>
      <w:r>
        <w:t>The official notice was published in the Federal Register on Monday, Dec. 31, 2018. This came twelve days after Alaska Senators Murkowski and Sullivan sent a letter to the U.S. Small Business Administration addressing concerns about the lack of tribal consultations with tribes and ANCs in Alaska</w:t>
      </w:r>
      <w:r w:rsidR="00094F34">
        <w:t xml:space="preserve"> over the </w:t>
      </w:r>
      <w:proofErr w:type="spellStart"/>
      <w:r w:rsidR="00094F34">
        <w:t>HUBZone</w:t>
      </w:r>
      <w:proofErr w:type="spellEnd"/>
      <w:r w:rsidR="00094F34">
        <w:t xml:space="preserve"> program overhaul proposed by the Trump Administration. </w:t>
      </w:r>
      <w:r>
        <w:t xml:space="preserve">Executive Order 13175 </w:t>
      </w:r>
      <w:r w:rsidR="00094F34">
        <w:t xml:space="preserve">holds that all federal agencies must consult and coordinate with tribal governments on actions that may have an impact on Indian Country, which informs the SBA Tribal Consultation Policy. </w:t>
      </w:r>
    </w:p>
    <w:p w:rsidR="00094F34" w:rsidRDefault="00094F34" w:rsidP="00094F34">
      <w:pPr>
        <w:spacing w:after="0" w:line="240" w:lineRule="auto"/>
        <w:jc w:val="both"/>
      </w:pPr>
    </w:p>
    <w:p w:rsidR="00094F34" w:rsidRPr="001A4349" w:rsidRDefault="00094F34" w:rsidP="00094F34">
      <w:pPr>
        <w:spacing w:after="0" w:line="240" w:lineRule="auto"/>
        <w:jc w:val="both"/>
      </w:pPr>
      <w:r>
        <w:t>However, as expressed in the letter co-authored by Senators Murkowski and Sullivan dated Dec. 19, 2018, they were informed that there were no tribal consultations were held in Alaska. This extended comment period not only allows tribal businesses and ANCs to submit their comments for consideration, but also creates a meaningful opportunity to hold consultations.</w:t>
      </w:r>
    </w:p>
    <w:sectPr w:rsidR="00094F34" w:rsidRPr="001A43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2D" w:rsidRDefault="00E1102D" w:rsidP="00094F34">
      <w:pPr>
        <w:spacing w:after="0" w:line="240" w:lineRule="auto"/>
      </w:pPr>
      <w:r>
        <w:separator/>
      </w:r>
    </w:p>
  </w:endnote>
  <w:endnote w:type="continuationSeparator" w:id="0">
    <w:p w:rsidR="00E1102D" w:rsidRDefault="00E1102D" w:rsidP="0009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2D" w:rsidRDefault="00E1102D" w:rsidP="00094F34">
      <w:pPr>
        <w:spacing w:after="0" w:line="240" w:lineRule="auto"/>
      </w:pPr>
      <w:r>
        <w:separator/>
      </w:r>
    </w:p>
  </w:footnote>
  <w:footnote w:type="continuationSeparator" w:id="0">
    <w:p w:rsidR="00E1102D" w:rsidRDefault="00E1102D" w:rsidP="0009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34" w:rsidRDefault="00094F34">
    <w:pPr>
      <w:pStyle w:val="Header"/>
    </w:pPr>
    <w:r>
      <w:rPr>
        <w:noProof/>
      </w:rPr>
      <w:drawing>
        <wp:inline distT="0" distB="0" distL="0" distR="0">
          <wp:extent cx="1701450" cy="542925"/>
          <wp:effectExtent l="0" t="0" r="0" b="0"/>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09" cy="553346"/>
                  </a:xfrm>
                  <a:prstGeom prst="rect">
                    <a:avLst/>
                  </a:prstGeom>
                  <a:noFill/>
                  <a:ln>
                    <a:noFill/>
                  </a:ln>
                </pic:spPr>
              </pic:pic>
            </a:graphicData>
          </a:graphic>
        </wp:inline>
      </w:drawing>
    </w:r>
    <w:r>
      <w:t xml:space="preserve">   </w:t>
    </w:r>
    <w:r>
      <w:rPr>
        <w:noProof/>
      </w:rPr>
      <w:drawing>
        <wp:inline distT="0" distB="0" distL="0" distR="0">
          <wp:extent cx="1533525" cy="552954"/>
          <wp:effectExtent l="0" t="0" r="0" b="0"/>
          <wp:docPr id="2" name="Picture 2" descr="C:\Users\work\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566" cy="560541"/>
                  </a:xfrm>
                  <a:prstGeom prst="rect">
                    <a:avLst/>
                  </a:prstGeom>
                  <a:noFill/>
                  <a:ln>
                    <a:noFill/>
                  </a:ln>
                </pic:spPr>
              </pic:pic>
            </a:graphicData>
          </a:graphic>
        </wp:inline>
      </w:drawing>
    </w:r>
    <w:r>
      <w:t xml:space="preserve">   </w:t>
    </w:r>
    <w:r>
      <w:rPr>
        <w:noProof/>
      </w:rPr>
      <w:drawing>
        <wp:inline distT="0" distB="0" distL="0" distR="0">
          <wp:extent cx="1504950" cy="415429"/>
          <wp:effectExtent l="0" t="0" r="0" b="3810"/>
          <wp:docPr id="3" name="Picture 3" descr="C:\Users\work\Desktop\e0e199acd15b2c54a17de6be507cf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e0e199acd15b2c54a17de6be507cf7f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016" cy="438911"/>
                  </a:xfrm>
                  <a:prstGeom prst="rect">
                    <a:avLst/>
                  </a:prstGeom>
                  <a:noFill/>
                  <a:ln>
                    <a:noFill/>
                  </a:ln>
                </pic:spPr>
              </pic:pic>
            </a:graphicData>
          </a:graphic>
        </wp:inline>
      </w:drawing>
    </w:r>
    <w:r>
      <w:rPr>
        <w:noProof/>
      </w:rPr>
      <w:drawing>
        <wp:inline distT="0" distB="0" distL="0" distR="0">
          <wp:extent cx="666750" cy="666750"/>
          <wp:effectExtent l="0" t="0" r="0" b="0"/>
          <wp:docPr id="4" name="Picture 4" descr="C:\Users\work\Desktop\2000px-Seal_of_the_United_States_Sena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Desktop\2000px-Seal_of_the_United_States_Senate.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F53"/>
    <w:multiLevelType w:val="hybridMultilevel"/>
    <w:tmpl w:val="DB1A07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8D"/>
    <w:rsid w:val="00094F34"/>
    <w:rsid w:val="001A4349"/>
    <w:rsid w:val="006E115D"/>
    <w:rsid w:val="007311DD"/>
    <w:rsid w:val="00D42C8D"/>
    <w:rsid w:val="00DB5D3D"/>
    <w:rsid w:val="00E1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06BF"/>
  <w15:chartTrackingRefBased/>
  <w15:docId w15:val="{9971EC10-470A-4BF8-A7A7-5FDEA1A5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49"/>
    <w:pPr>
      <w:ind w:left="720"/>
      <w:contextualSpacing/>
    </w:pPr>
  </w:style>
  <w:style w:type="character" w:styleId="Hyperlink">
    <w:name w:val="Hyperlink"/>
    <w:basedOn w:val="DefaultParagraphFont"/>
    <w:uiPriority w:val="99"/>
    <w:unhideWhenUsed/>
    <w:rsid w:val="001A4349"/>
    <w:rPr>
      <w:color w:val="0563C1" w:themeColor="hyperlink"/>
      <w:u w:val="single"/>
    </w:rPr>
  </w:style>
  <w:style w:type="paragraph" w:styleId="Header">
    <w:name w:val="header"/>
    <w:basedOn w:val="Normal"/>
    <w:link w:val="HeaderChar"/>
    <w:uiPriority w:val="99"/>
    <w:unhideWhenUsed/>
    <w:rsid w:val="0009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34"/>
  </w:style>
  <w:style w:type="paragraph" w:styleId="Footer">
    <w:name w:val="footer"/>
    <w:basedOn w:val="Normal"/>
    <w:link w:val="FooterChar"/>
    <w:uiPriority w:val="99"/>
    <w:unhideWhenUsed/>
    <w:rsid w:val="0009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2019-01-03T18:21:00Z</dcterms:created>
  <dcterms:modified xsi:type="dcterms:W3CDTF">2019-01-03T18:52:00Z</dcterms:modified>
</cp:coreProperties>
</file>