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0006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Here is a strong but policy-focused tone that reflects Pasco concerns about</w:t>
      </w:r>
    </w:p>
    <w:p w14:paraId="0E6AA75F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overdevelopment, water, wildlife corridors, and home </w:t>
      </w:r>
      <w:proofErr w:type="gramStart"/>
      <w:r>
        <w:rPr>
          <w:rFonts w:ascii="TimesNewRomanPS-BoldMT" w:hAnsi="TimesNewRomanPS-BoldMT" w:cs="TimesNewRomanPS-BoldMT"/>
          <w:b/>
          <w:bCs/>
          <w:kern w:val="0"/>
        </w:rPr>
        <w:t>rule</w:t>
      </w:r>
      <w:proofErr w:type="gramEnd"/>
      <w:r>
        <w:rPr>
          <w:rFonts w:ascii="TimesNewRomanPS-BoldMT" w:hAnsi="TimesNewRomanPS-BoldMT" w:cs="TimesNewRomanPS-BoldMT"/>
          <w:b/>
          <w:bCs/>
          <w:kern w:val="0"/>
        </w:rPr>
        <w:t>.</w:t>
      </w:r>
    </w:p>
    <w:p w14:paraId="0D83646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524BFF88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E</w:t>
      </w:r>
      <w:r w:rsidRPr="00A860F8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mail template from Pasco DECF to legislators</w:t>
      </w:r>
    </w:p>
    <w:p w14:paraId="1BA5EBC6" w14:textId="257FD8A4" w:rsidR="00A860F8" w:rsidRPr="00A860F8" w:rsidRDefault="00A860F8" w:rsidP="00A860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A860F8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opposing HB 299 /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A860F8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SB 354 (Blue Ribbon Projects)</w:t>
      </w:r>
    </w:p>
    <w:p w14:paraId="4752D0FD" w14:textId="4B07FA5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E1DE750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F284D61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Dear Senator/Representative [Last Name],</w:t>
      </w:r>
    </w:p>
    <w:p w14:paraId="3138B80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82D696A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On behalf of the Pasco County members of the Democratic Environmental Caucus of Florida</w:t>
      </w:r>
    </w:p>
    <w:p w14:paraId="6131E5EA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(DECF), we respectfully urge you to vote NO on HB 299 / SB 354 (Blue Ribbon Projects).</w:t>
      </w:r>
    </w:p>
    <w:p w14:paraId="1E8B6C16" w14:textId="6429F8B9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While the legislation is presented as “smart growth,” it instead creates a mechanism for largescale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development on 10,000–15,000+ acre tracts that weakens local government authority,</w:t>
      </w:r>
    </w:p>
    <w:p w14:paraId="65BE46B5" w14:textId="292AEBB4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accelerates </w:t>
      </w:r>
      <w:r>
        <w:rPr>
          <w:rFonts w:ascii="TimesNewRomanPSMT" w:hAnsi="TimesNewRomanPSMT" w:cs="TimesNewRomanPSMT"/>
          <w:kern w:val="0"/>
        </w:rPr>
        <w:t>sprawl and</w:t>
      </w:r>
      <w:r>
        <w:rPr>
          <w:rFonts w:ascii="TimesNewRomanPSMT" w:hAnsi="TimesNewRomanPSMT" w:cs="TimesNewRomanPSMT"/>
          <w:kern w:val="0"/>
        </w:rPr>
        <w:t xml:space="preserve"> threatens Florida’s natural resources.</w:t>
      </w:r>
    </w:p>
    <w:p w14:paraId="36BAEE02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FAB68DE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Our concerns include:</w:t>
      </w:r>
    </w:p>
    <w:p w14:paraId="7DE2E1B0" w14:textId="758FAD10" w:rsidR="00A860F8" w:rsidRPr="00A860F8" w:rsidRDefault="00A860F8" w:rsidP="00A86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Erosion of Local Control: These bills preempt local comprehensive planning and zoning</w:t>
      </w:r>
    </w:p>
    <w:p w14:paraId="07CE552B" w14:textId="612E16A4" w:rsidR="00A860F8" w:rsidRPr="00A860F8" w:rsidRDefault="00A860F8" w:rsidP="00A860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 xml:space="preserve">authority, undermining home </w:t>
      </w:r>
      <w:proofErr w:type="gramStart"/>
      <w:r w:rsidRPr="00A860F8">
        <w:rPr>
          <w:rFonts w:ascii="TimesNewRomanPSMT" w:hAnsi="TimesNewRomanPSMT" w:cs="TimesNewRomanPSMT"/>
          <w:kern w:val="0"/>
        </w:rPr>
        <w:t>rule</w:t>
      </w:r>
      <w:proofErr w:type="gramEnd"/>
      <w:r w:rsidRPr="00A860F8">
        <w:rPr>
          <w:rFonts w:ascii="TimesNewRomanPSMT" w:hAnsi="TimesNewRomanPSMT" w:cs="TimesNewRomanPSMT"/>
          <w:kern w:val="0"/>
        </w:rPr>
        <w:t xml:space="preserve"> and limiting the ability of counties and municipalities to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manage growth responsibly.</w:t>
      </w:r>
    </w:p>
    <w:p w14:paraId="2BC5C1EA" w14:textId="7C8FAB75" w:rsidR="00A860F8" w:rsidRPr="00A860F8" w:rsidRDefault="00A860F8" w:rsidP="00A86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Unchecked Sprawl into Rural Lands: Allowing urban-scale development deep into rural and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agricultural areas promotes leapfrog development rather than infill and true smart growth.</w:t>
      </w:r>
    </w:p>
    <w:p w14:paraId="2F9C3E70" w14:textId="5DFDBB79" w:rsidR="00A860F8" w:rsidRPr="00A860F8" w:rsidRDefault="00A860F8" w:rsidP="00A86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Water Supply &amp; Infrastructure Strain: Pasco County already faces challenges related to aquifer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protection, stormwater management, and infrastructure capacity. Approving massive new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developments without demonstrated infrastructure readiness risks overburdening taxpayers and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natural systems.</w:t>
      </w:r>
    </w:p>
    <w:p w14:paraId="01CF7F79" w14:textId="152FBD6D" w:rsidR="00A860F8" w:rsidRPr="00A860F8" w:rsidRDefault="00A860F8" w:rsidP="00A86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Wildlife Corridor Fragmentation: So-called “reserve” acreage does not guarantee meaningful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ecological preservation. Large developments can fragment habitat, disrupt wildlife corridors, and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degrade wetlands.</w:t>
      </w:r>
    </w:p>
    <w:p w14:paraId="65E49446" w14:textId="527803CB" w:rsidR="00A860F8" w:rsidRPr="00A860F8" w:rsidRDefault="00A860F8" w:rsidP="00A86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Reduced Meaningful Public Input: Communities deserve transparent processes and genuine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public engagement before transformational development decisions are made.</w:t>
      </w:r>
    </w:p>
    <w:p w14:paraId="7057EF22" w14:textId="6B2B8C79" w:rsidR="00A860F8" w:rsidRDefault="00A860F8" w:rsidP="00A860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Florida’s growth must be guided by sound planning, infrastructure readiness, environmental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science, and meaningful local input—not by state preemption that favors speculative</w:t>
      </w:r>
      <w:r>
        <w:rPr>
          <w:rFonts w:ascii="TimesNewRomanPSMT" w:hAnsi="TimesNewRomanPSMT" w:cs="TimesNewRomanPSMT"/>
          <w:kern w:val="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development.</w:t>
      </w:r>
    </w:p>
    <w:p w14:paraId="5400FC62" w14:textId="77777777" w:rsidR="00A860F8" w:rsidRPr="00A860F8" w:rsidRDefault="00A860F8" w:rsidP="00A860F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87DEC00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We ask that you stand with local communities, environmental stewardship, and responsible</w:t>
      </w:r>
    </w:p>
    <w:p w14:paraId="11D3B78F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planning by voting NO on HB 299 / SB 354.</w:t>
      </w:r>
    </w:p>
    <w:p w14:paraId="3D045029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235B0A9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We would welcome the opportunity to discuss our concerns further.</w:t>
      </w:r>
    </w:p>
    <w:p w14:paraId="0BA6036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0C6F05A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Sincerely,</w:t>
      </w:r>
    </w:p>
    <w:p w14:paraId="4AFF85F0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[Name]</w:t>
      </w:r>
    </w:p>
    <w:p w14:paraId="47C21F7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Pasco County Chapter</w:t>
      </w:r>
    </w:p>
    <w:p w14:paraId="7D3E7C9C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Democratic Environmental Caucus of Florida</w:t>
      </w:r>
    </w:p>
    <w:p w14:paraId="613F5F16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[Contact Information]</w:t>
      </w:r>
    </w:p>
    <w:p w14:paraId="2C607F3A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A591D13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72FB6E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Here is a more technical, firm, and legally grounded version suitable for sending to</w:t>
      </w:r>
    </w:p>
    <w:p w14:paraId="5C892CBC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legislators from Pasco DECF. This version emphasizes statutory conflicts, infrastructure</w:t>
      </w:r>
    </w:p>
    <w:p w14:paraId="1586208F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concurrency, water supply planning, and home rule preemption in a sharper tone.</w:t>
      </w:r>
    </w:p>
    <w:p w14:paraId="559BD5E1" w14:textId="34A6C460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66900F6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Dear Senator/Representative [Last Name],</w:t>
      </w:r>
    </w:p>
    <w:p w14:paraId="2EC7431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556D09C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On behalf of the Pasco County members of the Democratic Environmental Caucus of Florida</w:t>
      </w:r>
    </w:p>
    <w:p w14:paraId="3E8DB216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(DECF), we strongly urge you to vote NO on HB 299 / SB 354 (Blue Ribbon Projects).</w:t>
      </w:r>
    </w:p>
    <w:p w14:paraId="5CF5BF6C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Despite being framed as “smart growth,” this legislation represents a sweeping state preemption</w:t>
      </w:r>
    </w:p>
    <w:p w14:paraId="5ABD6C5F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of local comprehensive planning authority under Chapter 163, Florida Statutes, and creates a</w:t>
      </w:r>
    </w:p>
    <w:p w14:paraId="2FF3660F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statutory bypass of established growth management safeguards.</w:t>
      </w:r>
    </w:p>
    <w:p w14:paraId="42B0A654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79F165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Our concerns are technical, substantive, and grounded in Florida land use law:</w:t>
      </w:r>
    </w:p>
    <w:p w14:paraId="585E5B94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D2970C9" w14:textId="0CCFA23D" w:rsidR="00A860F8" w:rsidRPr="00625BB8" w:rsidRDefault="00A860F8" w:rsidP="00A860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25BB8">
        <w:rPr>
          <w:rFonts w:ascii="TimesNewRomanPSMT" w:hAnsi="TimesNewRomanPSMT" w:cs="TimesNewRomanPSMT"/>
          <w:b/>
          <w:bCs/>
          <w:kern w:val="0"/>
        </w:rPr>
        <w:t>Direct Preemption of Local Comprehensive Planning Authority</w:t>
      </w:r>
    </w:p>
    <w:p w14:paraId="00929BA9" w14:textId="2747A08B" w:rsidR="00A860F8" w:rsidRPr="00625BB8" w:rsidRDefault="00A860F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HB 299 / SB 354 effectively override locally adopted comprehensive plans by allowing</w:t>
      </w:r>
      <w:r w:rsidR="00625BB8">
        <w:rPr>
          <w:rFonts w:ascii="TimesNewRomanPSMT" w:hAnsi="TimesNewRomanPSMT" w:cs="TimesNewRomanPSMT"/>
          <w:kern w:val="0"/>
        </w:rPr>
        <w:t>/</w:t>
      </w:r>
      <w:r w:rsidRPr="00625BB8">
        <w:rPr>
          <w:rFonts w:ascii="TimesNewRomanPSMT" w:hAnsi="TimesNewRomanPSMT" w:cs="TimesNewRomanPSMT"/>
          <w:kern w:val="0"/>
        </w:rPr>
        <w:t>qualifying “Blue Ribbon Projects” to proceed irrespective of plan consistency standards</w:t>
      </w:r>
      <w:r w:rsidR="00625BB8">
        <w:rPr>
          <w:rFonts w:ascii="TimesNewRomanPSMT" w:hAnsi="TimesNewRomanPSMT" w:cs="TimesNewRomanPSMT"/>
          <w:kern w:val="0"/>
        </w:rPr>
        <w:t xml:space="preserve">, </w:t>
      </w:r>
      <w:r w:rsidRPr="00625BB8">
        <w:rPr>
          <w:rFonts w:ascii="TimesNewRomanPSMT" w:hAnsi="TimesNewRomanPSMT" w:cs="TimesNewRomanPSMT"/>
          <w:kern w:val="0"/>
        </w:rPr>
        <w:t>traditionally required under §163.3194, F.S. This undermines decades of growth management</w:t>
      </w:r>
      <w:r w:rsidR="00625BB8">
        <w:rPr>
          <w:rFonts w:ascii="TimesNewRomanPSMT" w:hAnsi="TimesNewRomanPSMT" w:cs="TimesNewRomanPSMT"/>
          <w:kern w:val="0"/>
        </w:rPr>
        <w:t xml:space="preserve"> </w:t>
      </w:r>
      <w:r w:rsidRPr="00625BB8">
        <w:rPr>
          <w:rFonts w:ascii="TimesNewRomanPSMT" w:hAnsi="TimesNewRomanPSMT" w:cs="TimesNewRomanPSMT"/>
          <w:kern w:val="0"/>
        </w:rPr>
        <w:t>policy and strips local governments of meaningful discretion in land-use decision-making.</w:t>
      </w:r>
    </w:p>
    <w:p w14:paraId="0A75F9BC" w14:textId="77777777" w:rsidR="00625BB8" w:rsidRDefault="00625BB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36A5B91" w14:textId="01E6B337" w:rsidR="00A860F8" w:rsidRDefault="00A860F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This is not coordination — it is displacement of home rule authority.</w:t>
      </w:r>
    </w:p>
    <w:p w14:paraId="1FDB20E0" w14:textId="77777777" w:rsidR="00625BB8" w:rsidRPr="00A860F8" w:rsidRDefault="00625BB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24793DA" w14:textId="3BC9DA6B" w:rsidR="00A860F8" w:rsidRPr="00625BB8" w:rsidRDefault="00A860F8" w:rsidP="00A860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25BB8">
        <w:rPr>
          <w:rFonts w:ascii="TimesNewRomanPSMT" w:hAnsi="TimesNewRomanPSMT" w:cs="TimesNewRomanPSMT"/>
          <w:b/>
          <w:bCs/>
          <w:kern w:val="0"/>
        </w:rPr>
        <w:t>Long-Term Vesting Without Demonstrated Need or Capacity</w:t>
      </w:r>
    </w:p>
    <w:p w14:paraId="01852CA2" w14:textId="19489D49" w:rsidR="00A860F8" w:rsidRPr="00625BB8" w:rsidRDefault="00A860F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The bills allow large-scale developments (10,000–15,000+ acres) to vest for extended periods,</w:t>
      </w:r>
      <w:r w:rsidR="00625BB8">
        <w:rPr>
          <w:rFonts w:ascii="TimesNewRomanPSMT" w:hAnsi="TimesNewRomanPSMT" w:cs="TimesNewRomanPSMT"/>
          <w:kern w:val="0"/>
        </w:rPr>
        <w:t xml:space="preserve"> </w:t>
      </w:r>
      <w:r w:rsidRPr="00625BB8">
        <w:rPr>
          <w:rFonts w:ascii="TimesNewRomanPSMT" w:hAnsi="TimesNewRomanPSMT" w:cs="TimesNewRomanPSMT"/>
          <w:kern w:val="0"/>
        </w:rPr>
        <w:t>locking in entitlements without requiring demonstration of:</w:t>
      </w:r>
    </w:p>
    <w:p w14:paraId="6D0DE0D2" w14:textId="40BB4540" w:rsidR="00A860F8" w:rsidRPr="00A860F8" w:rsidRDefault="00A860F8" w:rsidP="00A860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Symbol" w:hAnsi="Symbol" w:cs="Symbol"/>
          <w:kern w:val="0"/>
          <w:sz w:val="20"/>
          <w:szCs w:val="2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Current infrastructure concurrency compliance,</w:t>
      </w:r>
    </w:p>
    <w:p w14:paraId="4876CB4E" w14:textId="32A41F36" w:rsidR="00A860F8" w:rsidRPr="00A860F8" w:rsidRDefault="00625BB8" w:rsidP="00A860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Symbol" w:hAnsi="Symbol" w:cs="Symbol"/>
          <w:kern w:val="0"/>
          <w:sz w:val="20"/>
          <w:szCs w:val="20"/>
        </w:rPr>
        <w:t xml:space="preserve"> </w:t>
      </w:r>
      <w:r w:rsidR="00A860F8" w:rsidRPr="00A860F8">
        <w:rPr>
          <w:rFonts w:ascii="TimesNewRomanPSMT" w:hAnsi="TimesNewRomanPSMT" w:cs="TimesNewRomanPSMT"/>
          <w:kern w:val="0"/>
        </w:rPr>
        <w:t>Verified water supply availability under regional water supply plans,</w:t>
      </w:r>
    </w:p>
    <w:p w14:paraId="10624DD3" w14:textId="783E0229" w:rsidR="00A860F8" w:rsidRPr="00A860F8" w:rsidRDefault="00625BB8" w:rsidP="00A860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 </w:t>
      </w:r>
      <w:r w:rsidR="00A860F8" w:rsidRPr="00A860F8">
        <w:rPr>
          <w:rFonts w:ascii="TimesNewRomanPSMT" w:hAnsi="TimesNewRomanPSMT" w:cs="TimesNewRomanPSMT"/>
          <w:kern w:val="0"/>
        </w:rPr>
        <w:t>School capacity and transportation network readiness,</w:t>
      </w:r>
    </w:p>
    <w:p w14:paraId="26504D01" w14:textId="5B12B887" w:rsidR="00A860F8" w:rsidRPr="00A860F8" w:rsidRDefault="00A860F8" w:rsidP="00A860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Symbol" w:hAnsi="Symbol" w:cs="Symbol"/>
          <w:kern w:val="0"/>
          <w:sz w:val="20"/>
          <w:szCs w:val="20"/>
        </w:rPr>
        <w:t xml:space="preserve"> </w:t>
      </w:r>
      <w:r w:rsidRPr="00A860F8">
        <w:rPr>
          <w:rFonts w:ascii="TimesNewRomanPSMT" w:hAnsi="TimesNewRomanPSMT" w:cs="TimesNewRomanPSMT"/>
          <w:kern w:val="0"/>
        </w:rPr>
        <w:t>Fiscal neutrality to local taxpayers.</w:t>
      </w:r>
    </w:p>
    <w:p w14:paraId="29D63E0D" w14:textId="3D0AF5B5" w:rsidR="00A860F8" w:rsidRDefault="00A860F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This is incompatible with responsible concurrency principles and exposes counties to future</w:t>
      </w:r>
      <w:r w:rsidR="00625BB8">
        <w:rPr>
          <w:rFonts w:ascii="TimesNewRomanPSMT" w:hAnsi="TimesNewRomanPSMT" w:cs="TimesNewRomanPSMT"/>
          <w:kern w:val="0"/>
        </w:rPr>
        <w:t xml:space="preserve"> </w:t>
      </w:r>
      <w:r w:rsidRPr="00625BB8">
        <w:rPr>
          <w:rFonts w:ascii="TimesNewRomanPSMT" w:hAnsi="TimesNewRomanPSMT" w:cs="TimesNewRomanPSMT"/>
          <w:kern w:val="0"/>
        </w:rPr>
        <w:t>unfunded infrastructure liabilities.</w:t>
      </w:r>
    </w:p>
    <w:p w14:paraId="35CA1A06" w14:textId="77777777" w:rsidR="00625BB8" w:rsidRPr="00625BB8" w:rsidRDefault="00625BB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B175077" w14:textId="7BCCEEC5" w:rsidR="00A860F8" w:rsidRPr="00625BB8" w:rsidRDefault="00A860F8" w:rsidP="00A860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25BB8">
        <w:rPr>
          <w:rFonts w:ascii="TimesNewRomanPSMT" w:hAnsi="TimesNewRomanPSMT" w:cs="TimesNewRomanPSMT"/>
          <w:b/>
          <w:bCs/>
          <w:kern w:val="0"/>
        </w:rPr>
        <w:t>Water Resource and Aquifer Impacts</w:t>
      </w:r>
    </w:p>
    <w:p w14:paraId="6876B39A" w14:textId="77777777" w:rsidR="00A860F8" w:rsidRPr="00A860F8" w:rsidRDefault="00A860F8" w:rsidP="00625BB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860F8">
        <w:rPr>
          <w:rFonts w:ascii="TimesNewRomanPSMT" w:hAnsi="TimesNewRomanPSMT" w:cs="TimesNewRomanPSMT"/>
          <w:kern w:val="0"/>
        </w:rPr>
        <w:t>In Pasco County and throughout Central Florida, water supply planning is already strained.</w:t>
      </w:r>
    </w:p>
    <w:p w14:paraId="2CD51B00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Granting large-scale entitlements without strict demonstration of sustainable withdrawals</w:t>
      </w:r>
    </w:p>
    <w:p w14:paraId="067992BD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threatens:</w:t>
      </w:r>
    </w:p>
    <w:p w14:paraId="00FF17EF" w14:textId="7A522BCB" w:rsidR="00A860F8" w:rsidRPr="00625BB8" w:rsidRDefault="00A860F8" w:rsidP="00625B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>Aquifer drawdown,</w:t>
      </w:r>
    </w:p>
    <w:p w14:paraId="5545D2F0" w14:textId="316748B4" w:rsidR="00A860F8" w:rsidRPr="00625BB8" w:rsidRDefault="00A860F8" w:rsidP="00625B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>Wetland hydrology,</w:t>
      </w:r>
    </w:p>
    <w:p w14:paraId="72BA13FB" w14:textId="21EE5153" w:rsidR="00A860F8" w:rsidRPr="00625BB8" w:rsidRDefault="00A860F8" w:rsidP="00625B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 xml:space="preserve">Spring </w:t>
      </w:r>
      <w:proofErr w:type="gramStart"/>
      <w:r w:rsidRPr="00625BB8">
        <w:rPr>
          <w:rFonts w:ascii="TimesNewRomanPSMT" w:hAnsi="TimesNewRomanPSMT" w:cs="TimesNewRomanPSMT"/>
          <w:kern w:val="0"/>
        </w:rPr>
        <w:t>flows</w:t>
      </w:r>
      <w:proofErr w:type="gramEnd"/>
      <w:r w:rsidRPr="00625BB8">
        <w:rPr>
          <w:rFonts w:ascii="TimesNewRomanPSMT" w:hAnsi="TimesNewRomanPSMT" w:cs="TimesNewRomanPSMT"/>
          <w:kern w:val="0"/>
        </w:rPr>
        <w:t>,</w:t>
      </w:r>
    </w:p>
    <w:p w14:paraId="679D84D5" w14:textId="38C42437" w:rsidR="00A860F8" w:rsidRPr="00625BB8" w:rsidRDefault="00A860F8" w:rsidP="00625B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>Downstream estuarine systems.</w:t>
      </w:r>
    </w:p>
    <w:p w14:paraId="20FDDAF0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“Reserve acreage” does not mitigate groundwater withdrawal impacts from </w:t>
      </w:r>
      <w:proofErr w:type="gramStart"/>
      <w:r>
        <w:rPr>
          <w:rFonts w:ascii="TimesNewRomanPSMT" w:hAnsi="TimesNewRomanPSMT" w:cs="TimesNewRomanPSMT"/>
          <w:kern w:val="0"/>
        </w:rPr>
        <w:t>urban-scale</w:t>
      </w:r>
      <w:proofErr w:type="gramEnd"/>
    </w:p>
    <w:p w14:paraId="45C4F0D2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development.</w:t>
      </w:r>
    </w:p>
    <w:p w14:paraId="0ACBDD8F" w14:textId="77777777" w:rsidR="00625BB8" w:rsidRDefault="00625BB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F5774A4" w14:textId="0601B6BB" w:rsidR="00A860F8" w:rsidRPr="00625BB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25BB8">
        <w:rPr>
          <w:rFonts w:ascii="TimesNewRomanPSMT" w:hAnsi="TimesNewRomanPSMT" w:cs="TimesNewRomanPSMT"/>
          <w:b/>
          <w:bCs/>
          <w:kern w:val="0"/>
        </w:rPr>
        <w:lastRenderedPageBreak/>
        <w:t>4. Fragmentation of Rural Lands and Wildlife Corridors</w:t>
      </w:r>
    </w:p>
    <w:p w14:paraId="492294F0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designation of 60% “reserve” land is not synonymous with conservation. Without perpetual</w:t>
      </w:r>
    </w:p>
    <w:p w14:paraId="4EB8A177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conservation easements meeting enforceable ecological standards, fragmentation effects remain</w:t>
      </w:r>
    </w:p>
    <w:p w14:paraId="1C1729C0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significant. Infrastructure corridors, road networks, and utility extensions permanently alter rural</w:t>
      </w:r>
    </w:p>
    <w:p w14:paraId="3FA96438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landscapes and wildlife movement patterns.</w:t>
      </w:r>
    </w:p>
    <w:p w14:paraId="0D8F66AE" w14:textId="77777777" w:rsidR="00625BB8" w:rsidRDefault="00625BB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0769E65" w14:textId="526F294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This legislation incentivizes leapfrog sprawl rather than infill development consistent with state</w:t>
      </w:r>
    </w:p>
    <w:p w14:paraId="41A771A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planning objectives.</w:t>
      </w:r>
    </w:p>
    <w:p w14:paraId="64CE1E59" w14:textId="77777777" w:rsidR="00625BB8" w:rsidRPr="00625BB8" w:rsidRDefault="00625BB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</w:p>
    <w:p w14:paraId="4FC072F4" w14:textId="77777777" w:rsidR="00A860F8" w:rsidRPr="00625BB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25BB8">
        <w:rPr>
          <w:rFonts w:ascii="TimesNewRomanPSMT" w:hAnsi="TimesNewRomanPSMT" w:cs="TimesNewRomanPSMT"/>
          <w:b/>
          <w:bCs/>
          <w:kern w:val="0"/>
        </w:rPr>
        <w:t>5. Procedural Curtailment of Meaningful Public Review</w:t>
      </w:r>
    </w:p>
    <w:p w14:paraId="2506DF92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Although amendments have adjusted hearing requirements, the structure of the bill substantially</w:t>
      </w:r>
    </w:p>
    <w:p w14:paraId="13BBB138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limits meaningful local review and shifts decision-making away from community-driven</w:t>
      </w:r>
    </w:p>
    <w:p w14:paraId="228A6845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planning processes.</w:t>
      </w:r>
    </w:p>
    <w:p w14:paraId="5AF2EE2A" w14:textId="77777777" w:rsidR="00625BB8" w:rsidRDefault="00625BB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2CED803" w14:textId="5162EB8A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Florida’s growth management system was designed to balance economic development with</w:t>
      </w:r>
    </w:p>
    <w:p w14:paraId="4441C6BA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environmental protection and infrastructure planning. HB 299 / SB 354 dismantle that balance.</w:t>
      </w:r>
    </w:p>
    <w:p w14:paraId="1E4070E2" w14:textId="77777777" w:rsidR="00625BB8" w:rsidRDefault="00625BB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A71AD08" w14:textId="34A7A3B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Legislature should not create a special entitlement class for large speculative development</w:t>
      </w:r>
    </w:p>
    <w:p w14:paraId="6607CF1D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interests at the expense of:</w:t>
      </w:r>
    </w:p>
    <w:p w14:paraId="54A1891D" w14:textId="293759EE" w:rsidR="00A860F8" w:rsidRPr="00625BB8" w:rsidRDefault="00A860F8" w:rsidP="00625B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>Local fiscal stability,</w:t>
      </w:r>
    </w:p>
    <w:p w14:paraId="541607DC" w14:textId="4B81D268" w:rsidR="00A860F8" w:rsidRPr="00625BB8" w:rsidRDefault="00A860F8" w:rsidP="00625B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>Environmental sustainability,</w:t>
      </w:r>
    </w:p>
    <w:p w14:paraId="6C385318" w14:textId="4E71BC8B" w:rsidR="00A860F8" w:rsidRPr="00625BB8" w:rsidRDefault="00A860F8" w:rsidP="00625B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>Water resource protection,</w:t>
      </w:r>
    </w:p>
    <w:p w14:paraId="47D8A732" w14:textId="7C5AF563" w:rsidR="00A860F8" w:rsidRDefault="00A860F8" w:rsidP="00625B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25BB8">
        <w:rPr>
          <w:rFonts w:ascii="TimesNewRomanPSMT" w:hAnsi="TimesNewRomanPSMT" w:cs="TimesNewRomanPSMT"/>
          <w:kern w:val="0"/>
        </w:rPr>
        <w:t>Democratic home rule governance.</w:t>
      </w:r>
    </w:p>
    <w:p w14:paraId="70B7BB13" w14:textId="77777777" w:rsidR="00625BB8" w:rsidRPr="00625BB8" w:rsidRDefault="00625BB8" w:rsidP="00625B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B06D91F" w14:textId="732033B9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We respectfully request that you vote NO on HB 299 / SB 354 and uphold Florida’s longstanding</w:t>
      </w:r>
      <w:r w:rsidR="00625BB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growth management principles.</w:t>
      </w:r>
    </w:p>
    <w:p w14:paraId="3BA5E9F5" w14:textId="77777777" w:rsidR="00625BB8" w:rsidRDefault="00625BB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0C46231" w14:textId="356D42BC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We are available to meet to discuss the technical implications of this legislation.</w:t>
      </w:r>
    </w:p>
    <w:p w14:paraId="00F70FB9" w14:textId="77777777" w:rsidR="00625BB8" w:rsidRDefault="00625BB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8F7A2E2" w14:textId="670D36AA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Sincerely,</w:t>
      </w:r>
    </w:p>
    <w:p w14:paraId="1F306A9B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[Name]</w:t>
      </w:r>
    </w:p>
    <w:p w14:paraId="1F768B9F" w14:textId="77777777" w:rsidR="00A860F8" w:rsidRDefault="00A860F8" w:rsidP="00A860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Pasco County Chapter</w:t>
      </w:r>
    </w:p>
    <w:p w14:paraId="373DBBC3" w14:textId="6FDA759B" w:rsidR="00913735" w:rsidRDefault="00A860F8" w:rsidP="00A860F8">
      <w:r>
        <w:rPr>
          <w:rFonts w:ascii="TimesNewRomanPSMT" w:hAnsi="TimesNewRomanPSMT" w:cs="TimesNewRomanPSMT"/>
          <w:kern w:val="0"/>
        </w:rPr>
        <w:t>Democratic Environmental</w:t>
      </w:r>
      <w:r w:rsidR="00625BB8">
        <w:rPr>
          <w:rFonts w:ascii="TimesNewRomanPSMT" w:hAnsi="TimesNewRomanPSMT" w:cs="TimesNewRomanPSMT"/>
          <w:kern w:val="0"/>
        </w:rPr>
        <w:t xml:space="preserve"> Caucus of Florida</w:t>
      </w:r>
    </w:p>
    <w:sectPr w:rsidR="0091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09B3"/>
    <w:multiLevelType w:val="hybridMultilevel"/>
    <w:tmpl w:val="87EC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3FA"/>
    <w:multiLevelType w:val="hybridMultilevel"/>
    <w:tmpl w:val="BDA019F0"/>
    <w:lvl w:ilvl="0" w:tplc="AB928936">
      <w:numFmt w:val="bullet"/>
      <w:lvlText w:val="•"/>
      <w:lvlJc w:val="left"/>
      <w:pPr>
        <w:ind w:left="1080" w:hanging="360"/>
      </w:pPr>
      <w:rPr>
        <w:rFonts w:ascii="TimesNewRomanPSMT" w:eastAsiaTheme="minorHAnsi" w:hAnsi="TimesNewRomanPSMT" w:cs="TimesNewRomanPSM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77B66"/>
    <w:multiLevelType w:val="hybridMultilevel"/>
    <w:tmpl w:val="4448D9D2"/>
    <w:lvl w:ilvl="0" w:tplc="AB928936">
      <w:numFmt w:val="bullet"/>
      <w:lvlText w:val="•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64D95"/>
    <w:multiLevelType w:val="hybridMultilevel"/>
    <w:tmpl w:val="FF26F51E"/>
    <w:lvl w:ilvl="0" w:tplc="AB928936">
      <w:numFmt w:val="bullet"/>
      <w:lvlText w:val="•"/>
      <w:lvlJc w:val="left"/>
      <w:pPr>
        <w:ind w:left="108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844F20"/>
    <w:multiLevelType w:val="hybridMultilevel"/>
    <w:tmpl w:val="79AC31C8"/>
    <w:lvl w:ilvl="0" w:tplc="AB928936">
      <w:numFmt w:val="bullet"/>
      <w:lvlText w:val="•"/>
      <w:lvlJc w:val="left"/>
      <w:pPr>
        <w:ind w:left="108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75A9C"/>
    <w:multiLevelType w:val="hybridMultilevel"/>
    <w:tmpl w:val="6B7C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E6359"/>
    <w:multiLevelType w:val="hybridMultilevel"/>
    <w:tmpl w:val="3E907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22890">
    <w:abstractNumId w:val="0"/>
  </w:num>
  <w:num w:numId="2" w16cid:durableId="1565945174">
    <w:abstractNumId w:val="2"/>
  </w:num>
  <w:num w:numId="3" w16cid:durableId="1023436492">
    <w:abstractNumId w:val="6"/>
  </w:num>
  <w:num w:numId="4" w16cid:durableId="520971738">
    <w:abstractNumId w:val="5"/>
  </w:num>
  <w:num w:numId="5" w16cid:durableId="1251819579">
    <w:abstractNumId w:val="1"/>
  </w:num>
  <w:num w:numId="6" w16cid:durableId="1506285377">
    <w:abstractNumId w:val="4"/>
  </w:num>
  <w:num w:numId="7" w16cid:durableId="13896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F8"/>
    <w:rsid w:val="00143AB0"/>
    <w:rsid w:val="00343E3C"/>
    <w:rsid w:val="003772FA"/>
    <w:rsid w:val="004A2DF0"/>
    <w:rsid w:val="00625BB8"/>
    <w:rsid w:val="007F5210"/>
    <w:rsid w:val="008F0BE1"/>
    <w:rsid w:val="00913735"/>
    <w:rsid w:val="00A860F8"/>
    <w:rsid w:val="00D568D7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9798"/>
  <w15:chartTrackingRefBased/>
  <w15:docId w15:val="{6E703276-E1A1-44CF-B8E1-44493EEB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785</Words>
  <Characters>5190</Characters>
  <Application>Microsoft Office Word</Application>
  <DocSecurity>0</DocSecurity>
  <Lines>103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Carroll</dc:creator>
  <cp:keywords/>
  <dc:description/>
  <cp:lastModifiedBy>Doris Carroll</cp:lastModifiedBy>
  <cp:revision>1</cp:revision>
  <dcterms:created xsi:type="dcterms:W3CDTF">2026-03-01T21:47:00Z</dcterms:created>
  <dcterms:modified xsi:type="dcterms:W3CDTF">2026-03-01T22:03:00Z</dcterms:modified>
</cp:coreProperties>
</file>