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46B0D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p w14:paraId="126BB288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headerReference w:type="default" r:id="rId6"/>
          <w:footerReference w:type="default" r:id="rId7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14:paraId="48ACD8F5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1" w:name="co_document_1"/>
      <w:bookmarkStart w:id="2" w:name="N612E8B90DBDC11DB8D12B2375E34596F_Target"/>
      <w:bookmarkEnd w:id="1"/>
      <w:bookmarkEnd w:id="2"/>
    </w:p>
    <w:p w14:paraId="2A0C08C5" w14:textId="77777777" w:rsidR="00000000" w:rsidRDefault="000973CC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solid" w:color="F7F7F7" w:fill="auto"/>
        <w:autoSpaceDE w:val="0"/>
        <w:autoSpaceDN w:val="0"/>
        <w:adjustRightInd w:val="0"/>
        <w:spacing w:after="0" w:line="240" w:lineRule="auto"/>
        <w:ind w:left="180" w:right="180"/>
        <w:jc w:val="both"/>
        <w:rPr>
          <w:rFonts w:ascii="Georgia" w:hAnsi="Georgia" w:cs="Georgia"/>
          <w:color w:val="000000"/>
          <w:sz w:val="20"/>
          <w:szCs w:val="20"/>
        </w:rPr>
      </w:pPr>
      <w:hyperlink r:id="rId8" w:history="1">
        <w:r>
          <w:rPr>
            <w:rFonts w:ascii="Georgia" w:hAnsi="Georgia" w:cs="Georgia"/>
            <w:color w:val="0000FF"/>
            <w:sz w:val="20"/>
            <w:szCs w:val="20"/>
          </w:rPr>
          <w:t xml:space="preserve">West’s Colorado Revised Statutes Annotated </w:t>
        </w:r>
      </w:hyperlink>
    </w:p>
    <w:p w14:paraId="2AB93846" w14:textId="77777777" w:rsidR="00000000" w:rsidRDefault="000973CC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solid" w:color="F7F7F7" w:fill="auto"/>
        <w:autoSpaceDE w:val="0"/>
        <w:autoSpaceDN w:val="0"/>
        <w:adjustRightInd w:val="0"/>
        <w:spacing w:after="0" w:line="240" w:lineRule="auto"/>
        <w:ind w:left="380" w:right="180"/>
        <w:rPr>
          <w:rFonts w:ascii="Georgia" w:hAnsi="Georgia" w:cs="Georgia"/>
          <w:color w:val="000000"/>
          <w:sz w:val="20"/>
          <w:szCs w:val="20"/>
        </w:rPr>
      </w:pPr>
      <w:hyperlink r:id="rId9" w:history="1">
        <w:r>
          <w:rPr>
            <w:rFonts w:ascii="Georgia" w:hAnsi="Georgia" w:cs="Georgia"/>
            <w:color w:val="0000FF"/>
            <w:sz w:val="20"/>
            <w:szCs w:val="20"/>
          </w:rPr>
          <w:t>Colorado Rules of Criminal Procedure</w:t>
        </w:r>
      </w:hyperlink>
    </w:p>
    <w:p w14:paraId="1EB08C94" w14:textId="77777777" w:rsidR="00000000" w:rsidRDefault="000973CC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solid" w:color="F7F7F7" w:fill="auto"/>
        <w:autoSpaceDE w:val="0"/>
        <w:autoSpaceDN w:val="0"/>
        <w:adjustRightInd w:val="0"/>
        <w:spacing w:after="0" w:line="240" w:lineRule="auto"/>
        <w:ind w:left="580" w:right="180"/>
        <w:rPr>
          <w:rFonts w:ascii="Georgia" w:hAnsi="Georgia" w:cs="Georgia"/>
          <w:color w:val="000000"/>
          <w:sz w:val="20"/>
          <w:szCs w:val="20"/>
        </w:rPr>
      </w:pPr>
      <w:hyperlink r:id="rId10" w:history="1">
        <w:r>
          <w:rPr>
            <w:rFonts w:ascii="Georgia" w:hAnsi="Georgia" w:cs="Georgia"/>
            <w:color w:val="0000FF"/>
            <w:sz w:val="20"/>
            <w:szCs w:val="20"/>
          </w:rPr>
          <w:t xml:space="preserve">Chapter 29. Colorado Rules of Criminal Procedure </w:t>
        </w:r>
      </w:hyperlink>
      <w:hyperlink r:id="rId11" w:history="1">
        <w:r>
          <w:rPr>
            <w:rFonts w:ascii="Georgia" w:hAnsi="Georgia" w:cs="Georgia"/>
            <w:color w:val="0000FF"/>
            <w:sz w:val="20"/>
            <w:szCs w:val="20"/>
          </w:rPr>
          <w:t>(Refs &amp; Annos)</w:t>
        </w:r>
      </w:hyperlink>
    </w:p>
    <w:bookmarkStart w:id="3" w:name="co_prelimGoldenLeaf_1"/>
    <w:bookmarkEnd w:id="3"/>
    <w:p w14:paraId="760DD79D" w14:textId="77777777" w:rsidR="00000000" w:rsidRDefault="000973CC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solid" w:color="F7F7F7" w:fill="auto"/>
        <w:autoSpaceDE w:val="0"/>
        <w:autoSpaceDN w:val="0"/>
        <w:adjustRightInd w:val="0"/>
        <w:spacing w:after="0" w:line="240" w:lineRule="auto"/>
        <w:ind w:left="780" w:right="180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fldChar w:fldCharType="begin"/>
      </w:r>
      <w:r>
        <w:rPr>
          <w:rFonts w:ascii="Georgia" w:hAnsi="Georgia" w:cs="Georgia"/>
          <w:color w:val="000000"/>
          <w:sz w:val="20"/>
          <w:szCs w:val="20"/>
        </w:rPr>
        <w:instrText>HYPERLINK "http://www.westlaw.com/Browse/Home/StatutesCourtRules/ColoradoStatutesCourtRules?guid=N0BBD0680D88C11DBA93CE8A0BD96DE4A&amp;transitionType=DocumentItem&amp;contextData=(s</w:instrText>
      </w:r>
      <w:r>
        <w:rPr>
          <w:rFonts w:ascii="Georgia" w:hAnsi="Georgia" w:cs="Georgia"/>
          <w:color w:val="000000"/>
          <w:sz w:val="20"/>
          <w:szCs w:val="20"/>
        </w:rPr>
        <w:instrText xml:space="preserve">c.Category)&amp;rs=clbt1.0&amp;vr=3.0" </w:instrText>
      </w:r>
      <w:r w:rsidR="00532419">
        <w:rPr>
          <w:rFonts w:ascii="Georgia" w:hAnsi="Georgia" w:cs="Georgia"/>
          <w:color w:val="000000"/>
          <w:sz w:val="20"/>
          <w:szCs w:val="20"/>
        </w:rPr>
      </w:r>
      <w:r>
        <w:rPr>
          <w:rFonts w:ascii="Georgia" w:hAnsi="Georgia" w:cs="Georgia"/>
          <w:color w:val="000000"/>
          <w:sz w:val="20"/>
          <w:szCs w:val="20"/>
        </w:rPr>
        <w:fldChar w:fldCharType="separate"/>
      </w:r>
      <w:r>
        <w:rPr>
          <w:rFonts w:ascii="Georgia" w:hAnsi="Georgia" w:cs="Georgia"/>
          <w:color w:val="0000FF"/>
          <w:sz w:val="20"/>
          <w:szCs w:val="20"/>
        </w:rPr>
        <w:t>VIII. Supplementary and Special Proceedings</w:t>
      </w:r>
      <w:r>
        <w:rPr>
          <w:rFonts w:ascii="Georgia" w:hAnsi="Georgia" w:cs="Georgia"/>
          <w:color w:val="000000"/>
          <w:sz w:val="20"/>
          <w:szCs w:val="20"/>
        </w:rPr>
        <w:fldChar w:fldCharType="end"/>
      </w:r>
    </w:p>
    <w:p w14:paraId="0C1597AD" w14:textId="77777777" w:rsidR="00000000" w:rsidRDefault="000973CC">
      <w:pPr>
        <w:widowControl w:val="0"/>
        <w:autoSpaceDE w:val="0"/>
        <w:autoSpaceDN w:val="0"/>
        <w:adjustRightInd w:val="0"/>
        <w:spacing w:before="400" w:after="0" w:line="240" w:lineRule="auto"/>
        <w:jc w:val="center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Crim. P. Rule 43</w:t>
      </w:r>
    </w:p>
    <w:p w14:paraId="33688238" w14:textId="77777777" w:rsidR="00000000" w:rsidRDefault="000973CC">
      <w:pPr>
        <w:widowControl w:val="0"/>
        <w:autoSpaceDE w:val="0"/>
        <w:autoSpaceDN w:val="0"/>
        <w:adjustRightInd w:val="0"/>
        <w:spacing w:before="200" w:after="200" w:line="240" w:lineRule="auto"/>
        <w:ind w:left="100" w:right="100"/>
        <w:jc w:val="center"/>
        <w:rPr>
          <w:rFonts w:ascii="Georgia" w:hAnsi="Georgia" w:cs="Georgia"/>
          <w:color w:val="252525"/>
          <w:sz w:val="20"/>
          <w:szCs w:val="20"/>
        </w:rPr>
      </w:pPr>
      <w:bookmarkStart w:id="4" w:name="co_anchor_I44D70110E46311DE979EDEC7477EE"/>
      <w:bookmarkEnd w:id="4"/>
      <w:r>
        <w:rPr>
          <w:rFonts w:ascii="Georgia" w:hAnsi="Georgia" w:cs="Georgia"/>
          <w:color w:val="252525"/>
          <w:sz w:val="20"/>
          <w:szCs w:val="20"/>
        </w:rPr>
        <w:t>RULE 43. PRESENCE OF THE DEFENDANT</w:t>
      </w:r>
    </w:p>
    <w:p w14:paraId="4B5864ED" w14:textId="77777777" w:rsidR="00000000" w:rsidRDefault="000973CC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Georgia" w:hAnsi="Georgia" w:cs="Georgia"/>
          <w:color w:val="000000"/>
          <w:sz w:val="20"/>
          <w:szCs w:val="20"/>
        </w:rPr>
      </w:pPr>
      <w:bookmarkStart w:id="5" w:name="coid_effectiveDateBlock_1"/>
      <w:bookmarkEnd w:id="5"/>
      <w:r>
        <w:rPr>
          <w:rFonts w:ascii="Georgia" w:hAnsi="Georgia" w:cs="Georgia"/>
          <w:color w:val="000000"/>
          <w:sz w:val="20"/>
          <w:szCs w:val="20"/>
        </w:rPr>
        <w:t>Effective: January 1, 2018</w:t>
      </w:r>
    </w:p>
    <w:p w14:paraId="1924B5FC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20"/>
          <w:szCs w:val="20"/>
        </w:rPr>
      </w:pPr>
      <w:hyperlink r:id="rId12" w:history="1">
        <w:r>
          <w:rPr>
            <w:rFonts w:ascii="Georgia" w:hAnsi="Georgia" w:cs="Georgia"/>
            <w:color w:val="0000FF"/>
            <w:sz w:val="20"/>
            <w:szCs w:val="20"/>
            <w:vertAlign w:val="superscript"/>
          </w:rPr>
          <w:t>Currentness</w:t>
        </w:r>
      </w:hyperlink>
    </w:p>
    <w:p w14:paraId="30664EE1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" w:name="co_anchor_I44D6B2F0E46311DE979EDEC7477EE"/>
      <w:bookmarkEnd w:id="6"/>
    </w:p>
    <w:p w14:paraId="5FECC868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7" w:name="co_anchor_I44D70111E46311DE979EDEC7477EE"/>
      <w:bookmarkEnd w:id="7"/>
    </w:p>
    <w:p w14:paraId="19D1203D" w14:textId="77777777" w:rsidR="00000000" w:rsidRDefault="000973CC">
      <w:pPr>
        <w:widowControl w:val="0"/>
        <w:autoSpaceDE w:val="0"/>
        <w:autoSpaceDN w:val="0"/>
        <w:adjustRightInd w:val="0"/>
        <w:spacing w:before="4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8" w:name="co_pp_8b3b0000958a4_1"/>
      <w:bookmarkEnd w:id="8"/>
      <w:r>
        <w:rPr>
          <w:rFonts w:ascii="Times New Roman" w:hAnsi="Times New Roman"/>
          <w:b/>
          <w:bCs/>
          <w:color w:val="000000"/>
          <w:sz w:val="20"/>
          <w:szCs w:val="20"/>
        </w:rPr>
        <w:t>(a) Presence Required.</w:t>
      </w:r>
      <w:r>
        <w:rPr>
          <w:rFonts w:ascii="Times New Roman" w:hAnsi="Times New Roman"/>
          <w:color w:val="000000"/>
          <w:sz w:val="20"/>
          <w:szCs w:val="20"/>
        </w:rPr>
        <w:t xml:space="preserve"> The defendant shall be present at the preliminary hearing, at the arraignment, at the time of the plea, at every stage of the trial including the impaneling of the </w:t>
      </w:r>
      <w:r>
        <w:rPr>
          <w:rFonts w:ascii="Times New Roman" w:hAnsi="Times New Roman"/>
          <w:color w:val="000000"/>
          <w:sz w:val="20"/>
          <w:szCs w:val="20"/>
        </w:rPr>
        <w:t>jury and the return of the verdict, and at the imposition of sentence, except as otherwise provided by this rule.</w:t>
      </w:r>
    </w:p>
    <w:p w14:paraId="06CE9191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3DB30D24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9" w:name="co_anchor_I44D70112E46311DE979EDEC7477EE"/>
      <w:bookmarkEnd w:id="9"/>
    </w:p>
    <w:p w14:paraId="190BF107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0" w:name="co_pp_a83b000018c76_1"/>
      <w:bookmarkEnd w:id="10"/>
      <w:r>
        <w:rPr>
          <w:rFonts w:ascii="Times New Roman" w:hAnsi="Times New Roman"/>
          <w:b/>
          <w:bCs/>
          <w:color w:val="000000"/>
          <w:sz w:val="20"/>
          <w:szCs w:val="20"/>
        </w:rPr>
        <w:t>(b) Continued Presence Not Required.</w:t>
      </w:r>
      <w:r>
        <w:rPr>
          <w:rFonts w:ascii="Times New Roman" w:hAnsi="Times New Roman"/>
          <w:color w:val="000000"/>
          <w:sz w:val="20"/>
          <w:szCs w:val="20"/>
        </w:rPr>
        <w:t xml:space="preserve"> The trial court in its discretion may complete the trial, and the defendant shall be considered to have waived his right to be present, whenever a defendant, initially present:</w:t>
      </w:r>
    </w:p>
    <w:p w14:paraId="7A2A4FF0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4449A572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1" w:name="co_anchor_I44D72820E46311DE979EDEC7477EE"/>
      <w:bookmarkEnd w:id="11"/>
    </w:p>
    <w:p w14:paraId="585CD89C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2" w:name="co_pp_3fed000053a85_1"/>
      <w:bookmarkEnd w:id="12"/>
      <w:r>
        <w:rPr>
          <w:rFonts w:ascii="Times New Roman" w:hAnsi="Times New Roman"/>
          <w:color w:val="000000"/>
          <w:sz w:val="20"/>
          <w:szCs w:val="20"/>
        </w:rPr>
        <w:t>(1) Voluntarily absents himself after the trial has commenced, whether or not he has been informed by the court of his obligation to remain during the t</w:t>
      </w:r>
      <w:r>
        <w:rPr>
          <w:rFonts w:ascii="Times New Roman" w:hAnsi="Times New Roman"/>
          <w:color w:val="000000"/>
          <w:sz w:val="20"/>
          <w:szCs w:val="20"/>
        </w:rPr>
        <w:t>rial, or</w:t>
      </w:r>
    </w:p>
    <w:p w14:paraId="7CEEBC79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6DC16C0F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3" w:name="co_anchor_I44D72821E46311DE979EDEC7477EE"/>
      <w:bookmarkEnd w:id="13"/>
    </w:p>
    <w:p w14:paraId="305B7044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4" w:name="co_pp_c0ae00006c482_1"/>
      <w:bookmarkEnd w:id="14"/>
      <w:r>
        <w:rPr>
          <w:rFonts w:ascii="Times New Roman" w:hAnsi="Times New Roman"/>
          <w:color w:val="000000"/>
          <w:sz w:val="20"/>
          <w:szCs w:val="20"/>
        </w:rPr>
        <w:t>(2) After being warned by the court that disruptive conduct will cause him to be removed from the courtroom, persists in c</w:t>
      </w:r>
      <w:r>
        <w:rPr>
          <w:rFonts w:ascii="Times New Roman" w:hAnsi="Times New Roman"/>
          <w:color w:val="000000"/>
          <w:sz w:val="20"/>
          <w:szCs w:val="20"/>
        </w:rPr>
        <w:t>onduct which is such as to justify his being excluded from the courtroom.</w:t>
      </w:r>
    </w:p>
    <w:p w14:paraId="3EEE9B13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62BFEE7C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5" w:name="co_anchor_I44D72822E46311DE979EDEC7477EE"/>
      <w:bookmarkEnd w:id="15"/>
    </w:p>
    <w:p w14:paraId="782CE8EE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6" w:name="co_pp_4b24000003ba5_1"/>
      <w:bookmarkEnd w:id="16"/>
      <w:r>
        <w:rPr>
          <w:rFonts w:ascii="Times New Roman" w:hAnsi="Times New Roman"/>
          <w:b/>
          <w:bCs/>
          <w:color w:val="000000"/>
          <w:sz w:val="20"/>
          <w:szCs w:val="20"/>
        </w:rPr>
        <w:t>(c) Presence Not Required.</w:t>
      </w:r>
      <w:r>
        <w:rPr>
          <w:rFonts w:ascii="Times New Roman" w:hAnsi="Times New Roman"/>
          <w:color w:val="000000"/>
          <w:sz w:val="20"/>
          <w:szCs w:val="20"/>
        </w:rPr>
        <w:t xml:space="preserve"> A defendant need not be presen</w:t>
      </w:r>
      <w:r>
        <w:rPr>
          <w:rFonts w:ascii="Times New Roman" w:hAnsi="Times New Roman"/>
          <w:color w:val="000000"/>
          <w:sz w:val="20"/>
          <w:szCs w:val="20"/>
        </w:rPr>
        <w:t>t in the following situations:</w:t>
      </w:r>
    </w:p>
    <w:p w14:paraId="6DF0E327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4D473033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7" w:name="co_anchor_I44D72823E46311DE979EDEC7477EE"/>
      <w:bookmarkEnd w:id="17"/>
    </w:p>
    <w:p w14:paraId="3F10F70F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8" w:name="co_pp_10c0000001331_1"/>
      <w:bookmarkEnd w:id="18"/>
      <w:r>
        <w:rPr>
          <w:rFonts w:ascii="Times New Roman" w:hAnsi="Times New Roman"/>
          <w:color w:val="000000"/>
          <w:sz w:val="20"/>
          <w:szCs w:val="20"/>
        </w:rPr>
        <w:t>(1) A corporation may appear by counsel for all purposes.</w:t>
      </w:r>
    </w:p>
    <w:p w14:paraId="08E2CED2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00251600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19" w:name="co_anchor_I44D72824E46311DE979EDEC7477EE"/>
      <w:bookmarkEnd w:id="19"/>
    </w:p>
    <w:p w14:paraId="29C9AAF5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0" w:name="co_pp_fcf30000ea9c4_1"/>
      <w:bookmarkEnd w:id="20"/>
      <w:r>
        <w:rPr>
          <w:rFonts w:ascii="Times New Roman" w:hAnsi="Times New Roman"/>
          <w:color w:val="000000"/>
          <w:sz w:val="20"/>
          <w:szCs w:val="20"/>
        </w:rPr>
        <w:t>(2) At a conference or argument upon a question of law.</w:t>
      </w:r>
    </w:p>
    <w:p w14:paraId="38B0523F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5F50098F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1" w:name="co_anchor_I44D72825E46311DE979EDEC7477EE"/>
      <w:bookmarkEnd w:id="21"/>
    </w:p>
    <w:p w14:paraId="1C8BA884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2" w:name="co_pp_b1b5000051ac5_1"/>
      <w:bookmarkEnd w:id="22"/>
      <w:r>
        <w:rPr>
          <w:rFonts w:ascii="Times New Roman" w:hAnsi="Times New Roman"/>
          <w:color w:val="000000"/>
          <w:sz w:val="20"/>
          <w:szCs w:val="20"/>
        </w:rPr>
        <w:t>(3) At a reduction of sentence under Rule 35.</w:t>
      </w:r>
    </w:p>
    <w:p w14:paraId="34CC8335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24D24506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3" w:name="co_anchor_I44D72826E46311DE979EDEC7477EE"/>
      <w:bookmarkEnd w:id="23"/>
    </w:p>
    <w:p w14:paraId="31AEB692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4" w:name="co_pp_5ba1000067d06_1"/>
      <w:bookmarkEnd w:id="24"/>
      <w:r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(d) Waiver.</w:t>
      </w:r>
      <w:r>
        <w:rPr>
          <w:rFonts w:ascii="Times New Roman" w:hAnsi="Times New Roman"/>
          <w:color w:val="000000"/>
          <w:sz w:val="20"/>
          <w:szCs w:val="20"/>
        </w:rPr>
        <w:t xml:space="preserve"> The voluntary failure of the defendant to appear at the prelimina</w:t>
      </w:r>
      <w:r>
        <w:rPr>
          <w:rFonts w:ascii="Times New Roman" w:hAnsi="Times New Roman"/>
          <w:color w:val="000000"/>
          <w:sz w:val="20"/>
          <w:szCs w:val="20"/>
        </w:rPr>
        <w:t>ry hearing may be construed by the court as an implied waiver of his right to a preliminary hearing.</w:t>
      </w:r>
    </w:p>
    <w:p w14:paraId="169ECC25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650A5765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5" w:name="co_anchor_I832D3C107FA711DFA759E96305281"/>
      <w:bookmarkEnd w:id="25"/>
    </w:p>
    <w:p w14:paraId="58C7A11F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bookmarkStart w:id="26" w:name="co_pp_7fdd00001ca15_1"/>
      <w:bookmarkEnd w:id="26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(e) Presence of the Defendant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by Interactive Audiovisual Device.</w:t>
      </w:r>
    </w:p>
    <w:p w14:paraId="7D7CFD85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3F16E0A9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7" w:name="co_anchor_I832D3C117FA711DFA759E96305281"/>
      <w:bookmarkEnd w:id="27"/>
    </w:p>
    <w:p w14:paraId="6BB58B48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8" w:name="co_pp_06a60000dfdc6_1"/>
      <w:bookmarkEnd w:id="28"/>
      <w:r>
        <w:rPr>
          <w:rFonts w:ascii="Times New Roman" w:hAnsi="Times New Roman"/>
          <w:color w:val="000000"/>
          <w:sz w:val="20"/>
          <w:szCs w:val="20"/>
        </w:rPr>
        <w:t xml:space="preserve">(1)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Definitions.</w:t>
      </w:r>
      <w:r>
        <w:rPr>
          <w:rFonts w:ascii="Times New Roman" w:hAnsi="Times New Roman"/>
          <w:color w:val="000000"/>
          <w:sz w:val="20"/>
          <w:szCs w:val="20"/>
        </w:rPr>
        <w:t xml:space="preserve"> As used in this Rule 43:</w:t>
      </w:r>
    </w:p>
    <w:p w14:paraId="2EAD4BD5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4942FBD3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29" w:name="co_anchor_I832D3C127FA711DFA759E96305281"/>
      <w:bookmarkEnd w:id="29"/>
    </w:p>
    <w:p w14:paraId="29C3B880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30" w:name="co_pp_158b000097723_1"/>
      <w:bookmarkEnd w:id="30"/>
      <w:r>
        <w:rPr>
          <w:rFonts w:ascii="Times New Roman" w:hAnsi="Times New Roman"/>
          <w:color w:val="000000"/>
          <w:sz w:val="20"/>
          <w:szCs w:val="20"/>
        </w:rPr>
        <w:t xml:space="preserve">(I) </w:t>
      </w:r>
      <w:r>
        <w:rPr>
          <w:rFonts w:ascii="Times New Roman" w:hAnsi="Times New Roman"/>
          <w:color w:val="000000"/>
          <w:sz w:val="20"/>
          <w:szCs w:val="20"/>
        </w:rPr>
        <w:t>“</w:t>
      </w:r>
      <w:r>
        <w:rPr>
          <w:rFonts w:ascii="Times New Roman" w:hAnsi="Times New Roman"/>
          <w:color w:val="000000"/>
          <w:sz w:val="20"/>
          <w:szCs w:val="20"/>
        </w:rPr>
        <w:t>Interactive audiovisual device</w:t>
      </w:r>
      <w:r>
        <w:rPr>
          <w:rFonts w:ascii="Times New Roman" w:hAnsi="Times New Roman"/>
          <w:color w:val="000000"/>
          <w:sz w:val="20"/>
          <w:szCs w:val="20"/>
        </w:rPr>
        <w:t>”</w:t>
      </w:r>
      <w:r>
        <w:rPr>
          <w:rFonts w:ascii="Times New Roman" w:hAnsi="Times New Roman"/>
          <w:color w:val="000000"/>
          <w:sz w:val="20"/>
          <w:szCs w:val="20"/>
        </w:rPr>
        <w:t xml:space="preserve"> means a television or computer based audiovisual system capable of two-way transmission and of s</w:t>
      </w:r>
      <w:r>
        <w:rPr>
          <w:rFonts w:ascii="Times New Roman" w:hAnsi="Times New Roman"/>
          <w:color w:val="000000"/>
          <w:sz w:val="20"/>
          <w:szCs w:val="20"/>
        </w:rPr>
        <w:t>ufficient audio and visual quality that persons using the system can view and converse with each other with a minimum of disruption.</w:t>
      </w:r>
    </w:p>
    <w:p w14:paraId="5489E116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488CF9FC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31" w:name="co_anchor_I832D3C137FA711DFA759E96305281"/>
      <w:bookmarkEnd w:id="31"/>
    </w:p>
    <w:p w14:paraId="635F0F16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32" w:name="co_pp_1184000067914_1"/>
      <w:bookmarkEnd w:id="32"/>
      <w:r>
        <w:rPr>
          <w:rFonts w:ascii="Times New Roman" w:hAnsi="Times New Roman"/>
          <w:color w:val="000000"/>
          <w:sz w:val="20"/>
          <w:szCs w:val="20"/>
        </w:rPr>
        <w:t>(2) A defendant may be present within the meaning of this Rule 43 by the use of an interactive audiovisual device, in lieu of the defendant’s physical presence, for the following hearings:</w:t>
      </w:r>
    </w:p>
    <w:p w14:paraId="50D2B754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3ECFE06A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33" w:name="co_anchor_I832D3C147FA711DFA759E96305281"/>
      <w:bookmarkEnd w:id="33"/>
    </w:p>
    <w:p w14:paraId="47E1269D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34" w:name="co_pp_5b650000b7e67_1"/>
      <w:bookmarkEnd w:id="34"/>
      <w:r>
        <w:rPr>
          <w:rFonts w:ascii="Times New Roman" w:hAnsi="Times New Roman"/>
          <w:color w:val="000000"/>
          <w:sz w:val="20"/>
          <w:szCs w:val="20"/>
        </w:rPr>
        <w:t xml:space="preserve">(I) First appearances pursuant to </w:t>
      </w:r>
      <w:hyperlink r:id="rId13" w:history="1">
        <w:r>
          <w:rPr>
            <w:rFonts w:ascii="Times New Roman" w:hAnsi="Times New Roman"/>
            <w:color w:val="0000FF"/>
            <w:sz w:val="20"/>
            <w:szCs w:val="20"/>
          </w:rPr>
          <w:t>Crim.P. 5</w:t>
        </w:r>
      </w:hyperlink>
      <w:r>
        <w:rPr>
          <w:rFonts w:ascii="Times New Roman" w:hAnsi="Times New Roman"/>
          <w:color w:val="000000"/>
          <w:sz w:val="20"/>
          <w:szCs w:val="20"/>
        </w:rPr>
        <w:t>, for the purpose of advisement and setting of bail, including first appearances on probation or deferred sentence revocation complaints;</w:t>
      </w:r>
    </w:p>
    <w:p w14:paraId="2393224A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5E972EC6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35" w:name="co_anchor_I832D3C157FA711DFA759E96305281"/>
      <w:bookmarkEnd w:id="35"/>
    </w:p>
    <w:p w14:paraId="68EA3D1E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36" w:name="co_pp_376e0000dc190_1"/>
      <w:bookmarkEnd w:id="36"/>
      <w:r>
        <w:rPr>
          <w:rFonts w:ascii="Times New Roman" w:hAnsi="Times New Roman"/>
          <w:color w:val="000000"/>
          <w:sz w:val="20"/>
          <w:szCs w:val="20"/>
        </w:rPr>
        <w:t>(II) Further appearances for the filing of charges or for setting the preliminary hearing;</w:t>
      </w:r>
    </w:p>
    <w:p w14:paraId="7D3783E8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55CC5D95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37" w:name="co_anchor_I832D3C167FA711DFA759E96305281"/>
      <w:bookmarkEnd w:id="37"/>
    </w:p>
    <w:p w14:paraId="1C2EF22D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38" w:name="co_pp_7a91000006482_1"/>
      <w:bookmarkEnd w:id="38"/>
      <w:r>
        <w:rPr>
          <w:rFonts w:ascii="Times New Roman" w:hAnsi="Times New Roman"/>
          <w:color w:val="000000"/>
          <w:sz w:val="20"/>
          <w:szCs w:val="20"/>
        </w:rPr>
        <w:t>(III) Hearings to</w:t>
      </w:r>
      <w:r>
        <w:rPr>
          <w:rFonts w:ascii="Times New Roman" w:hAnsi="Times New Roman"/>
          <w:color w:val="000000"/>
          <w:sz w:val="20"/>
          <w:szCs w:val="20"/>
        </w:rPr>
        <w:t xml:space="preserve"> modify bail;</w:t>
      </w:r>
    </w:p>
    <w:p w14:paraId="500D620B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2C771497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39" w:name="co_anchor_I832D3C177FA711DFA759E96305281"/>
      <w:bookmarkEnd w:id="39"/>
    </w:p>
    <w:p w14:paraId="6F5DC177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40" w:name="co_pp_4e3e0000c6562_1"/>
      <w:bookmarkEnd w:id="40"/>
      <w:r>
        <w:rPr>
          <w:rFonts w:ascii="Times New Roman" w:hAnsi="Times New Roman"/>
          <w:color w:val="000000"/>
          <w:sz w:val="20"/>
          <w:szCs w:val="20"/>
        </w:rPr>
        <w:t>(IV) Entry of pleas and associated sentencing or probation violation hearings in misdemeanor, petty offense, and traf</w:t>
      </w:r>
      <w:r>
        <w:rPr>
          <w:rFonts w:ascii="Times New Roman" w:hAnsi="Times New Roman"/>
          <w:color w:val="000000"/>
          <w:sz w:val="20"/>
          <w:szCs w:val="20"/>
        </w:rPr>
        <w:t xml:space="preserve">fic cases where the offense charged is not included within those offenses enumerated in </w:t>
      </w:r>
      <w:hyperlink r:id="rId14" w:history="1">
        <w:r>
          <w:rPr>
            <w:rFonts w:ascii="Times New Roman" w:hAnsi="Times New Roman"/>
            <w:color w:val="0000FF"/>
            <w:sz w:val="20"/>
            <w:szCs w:val="20"/>
          </w:rPr>
          <w:t>C.R.S. 24-4.1-302 (I)</w:t>
        </w:r>
      </w:hyperlink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7AD3DF8C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2D33FEAA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41" w:name="co_anchor_I832D3C187FA711DFA759E96305281"/>
      <w:bookmarkEnd w:id="41"/>
    </w:p>
    <w:p w14:paraId="3EBD7C86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42" w:name="co_pp_edc20000ecbc5_1"/>
      <w:bookmarkEnd w:id="42"/>
      <w:r>
        <w:rPr>
          <w:rFonts w:ascii="Times New Roman" w:hAnsi="Times New Roman"/>
          <w:color w:val="000000"/>
          <w:sz w:val="20"/>
          <w:szCs w:val="20"/>
        </w:rPr>
        <w:t>(V) Waivers of preliminary hearing;</w:t>
      </w:r>
    </w:p>
    <w:p w14:paraId="065F0670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06869D6E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43" w:name="co_anchor_I832D3C197FA711DFA759E96305281"/>
      <w:bookmarkEnd w:id="43"/>
    </w:p>
    <w:p w14:paraId="755234EA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44" w:name="co_pp_8f0d00004b592_1"/>
      <w:bookmarkEnd w:id="44"/>
      <w:r>
        <w:rPr>
          <w:rFonts w:ascii="Times New Roman" w:hAnsi="Times New Roman"/>
          <w:color w:val="000000"/>
          <w:sz w:val="20"/>
          <w:szCs w:val="20"/>
        </w:rPr>
        <w:t>(VI) Restitution hearings;</w:t>
      </w:r>
    </w:p>
    <w:p w14:paraId="6DC4D86F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33B01C07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45" w:name="co_anchor_I832D3C1A7FA711DFA759E96305281"/>
      <w:bookmarkEnd w:id="45"/>
    </w:p>
    <w:p w14:paraId="062FFC35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46" w:name="co_pp_7bfc000015090_1"/>
      <w:bookmarkEnd w:id="46"/>
      <w:r>
        <w:rPr>
          <w:rFonts w:ascii="Times New Roman" w:hAnsi="Times New Roman"/>
          <w:color w:val="000000"/>
          <w:sz w:val="20"/>
          <w:szCs w:val="20"/>
        </w:rPr>
        <w:t>(VII) Appeal bond hearings;</w:t>
      </w:r>
    </w:p>
    <w:p w14:paraId="79EB318D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4ED8E62F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47" w:name="co_anchor_I832D3C1B7FA711DFA759E96305281"/>
      <w:bookmarkEnd w:id="47"/>
    </w:p>
    <w:p w14:paraId="72036B91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48" w:name="co_pp_c5b5000024291_1"/>
      <w:bookmarkEnd w:id="48"/>
      <w:r>
        <w:rPr>
          <w:rFonts w:ascii="Times New Roman" w:hAnsi="Times New Roman"/>
          <w:color w:val="000000"/>
          <w:sz w:val="20"/>
          <w:szCs w:val="20"/>
        </w:rPr>
        <w:t xml:space="preserve">(VIII) </w:t>
      </w:r>
      <w:hyperlink r:id="rId15" w:history="1">
        <w:r>
          <w:rPr>
            <w:rFonts w:ascii="Times New Roman" w:hAnsi="Times New Roman"/>
            <w:color w:val="0000FF"/>
            <w:sz w:val="20"/>
            <w:szCs w:val="20"/>
          </w:rPr>
          <w:t>Crim.P. 35(B)</w:t>
        </w:r>
      </w:hyperlink>
      <w:r>
        <w:rPr>
          <w:rFonts w:ascii="Times New Roman" w:hAnsi="Times New Roman"/>
          <w:color w:val="000000"/>
          <w:sz w:val="20"/>
          <w:szCs w:val="20"/>
        </w:rPr>
        <w:t xml:space="preserve"> hearings.</w:t>
      </w:r>
    </w:p>
    <w:p w14:paraId="0842995B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7E01FF50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49" w:name="co_anchor_I832D3C1C7FA711DFA759E96305281"/>
      <w:bookmarkEnd w:id="49"/>
    </w:p>
    <w:p w14:paraId="2DAC964D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50" w:name="co_pp_4b250000f9dd6_1"/>
      <w:bookmarkEnd w:id="50"/>
      <w:r>
        <w:rPr>
          <w:rFonts w:ascii="Times New Roman" w:hAnsi="Times New Roman"/>
          <w:color w:val="000000"/>
          <w:sz w:val="20"/>
          <w:szCs w:val="20"/>
        </w:rPr>
        <w:t xml:space="preserve">(3)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Minimum standards.</w:t>
      </w:r>
      <w:r>
        <w:rPr>
          <w:rFonts w:ascii="Times New Roman" w:hAnsi="Times New Roman"/>
          <w:color w:val="000000"/>
          <w:sz w:val="20"/>
          <w:szCs w:val="20"/>
        </w:rPr>
        <w:t xml:space="preserve"> Every use of an interactive audiovisual device must comply with the following minimum standard</w:t>
      </w:r>
      <w:r>
        <w:rPr>
          <w:rFonts w:ascii="Times New Roman" w:hAnsi="Times New Roman"/>
          <w:color w:val="000000"/>
          <w:sz w:val="20"/>
          <w:szCs w:val="20"/>
        </w:rPr>
        <w:t>s in addition to those set forth in Crim.P. 43(e)(1):</w:t>
      </w:r>
    </w:p>
    <w:p w14:paraId="510ED3B9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40DD528C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51" w:name="co_anchor_I832D3C1D7FA711DFA759E96305281"/>
      <w:bookmarkEnd w:id="51"/>
    </w:p>
    <w:p w14:paraId="05B4A5BF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52" w:name="co_pp_5bfd0000c5c16_1"/>
      <w:bookmarkEnd w:id="52"/>
      <w:r>
        <w:rPr>
          <w:rFonts w:ascii="Times New Roman" w:hAnsi="Times New Roman"/>
          <w:color w:val="000000"/>
          <w:sz w:val="20"/>
          <w:szCs w:val="20"/>
        </w:rPr>
        <w:t>(I) If defense counsel appears, such appearance shall be at the same physical</w:t>
      </w:r>
      <w:r>
        <w:rPr>
          <w:rFonts w:ascii="Times New Roman" w:hAnsi="Times New Roman"/>
          <w:color w:val="000000"/>
          <w:sz w:val="20"/>
          <w:szCs w:val="20"/>
        </w:rPr>
        <w:t xml:space="preserve"> location as the defendant if so requested by the defendant. If defense counsel does not appear in the same location as the defendant, a separate confidential communication line, such as a phone line, shall be provided to allow for private and confidential</w:t>
      </w:r>
      <w:r>
        <w:rPr>
          <w:rFonts w:ascii="Times New Roman" w:hAnsi="Times New Roman"/>
          <w:color w:val="000000"/>
          <w:sz w:val="20"/>
          <w:szCs w:val="20"/>
        </w:rPr>
        <w:t xml:space="preserve"> communication between the defendant and counsel.</w:t>
      </w:r>
    </w:p>
    <w:p w14:paraId="7E473E8A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0E373024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53" w:name="co_anchor_I832D3C1E7FA711DFA759E96305281"/>
      <w:bookmarkEnd w:id="53"/>
    </w:p>
    <w:p w14:paraId="763EA03A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54" w:name="co_pp_7d3f0000765d2_1"/>
      <w:bookmarkEnd w:id="54"/>
      <w:r>
        <w:rPr>
          <w:rFonts w:ascii="Times New Roman" w:hAnsi="Times New Roman"/>
          <w:color w:val="000000"/>
          <w:sz w:val="20"/>
          <w:szCs w:val="20"/>
        </w:rPr>
        <w:t>(II) No defendant shall be compelled to appear by interactive video device at a h</w:t>
      </w:r>
      <w:r>
        <w:rPr>
          <w:rFonts w:ascii="Times New Roman" w:hAnsi="Times New Roman"/>
          <w:color w:val="000000"/>
          <w:sz w:val="20"/>
          <w:szCs w:val="20"/>
        </w:rPr>
        <w:t>earing pursuant to subsection (e)(2)(III), (VI) or (VIII) of this rule.</w:t>
      </w:r>
    </w:p>
    <w:p w14:paraId="5B95D864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1E9B4FF8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55" w:name="co_anchor_I832D3C1F7FA711DFA759E96305281"/>
      <w:bookmarkEnd w:id="55"/>
    </w:p>
    <w:p w14:paraId="47579630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56" w:name="co_pp_7f47000056d66_1"/>
      <w:bookmarkEnd w:id="56"/>
      <w:r>
        <w:rPr>
          <w:rFonts w:ascii="Times New Roman" w:hAnsi="Times New Roman"/>
          <w:color w:val="000000"/>
          <w:sz w:val="20"/>
          <w:szCs w:val="20"/>
        </w:rPr>
        <w:t>(III) Installation of the interactive audiovisual device in</w:t>
      </w:r>
      <w:r>
        <w:rPr>
          <w:rFonts w:ascii="Times New Roman" w:hAnsi="Times New Roman"/>
          <w:color w:val="000000"/>
          <w:sz w:val="20"/>
          <w:szCs w:val="20"/>
        </w:rPr>
        <w:t xml:space="preserve"> the courtroom shall be done in such a manner that members of the public are reasonably able to observe, and, where appropriate, participate in the hearing.</w:t>
      </w:r>
    </w:p>
    <w:p w14:paraId="06299904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04DFDF4F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57" w:name="co_anchor_I832D3C207FA711DFA759E96305281"/>
      <w:bookmarkEnd w:id="57"/>
    </w:p>
    <w:p w14:paraId="1B869DA9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58" w:name="co_pp_d2160000ca9c4_1"/>
      <w:bookmarkEnd w:id="58"/>
      <w:r>
        <w:rPr>
          <w:rFonts w:ascii="Times New Roman" w:hAnsi="Times New Roman"/>
          <w:color w:val="000000"/>
          <w:sz w:val="20"/>
          <w:szCs w:val="20"/>
        </w:rPr>
        <w:t>(IV) Any hearing held pursuant to Crim.P. 43(e)(2)(IV) shall be conducted with the written consent of the defendant. The court shall advise a defendant of the following prio</w:t>
      </w:r>
      <w:r>
        <w:rPr>
          <w:rFonts w:ascii="Times New Roman" w:hAnsi="Times New Roman"/>
          <w:color w:val="000000"/>
          <w:sz w:val="20"/>
          <w:szCs w:val="20"/>
        </w:rPr>
        <w:t>r to obtaining a defendant’s written consent and prior to any plea discussions being conducted:</w:t>
      </w:r>
    </w:p>
    <w:p w14:paraId="165B2C92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42C99E27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59" w:name="co_anchor_I832D3C217FA711DFA759E96305281"/>
      <w:bookmarkEnd w:id="59"/>
    </w:p>
    <w:p w14:paraId="4BC51216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4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0" w:name="co_pp_56010000a3623_1"/>
      <w:bookmarkEnd w:id="60"/>
      <w:r>
        <w:rPr>
          <w:rFonts w:ascii="Times New Roman" w:hAnsi="Times New Roman"/>
          <w:color w:val="000000"/>
          <w:sz w:val="20"/>
          <w:szCs w:val="20"/>
        </w:rPr>
        <w:t xml:space="preserve">(a) The rights enumerated in </w:t>
      </w:r>
      <w:hyperlink r:id="rId16" w:history="1">
        <w:r>
          <w:rPr>
            <w:rFonts w:ascii="Times New Roman" w:hAnsi="Times New Roman"/>
            <w:color w:val="0000FF"/>
            <w:sz w:val="20"/>
            <w:szCs w:val="20"/>
          </w:rPr>
          <w:t>Cr</w:t>
        </w:r>
        <w:r>
          <w:rPr>
            <w:rFonts w:ascii="Times New Roman" w:hAnsi="Times New Roman"/>
            <w:color w:val="0000FF"/>
            <w:sz w:val="20"/>
            <w:szCs w:val="20"/>
          </w:rPr>
          <w:t>im.P. 5(2)</w:t>
        </w:r>
      </w:hyperlink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6253C09D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42113315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1" w:name="co_anchor_I832D3C227FA711DFA759E96305281"/>
      <w:bookmarkEnd w:id="61"/>
    </w:p>
    <w:p w14:paraId="28E1839F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4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2" w:name="co_pp_cee9000077b25_1"/>
      <w:bookmarkEnd w:id="62"/>
      <w:r>
        <w:rPr>
          <w:rFonts w:ascii="Times New Roman" w:hAnsi="Times New Roman"/>
          <w:color w:val="000000"/>
          <w:sz w:val="20"/>
          <w:szCs w:val="20"/>
        </w:rPr>
        <w:t>(b) The defendant has the right to appear in person and will not be prejudiced if he chooses to do so.</w:t>
      </w:r>
    </w:p>
    <w:p w14:paraId="6E83402D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3C42013F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3" w:name="co_anchor_I832D3C237FA711DFA759E96305281"/>
      <w:bookmarkEnd w:id="63"/>
    </w:p>
    <w:p w14:paraId="4B36B450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4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4" w:name="co_pp_306f000065040_1"/>
      <w:bookmarkEnd w:id="64"/>
      <w:r>
        <w:rPr>
          <w:rFonts w:ascii="Times New Roman" w:hAnsi="Times New Roman"/>
          <w:color w:val="000000"/>
          <w:sz w:val="20"/>
          <w:szCs w:val="20"/>
        </w:rPr>
        <w:t>(c) The defendant has the right to have his or her counsel appear with him or her at the same physical location.</w:t>
      </w:r>
    </w:p>
    <w:p w14:paraId="0CB04685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618E0D8B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5" w:name="co_anchor_I832D3C247FA711DFA759E96305281"/>
      <w:bookmarkEnd w:id="65"/>
    </w:p>
    <w:p w14:paraId="21AA744D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4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6" w:name="co_pp_8f240000dfec7_1"/>
      <w:bookmarkEnd w:id="66"/>
      <w:r>
        <w:rPr>
          <w:rFonts w:ascii="Times New Roman" w:hAnsi="Times New Roman"/>
          <w:color w:val="000000"/>
          <w:sz w:val="20"/>
          <w:szCs w:val="20"/>
        </w:rPr>
        <w:t>(d) The defendant’s decision to appear by use of an interactive audiovisual device must be voluntary on the defendant’s part and must not be the result of undue i</w:t>
      </w:r>
      <w:r>
        <w:rPr>
          <w:rFonts w:ascii="Times New Roman" w:hAnsi="Times New Roman"/>
          <w:color w:val="000000"/>
          <w:sz w:val="20"/>
          <w:szCs w:val="20"/>
        </w:rPr>
        <w:t>nfluence or coercion on the part of anyone.</w:t>
      </w:r>
    </w:p>
    <w:p w14:paraId="233C698B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5FA9BC7B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7" w:name="co_anchor_I832D3C257FA711DFA759E96305281"/>
      <w:bookmarkEnd w:id="67"/>
    </w:p>
    <w:p w14:paraId="0DB0A35D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4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8" w:name="co_pp_f3980000abb55_1"/>
      <w:bookmarkEnd w:id="68"/>
      <w:r>
        <w:rPr>
          <w:rFonts w:ascii="Times New Roman" w:hAnsi="Times New Roman"/>
          <w:color w:val="000000"/>
          <w:sz w:val="20"/>
          <w:szCs w:val="20"/>
        </w:rPr>
        <w:t xml:space="preserve">(e) If the defendant is pro se, the identity and role of all individuals with whom the </w:t>
      </w:r>
      <w:r>
        <w:rPr>
          <w:rFonts w:ascii="Times New Roman" w:hAnsi="Times New Roman"/>
          <w:color w:val="000000"/>
          <w:sz w:val="20"/>
          <w:szCs w:val="20"/>
        </w:rPr>
        <w:t>defendant may have contact through the interactive audiovisual device.</w:t>
      </w:r>
    </w:p>
    <w:p w14:paraId="4C77D0BF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2B8FFE70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69" w:name="co_anchor_I832D3C267FA711DFA759E96305281"/>
      <w:bookmarkEnd w:id="69"/>
    </w:p>
    <w:p w14:paraId="4E20DA5D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200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70" w:name="co_pp_74320000613e1_1"/>
      <w:bookmarkEnd w:id="70"/>
      <w:r>
        <w:rPr>
          <w:rFonts w:ascii="Times New Roman" w:hAnsi="Times New Roman"/>
          <w:color w:val="000000"/>
          <w:sz w:val="20"/>
          <w:szCs w:val="20"/>
        </w:rPr>
        <w:t>(V) An interactive audiovisual system used for hearings purs</w:t>
      </w:r>
      <w:r>
        <w:rPr>
          <w:rFonts w:ascii="Times New Roman" w:hAnsi="Times New Roman"/>
          <w:color w:val="000000"/>
          <w:sz w:val="20"/>
          <w:szCs w:val="20"/>
        </w:rPr>
        <w:t>uant to Crim.P. 43(e)(2)(IV) shall include the ability to electronically transfer documents between the defendant and the court and such transferred documents shall be considered the same as originals.</w:t>
      </w:r>
    </w:p>
    <w:p w14:paraId="5D660D28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2F139C89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71" w:name="co_anchor_I832D3C277FA711DFA759E96305281"/>
      <w:bookmarkEnd w:id="71"/>
    </w:p>
    <w:p w14:paraId="1E6907EB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72" w:name="co_pp_22700000861f0_1"/>
      <w:bookmarkEnd w:id="72"/>
      <w:r>
        <w:rPr>
          <w:rFonts w:ascii="Times New Roman" w:hAnsi="Times New Roman"/>
          <w:color w:val="000000"/>
          <w:sz w:val="20"/>
          <w:szCs w:val="20"/>
        </w:rPr>
        <w:t>(4) Nothing in this rule shall require a court to use an interactive audiovisual device.</w:t>
      </w:r>
    </w:p>
    <w:p w14:paraId="3E61752C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3BD8F8AB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73" w:name="co_anchor_I832D3C287FA711DFA759E96305281"/>
      <w:bookmarkEnd w:id="73"/>
    </w:p>
    <w:p w14:paraId="0DC8903D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74" w:name="co_pp_b222000026321_1"/>
      <w:bookmarkEnd w:id="74"/>
      <w:r>
        <w:rPr>
          <w:rFonts w:ascii="Times New Roman" w:hAnsi="Times New Roman"/>
          <w:color w:val="000000"/>
          <w:sz w:val="20"/>
          <w:szCs w:val="20"/>
        </w:rPr>
        <w:t xml:space="preserve">(5) In the event of inclement weather or other exceptional circumstances, which would otherwise prevent a hearing from occurring under </w:t>
      </w:r>
      <w:hyperlink r:id="rId17" w:history="1">
        <w:r>
          <w:rPr>
            <w:rFonts w:ascii="Times New Roman" w:hAnsi="Times New Roman"/>
            <w:color w:val="0000FF"/>
            <w:sz w:val="20"/>
            <w:szCs w:val="20"/>
          </w:rPr>
          <w:t>Crim.P. 5</w:t>
        </w:r>
      </w:hyperlink>
      <w:r>
        <w:rPr>
          <w:rFonts w:ascii="Times New Roman" w:hAnsi="Times New Roman"/>
          <w:color w:val="000000"/>
          <w:sz w:val="20"/>
          <w:szCs w:val="20"/>
        </w:rPr>
        <w:t>, the court may conduc</w:t>
      </w:r>
      <w:r>
        <w:rPr>
          <w:rFonts w:ascii="Times New Roman" w:hAnsi="Times New Roman"/>
          <w:color w:val="000000"/>
          <w:sz w:val="20"/>
          <w:szCs w:val="20"/>
        </w:rPr>
        <w:t>t the hearing by use of an interactive audiovisual procedure which does not comply with the minimum standards set forth in subsection (3).</w:t>
      </w:r>
    </w:p>
    <w:p w14:paraId="62523F03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0848418A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75" w:name="co_anchor_Credits_1"/>
      <w:bookmarkEnd w:id="75"/>
    </w:p>
    <w:p w14:paraId="570710BD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b/>
          <w:bCs/>
          <w:color w:val="212121"/>
          <w:sz w:val="20"/>
          <w:szCs w:val="20"/>
        </w:rPr>
      </w:pPr>
      <w:r>
        <w:rPr>
          <w:rFonts w:ascii="Times New Roman" w:hAnsi="Times New Roman"/>
          <w:b/>
          <w:bCs/>
          <w:color w:val="212121"/>
          <w:sz w:val="20"/>
          <w:szCs w:val="20"/>
        </w:rPr>
        <w:t>Credits</w:t>
      </w:r>
    </w:p>
    <w:p w14:paraId="451A190C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76" w:name="co_anchor_I44E028D4E46311DE979EDEC7477EE"/>
      <w:bookmarkEnd w:id="76"/>
    </w:p>
    <w:p w14:paraId="153FBAE7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Adopted eff. Jan. 1, 1984. Amended eff. March 1, 1997; May 11, 2006, eff. July 1, 2006; June 17, 2010.</w:t>
      </w:r>
    </w:p>
    <w:p w14:paraId="48F1E5B7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0306875C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b/>
          <w:bCs/>
          <w:color w:val="212121"/>
          <w:sz w:val="20"/>
          <w:szCs w:val="20"/>
        </w:rPr>
      </w:pPr>
      <w:r>
        <w:rPr>
          <w:rFonts w:ascii="Times New Roman" w:hAnsi="Times New Roman"/>
          <w:b/>
          <w:bCs/>
          <w:color w:val="212121"/>
          <w:sz w:val="20"/>
          <w:szCs w:val="20"/>
        </w:rPr>
        <w:t>Editors’ Notes</w:t>
      </w:r>
    </w:p>
    <w:p w14:paraId="2C837AC9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bookmarkStart w:id="77" w:name="co_anchor_I44E7A2E0E46311DE979EDEC7477EE"/>
      <w:bookmarkEnd w:id="77"/>
      <w:r>
        <w:rPr>
          <w:rFonts w:ascii="Times New Roman" w:hAnsi="Times New Roman"/>
          <w:b/>
          <w:bCs/>
          <w:color w:val="000000"/>
          <w:sz w:val="20"/>
          <w:szCs w:val="20"/>
        </w:rPr>
        <w:t>COMMENT</w:t>
      </w:r>
    </w:p>
    <w:p w14:paraId="4B0A4ADC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78" w:name="co_anchor_I44E7C9F0E46311DE979EDEC7477EE"/>
      <w:bookmarkEnd w:id="78"/>
    </w:p>
    <w:p w14:paraId="64E6C298" w14:textId="77777777" w:rsidR="00000000" w:rsidRDefault="000973CC">
      <w:pPr>
        <w:widowControl w:val="0"/>
        <w:autoSpaceDE w:val="0"/>
        <w:autoSpaceDN w:val="0"/>
        <w:adjustRightInd w:val="0"/>
        <w:spacing w:before="200" w:after="0" w:line="240" w:lineRule="auto"/>
        <w:ind w:left="400" w:right="40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The court recommends that defendants be informed of their rights pursuant to this rule by showing such defendants a pre-recorded video containing the judicial advisement conta</w:t>
      </w:r>
      <w:r>
        <w:rPr>
          <w:rFonts w:ascii="Times New Roman" w:hAnsi="Times New Roman"/>
          <w:color w:val="000000"/>
          <w:sz w:val="20"/>
          <w:szCs w:val="20"/>
        </w:rPr>
        <w:t>ined in this rule. The video should be shown prior to any jail authorities asking whether a defendant planned to elect to participate by audiovisual device. The court recognized that such audiovisual devices will be used to conduct plea discussions. Accord</w:t>
      </w:r>
      <w:r>
        <w:rPr>
          <w:rFonts w:ascii="Times New Roman" w:hAnsi="Times New Roman"/>
          <w:color w:val="000000"/>
          <w:sz w:val="20"/>
          <w:szCs w:val="20"/>
        </w:rPr>
        <w:t>ingly, the pre-recorded video should also explain the plea discussion process.</w:t>
      </w:r>
    </w:p>
    <w:p w14:paraId="03C437E9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 </w:t>
      </w:r>
    </w:p>
    <w:p w14:paraId="19A18E55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79" w:name="co_notesOfDecisions_1"/>
      <w:bookmarkEnd w:id="79"/>
    </w:p>
    <w:p w14:paraId="65DE1E8E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hyperlink r:id="rId18" w:history="1">
        <w:r>
          <w:rPr>
            <w:rFonts w:ascii="Times New Roman" w:hAnsi="Times New Roman"/>
            <w:color w:val="0000FF"/>
            <w:sz w:val="20"/>
            <w:szCs w:val="20"/>
          </w:rPr>
          <w:t>Notes of Decisions (23)</w:t>
        </w:r>
      </w:hyperlink>
    </w:p>
    <w:p w14:paraId="154718F6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bookmarkStart w:id="80" w:name="co_anchor_I304EFEF064F511EA90B5E94B8E957"/>
      <w:bookmarkEnd w:id="80"/>
    </w:p>
    <w:p w14:paraId="63955401" w14:textId="77777777" w:rsidR="00000000" w:rsidRDefault="000973CC">
      <w:pPr>
        <w:widowControl w:val="0"/>
        <w:autoSpaceDE w:val="0"/>
        <w:autoSpaceDN w:val="0"/>
        <w:adjustRightInd w:val="0"/>
        <w:spacing w:before="600"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Rules Crim. Proc., Rule 43, CO ST RCRP Rule 43</w:t>
      </w:r>
    </w:p>
    <w:p w14:paraId="72C4A4DE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Current with</w:t>
      </w:r>
      <w:r>
        <w:rPr>
          <w:rFonts w:ascii="Times New Roman" w:hAnsi="Times New Roman"/>
          <w:color w:val="000000"/>
          <w:sz w:val="20"/>
          <w:szCs w:val="20"/>
        </w:rPr>
        <w:t xml:space="preserve"> amendments received through December 1, 2019.</w:t>
      </w:r>
    </w:p>
    <w:tbl>
      <w:tblPr>
        <w:tblW w:w="0" w:type="auto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760"/>
      </w:tblGrid>
      <w:tr w:rsidR="00000000" w:rsidRPr="000973CC" w14:paraId="40C466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0" w:type="dxa"/>
            <w:tcBorders>
              <w:top w:val="single" w:sz="4" w:space="0" w:color="777777"/>
              <w:left w:val="nil"/>
              <w:bottom w:val="nil"/>
              <w:right w:val="nil"/>
            </w:tcBorders>
            <w:tcMar>
              <w:top w:w="100" w:type="dxa"/>
              <w:left w:w="24" w:type="dxa"/>
              <w:right w:w="24" w:type="dxa"/>
            </w:tcMar>
          </w:tcPr>
          <w:p w14:paraId="7CF5D82C" w14:textId="77777777" w:rsidR="00000000" w:rsidRPr="000973CC" w:rsidRDefault="00097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Times New Roman" w:hAnsi="Times New Roman"/>
                <w:b/>
                <w:bCs/>
                <w:color w:val="777777"/>
                <w:sz w:val="16"/>
                <w:szCs w:val="16"/>
              </w:rPr>
            </w:pPr>
            <w:r w:rsidRPr="000973CC">
              <w:rPr>
                <w:rFonts w:ascii="Times New Roman" w:hAnsi="Times New Roman"/>
                <w:b/>
                <w:bCs/>
                <w:color w:val="777777"/>
                <w:sz w:val="16"/>
                <w:szCs w:val="16"/>
              </w:rPr>
              <w:t>End of Document</w:t>
            </w:r>
          </w:p>
          <w:p w14:paraId="7E73162D" w14:textId="77777777" w:rsidR="00000000" w:rsidRPr="000973CC" w:rsidRDefault="00097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right="24"/>
              <w:rPr>
                <w:rFonts w:ascii="Times New Roman" w:hAnsi="Times New Roman"/>
                <w:b/>
                <w:bCs/>
                <w:color w:val="777777"/>
                <w:sz w:val="16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777777"/>
              <w:left w:val="nil"/>
              <w:bottom w:val="nil"/>
              <w:right w:val="nil"/>
            </w:tcBorders>
            <w:tcMar>
              <w:top w:w="100" w:type="dxa"/>
              <w:left w:w="24" w:type="dxa"/>
              <w:right w:w="24" w:type="dxa"/>
            </w:tcMar>
          </w:tcPr>
          <w:p w14:paraId="2026C8D7" w14:textId="77777777" w:rsidR="00000000" w:rsidRPr="000973CC" w:rsidRDefault="00097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right="24"/>
              <w:jc w:val="right"/>
              <w:rPr>
                <w:rFonts w:ascii="Times New Roman" w:hAnsi="Times New Roman"/>
                <w:color w:val="777777"/>
                <w:sz w:val="16"/>
                <w:szCs w:val="16"/>
              </w:rPr>
            </w:pPr>
            <w:r w:rsidRPr="000973CC">
              <w:rPr>
                <w:rFonts w:ascii="Times New Roman" w:hAnsi="Times New Roman"/>
                <w:color w:val="777777"/>
                <w:sz w:val="16"/>
                <w:szCs w:val="16"/>
              </w:rPr>
              <w:t>©</w:t>
            </w:r>
            <w:r w:rsidRPr="000973CC">
              <w:rPr>
                <w:rFonts w:ascii="Times New Roman" w:hAnsi="Times New Roman"/>
                <w:color w:val="777777"/>
                <w:sz w:val="16"/>
                <w:szCs w:val="16"/>
              </w:rPr>
              <w:t xml:space="preserve"> 2020 Thomson Reuters. No claim to original U.S. Government Works.</w:t>
            </w:r>
          </w:p>
          <w:p w14:paraId="0AF3A9C3" w14:textId="77777777" w:rsidR="00000000" w:rsidRPr="000973CC" w:rsidRDefault="000973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" w:right="24"/>
              <w:jc w:val="right"/>
              <w:rPr>
                <w:rFonts w:ascii="Times New Roman" w:hAnsi="Times New Roman"/>
                <w:color w:val="777777"/>
                <w:sz w:val="16"/>
                <w:szCs w:val="16"/>
              </w:rPr>
            </w:pPr>
          </w:p>
        </w:tc>
      </w:tr>
    </w:tbl>
    <w:p w14:paraId="499DDD80" w14:textId="77777777" w:rsidR="00000000" w:rsidRDefault="000973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8474187" w14:textId="77777777" w:rsidR="000973CC" w:rsidRDefault="000973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973CC">
      <w:type w:val="continuous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B9E20" w14:textId="77777777" w:rsidR="000973CC" w:rsidRDefault="000973CC">
      <w:pPr>
        <w:spacing w:after="0" w:line="240" w:lineRule="auto"/>
      </w:pPr>
      <w:r>
        <w:separator/>
      </w:r>
    </w:p>
  </w:endnote>
  <w:endnote w:type="continuationSeparator" w:id="0">
    <w:p w14:paraId="678C3C25" w14:textId="77777777" w:rsidR="000973CC" w:rsidRDefault="0009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00"/>
      <w:gridCol w:w="700"/>
    </w:tblGrid>
    <w:tr w:rsidR="00000000" w:rsidRPr="000973CC" w14:paraId="1F7AA94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300" w:type="dxa"/>
          <w:tcBorders>
            <w:top w:val="single" w:sz="8" w:space="0" w:color="AAAAAA"/>
            <w:left w:val="nil"/>
            <w:bottom w:val="nil"/>
            <w:right w:val="nil"/>
          </w:tcBorders>
          <w:tcMar>
            <w:top w:w="60" w:type="dxa"/>
          </w:tcMar>
          <w:vAlign w:val="bottom"/>
        </w:tcPr>
        <w:p w14:paraId="4BCED6AD" w14:textId="77777777" w:rsidR="00000000" w:rsidRPr="000973CC" w:rsidRDefault="000973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AAAAAA"/>
              <w:sz w:val="20"/>
              <w:szCs w:val="20"/>
            </w:rPr>
          </w:pPr>
          <w:r w:rsidRPr="000973CC">
            <w:rPr>
              <w:rFonts w:ascii="Arial" w:hAnsi="Arial" w:cs="Arial"/>
              <w:color w:val="AAAAAA"/>
              <w:sz w:val="20"/>
              <w:szCs w:val="20"/>
            </w:rPr>
            <w:pict w14:anchorId="485948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8.25pt;height:7.5pt">
                <v:imagedata r:id="rId1" o:title=""/>
              </v:shape>
            </w:pict>
          </w:r>
          <w:r w:rsidRPr="000973CC">
            <w:rPr>
              <w:rFonts w:ascii="Arial" w:hAnsi="Arial" w:cs="Arial"/>
              <w:color w:val="AAAAAA"/>
              <w:sz w:val="20"/>
              <w:szCs w:val="20"/>
            </w:rPr>
            <w:t xml:space="preserve"> </w:t>
          </w:r>
          <w:r w:rsidRPr="000973CC">
            <w:rPr>
              <w:rFonts w:ascii="Arial" w:hAnsi="Arial" w:cs="Arial"/>
              <w:color w:val="AAAAAA"/>
              <w:sz w:val="20"/>
              <w:szCs w:val="20"/>
            </w:rPr>
            <w:t>©</w:t>
          </w:r>
          <w:r w:rsidRPr="000973CC">
            <w:rPr>
              <w:rFonts w:ascii="Arial" w:hAnsi="Arial" w:cs="Arial"/>
              <w:color w:val="AAAAAA"/>
              <w:sz w:val="20"/>
              <w:szCs w:val="20"/>
            </w:rPr>
            <w:t xml:space="preserve"> 2020 Thomson Reuters. No claim to original U.S. Government Works.</w:t>
          </w:r>
        </w:p>
      </w:tc>
      <w:tc>
        <w:tcPr>
          <w:tcW w:w="700" w:type="dxa"/>
          <w:tcBorders>
            <w:top w:val="single" w:sz="8" w:space="0" w:color="AAAAAA"/>
            <w:left w:val="nil"/>
            <w:bottom w:val="nil"/>
            <w:right w:val="nil"/>
          </w:tcBorders>
          <w:tcMar>
            <w:top w:w="60" w:type="dxa"/>
          </w:tcMar>
        </w:tcPr>
        <w:p w14:paraId="590E9518" w14:textId="77777777" w:rsidR="00000000" w:rsidRPr="000973CC" w:rsidRDefault="000973C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AAAAAA"/>
              <w:sz w:val="20"/>
              <w:szCs w:val="20"/>
            </w:rPr>
          </w:pPr>
          <w:r w:rsidRPr="000973CC">
            <w:rPr>
              <w:rFonts w:ascii="Arial" w:hAnsi="Arial" w:cs="Arial"/>
              <w:color w:val="AAAAAA"/>
              <w:sz w:val="20"/>
              <w:szCs w:val="20"/>
            </w:rPr>
            <w:pgNum/>
          </w:r>
        </w:p>
      </w:tc>
    </w:tr>
  </w:tbl>
  <w:p w14:paraId="3FBD411E" w14:textId="77777777" w:rsidR="00000000" w:rsidRDefault="000973C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5466D" w14:textId="77777777" w:rsidR="000973CC" w:rsidRDefault="000973CC">
      <w:pPr>
        <w:spacing w:after="0" w:line="240" w:lineRule="auto"/>
      </w:pPr>
      <w:r>
        <w:separator/>
      </w:r>
    </w:p>
  </w:footnote>
  <w:footnote w:type="continuationSeparator" w:id="0">
    <w:p w14:paraId="5681C266" w14:textId="77777777" w:rsidR="000973CC" w:rsidRDefault="00097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80"/>
      <w:gridCol w:w="700"/>
    </w:tblGrid>
    <w:tr w:rsidR="00000000" w:rsidRPr="000973CC" w14:paraId="26569F94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380" w:type="dxa"/>
          <w:tcBorders>
            <w:top w:val="nil"/>
            <w:left w:val="nil"/>
            <w:bottom w:val="single" w:sz="8" w:space="0" w:color="AAAAAA"/>
            <w:right w:val="nil"/>
          </w:tcBorders>
          <w:tcMar>
            <w:top w:w="400" w:type="dxa"/>
            <w:bottom w:w="60" w:type="dxa"/>
          </w:tcMar>
          <w:vAlign w:val="bottom"/>
        </w:tcPr>
        <w:p w14:paraId="1839AC28" w14:textId="77777777" w:rsidR="00000000" w:rsidRPr="000973CC" w:rsidRDefault="000973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  <w:r w:rsidRPr="000973CC">
            <w:rPr>
              <w:rFonts w:ascii="Arial" w:hAnsi="Arial" w:cs="Arial"/>
              <w:b/>
              <w:bCs/>
              <w:color w:val="555555"/>
              <w:sz w:val="18"/>
              <w:szCs w:val="18"/>
            </w:rPr>
            <w:t>RULE 43. PRESENCE OF THE DEFENDANT, CO ST RCRP Rule 43</w:t>
          </w:r>
        </w:p>
      </w:tc>
      <w:tc>
        <w:tcPr>
          <w:tcW w:w="700" w:type="dxa"/>
          <w:tcBorders>
            <w:top w:val="nil"/>
            <w:left w:val="nil"/>
            <w:bottom w:val="single" w:sz="8" w:space="0" w:color="AAAAAA"/>
            <w:right w:val="nil"/>
          </w:tcBorders>
          <w:tcMar>
            <w:top w:w="400" w:type="dxa"/>
            <w:bottom w:w="60" w:type="dxa"/>
          </w:tcMar>
        </w:tcPr>
        <w:p w14:paraId="778E3A11" w14:textId="77777777" w:rsidR="00000000" w:rsidRPr="000973CC" w:rsidRDefault="000973C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000000" w:rsidRPr="000973CC" w14:paraId="568D0227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080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434BEEA" w14:textId="77777777" w:rsidR="00000000" w:rsidRPr="000973CC" w:rsidRDefault="000973C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</w:tbl>
  <w:p w14:paraId="7A9888A0" w14:textId="77777777" w:rsidR="00000000" w:rsidRDefault="000973C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NDO0sDA0MjcxNTFQ0lEKTi0uzszPAykwrAUAMBppFywAAAA="/>
  </w:docVars>
  <w:rsids>
    <w:rsidRoot w:val="00532419"/>
    <w:rsid w:val="000973CC"/>
    <w:rsid w:val="0053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7C4E00"/>
  <w14:defaultImageDpi w14:val="0"/>
  <w15:docId w15:val="{8D414A6B-182C-45A1-87A7-04A7D477C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law.com/Browse/Home/StatutesCourtRules/ColoradoStatutesCourtRules?transitionType=DocumentItem&amp;contextData=(sc.Category)&amp;rs=clbt1.0&amp;vr=3.0" TargetMode="External"/><Relationship Id="rId13" Type="http://schemas.openxmlformats.org/officeDocument/2006/relationships/hyperlink" Target="http://www.westlaw.com/Link/Document/FullText?findType=L&amp;pubNum=1005376&amp;cite=COSTRCRPR5&amp;originatingDoc=N612E8B90DBDC11DB8D12B2375E34596F&amp;refType=LQ&amp;originationContext=document&amp;vr=3.0&amp;rs=cblt1.0&amp;transitionType=DocumentItem&amp;contextData=(sc.Category)" TargetMode="External"/><Relationship Id="rId18" Type="http://schemas.openxmlformats.org/officeDocument/2006/relationships/hyperlink" Target="http://www.westlaw.com/Link/RelatedInformation/NotesofDecisions?docGuid=N612E8B90DBDC11DB8D12B2375E34596F&amp;originationContext=document&amp;vr=3.0&amp;rs=cblt1.0&amp;transitionType=NotesOfDecision&amp;contextData=(sc.Category)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#co_anchor_I304EFEF064F511EA90B5E94B8E957" TargetMode="External"/><Relationship Id="rId17" Type="http://schemas.openxmlformats.org/officeDocument/2006/relationships/hyperlink" Target="http://www.westlaw.com/Link/Document/FullText?findType=L&amp;pubNum=1005376&amp;cite=COSTRCRPR5&amp;originatingDoc=N612E8B90DBDC11DB8D12B2375E34596F&amp;refType=LQ&amp;originationContext=document&amp;vr=3.0&amp;rs=cblt1.0&amp;transitionType=DocumentItem&amp;contextData=(sc.Category)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estlaw.com/Link/Document/FullText?findType=L&amp;pubNum=1005376&amp;cite=COSTRCRPR5&amp;originatingDoc=N612E8B90DBDC11DB8D12B2375E34596F&amp;refType=LQ&amp;originationContext=document&amp;vr=3.0&amp;rs=cblt1.0&amp;transitionType=DocumentItem&amp;contextData=(sc.Category)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westlaw.com/Link/Document/FullText?findType=l&amp;cite=lk(COSTRCRPC29R)&amp;originatingDoc=N612E8B90DBDC11DB8D12B2375E34596F&amp;refType=CM&amp;sourceCite=Crim.+P.+Rule+43&amp;originationContext=document&amp;vr=3.0&amp;rs=cblt1.0&amp;transitionType=DocumentItem&amp;pubNum=1005376&amp;contextData=(sc.Category)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westlaw.com/Link/Document/FullText?findType=L&amp;pubNum=1005376&amp;cite=COSTRCRPR35&amp;originatingDoc=N612E8B90DBDC11DB8D12B2375E34596F&amp;refType=LQ&amp;originationContext=document&amp;vr=3.0&amp;rs=cblt1.0&amp;transitionType=DocumentItem&amp;contextData=(sc.Category)" TargetMode="External"/><Relationship Id="rId10" Type="http://schemas.openxmlformats.org/officeDocument/2006/relationships/hyperlink" Target="http://www.westlaw.com/Browse/Home/StatutesCourtRules/ColoradoStatutesCourtRules?guid=N06586900D88C11DBA93CE8A0BD96DE4A&amp;transitionType=DocumentItem&amp;contextData=(sc.Category)&amp;rs=clbt1.0&amp;vr=3.0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westlaw.com/Browse/Home/StatutesCourtRules/ColoradoStatutesCourtRules?guid=N063CCAB0D88C11DBA93CE8A0BD96DE4A&amp;transitionType=DocumentItem&amp;contextData=(sc.Category)&amp;rs=clbt1.0&amp;vr=3.0" TargetMode="External"/><Relationship Id="rId14" Type="http://schemas.openxmlformats.org/officeDocument/2006/relationships/hyperlink" Target="http://www.westlaw.com/Link/Document/FullText?findType=L&amp;pubNum=1000517&amp;cite=COSTS24-4.1-302&amp;originatingDoc=N612E8B90DBDC11DB8D12B2375E34596F&amp;refType=LQ&amp;originationContext=document&amp;vr=3.0&amp;rs=cblt1.0&amp;transitionType=DocumentItem&amp;contextData=(sc.Category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7608</Characters>
  <Application>Microsoft Office Word</Application>
  <DocSecurity>0</DocSecurity>
  <Lines>63</Lines>
  <Paragraphs>17</Paragraphs>
  <ScaleCrop>false</ScaleCrop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Rosen</dc:creator>
  <cp:keywords/>
  <dc:description/>
  <cp:lastModifiedBy>Jonathan Rosen</cp:lastModifiedBy>
  <cp:revision>2</cp:revision>
  <dcterms:created xsi:type="dcterms:W3CDTF">2020-03-20T22:16:00Z</dcterms:created>
  <dcterms:modified xsi:type="dcterms:W3CDTF">2020-03-20T22:16:00Z</dcterms:modified>
</cp:coreProperties>
</file>