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3426"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p>
    <w:p w14:paraId="393B5293" w14:textId="77777777" w:rsidR="004D1FA8" w:rsidRDefault="004D1FA8">
      <w:pPr>
        <w:widowControl w:val="0"/>
        <w:autoSpaceDE w:val="0"/>
        <w:autoSpaceDN w:val="0"/>
        <w:adjustRightInd w:val="0"/>
        <w:spacing w:after="0" w:line="240" w:lineRule="auto"/>
        <w:rPr>
          <w:rFonts w:ascii="Arial" w:hAnsi="Arial" w:cs="Arial"/>
          <w:sz w:val="24"/>
          <w:szCs w:val="24"/>
        </w:rPr>
        <w:sectPr w:rsidR="004D1FA8">
          <w:headerReference w:type="default" r:id="rId6"/>
          <w:footerReference w:type="default" r:id="rId7"/>
          <w:pgSz w:w="12240" w:h="15840"/>
          <w:pgMar w:top="1080" w:right="1080" w:bottom="1080" w:left="1080" w:header="720" w:footer="720" w:gutter="0"/>
          <w:cols w:space="720"/>
          <w:noEndnote/>
        </w:sectPr>
      </w:pPr>
    </w:p>
    <w:p w14:paraId="33DB90CB" w14:textId="77777777" w:rsidR="004D1FA8" w:rsidRDefault="004D1FA8">
      <w:pPr>
        <w:widowControl w:val="0"/>
        <w:autoSpaceDE w:val="0"/>
        <w:autoSpaceDN w:val="0"/>
        <w:adjustRightInd w:val="0"/>
        <w:spacing w:after="0" w:line="240" w:lineRule="auto"/>
        <w:rPr>
          <w:rFonts w:ascii="Times New Roman" w:hAnsi="Times New Roman"/>
          <w:color w:val="000000"/>
          <w:sz w:val="20"/>
          <w:szCs w:val="20"/>
        </w:rPr>
      </w:pPr>
      <w:bookmarkStart w:id="0" w:name="co_document_1"/>
      <w:bookmarkStart w:id="1" w:name="Ib29db8ef9f2c11ebbea4f0dc9fb69570_Target"/>
      <w:bookmarkEnd w:id="0"/>
      <w:bookmarkEnd w:id="1"/>
    </w:p>
    <w:p w14:paraId="094E88DA" w14:textId="77777777" w:rsidR="004D1FA8" w:rsidRDefault="004D1FA8">
      <w:pPr>
        <w:widowControl w:val="0"/>
        <w:autoSpaceDE w:val="0"/>
        <w:autoSpaceDN w:val="0"/>
        <w:adjustRightInd w:val="0"/>
        <w:spacing w:after="200" w:line="240" w:lineRule="auto"/>
        <w:rPr>
          <w:rFonts w:ascii="Times New Roman" w:hAnsi="Times New Roman"/>
          <w:b/>
          <w:bCs/>
          <w:color w:val="000000"/>
          <w:sz w:val="20"/>
          <w:szCs w:val="20"/>
        </w:rPr>
      </w:pPr>
      <w:r>
        <w:rPr>
          <w:rFonts w:ascii="Times New Roman" w:hAnsi="Times New Roman"/>
          <w:b/>
          <w:bCs/>
          <w:color w:val="000000"/>
          <w:sz w:val="20"/>
          <w:szCs w:val="20"/>
        </w:rPr>
        <w:t>2021 U. Ill. L. Rev. Online 97</w:t>
      </w:r>
    </w:p>
    <w:p w14:paraId="24E4C327" w14:textId="77777777" w:rsidR="004D1FA8" w:rsidRDefault="004D1FA8">
      <w:pPr>
        <w:widowControl w:val="0"/>
        <w:autoSpaceDE w:val="0"/>
        <w:autoSpaceDN w:val="0"/>
        <w:adjustRightInd w:val="0"/>
        <w:spacing w:before="364" w:after="0" w:line="240" w:lineRule="auto"/>
        <w:rPr>
          <w:rFonts w:ascii="Times New Roman" w:hAnsi="Times New Roman"/>
          <w:b/>
          <w:bCs/>
          <w:color w:val="6B6B6A"/>
          <w:sz w:val="18"/>
          <w:szCs w:val="18"/>
        </w:rPr>
      </w:pPr>
      <w:r>
        <w:rPr>
          <w:rFonts w:ascii="Times New Roman" w:hAnsi="Times New Roman"/>
          <w:b/>
          <w:bCs/>
          <w:color w:val="6B6B6A"/>
          <w:sz w:val="18"/>
          <w:szCs w:val="18"/>
        </w:rPr>
        <w:t>University of Illinois Law Review Online</w:t>
      </w:r>
    </w:p>
    <w:p w14:paraId="771F6C3B" w14:textId="77777777" w:rsidR="004D1FA8" w:rsidRDefault="004D1FA8">
      <w:pPr>
        <w:widowControl w:val="0"/>
        <w:autoSpaceDE w:val="0"/>
        <w:autoSpaceDN w:val="0"/>
        <w:adjustRightInd w:val="0"/>
        <w:spacing w:after="0" w:line="240" w:lineRule="auto"/>
        <w:rPr>
          <w:rFonts w:ascii="Times New Roman" w:hAnsi="Times New Roman"/>
          <w:color w:val="6B6B6A"/>
          <w:sz w:val="18"/>
          <w:szCs w:val="18"/>
        </w:rPr>
      </w:pPr>
      <w:r>
        <w:rPr>
          <w:rFonts w:ascii="Times New Roman" w:hAnsi="Times New Roman"/>
          <w:color w:val="6B6B6A"/>
          <w:sz w:val="18"/>
          <w:szCs w:val="18"/>
        </w:rPr>
        <w:t>Spring, 2021</w:t>
      </w:r>
    </w:p>
    <w:p w14:paraId="0B881510" w14:textId="77777777" w:rsidR="004D1FA8" w:rsidRDefault="004D1FA8">
      <w:pPr>
        <w:widowControl w:val="0"/>
        <w:autoSpaceDE w:val="0"/>
        <w:autoSpaceDN w:val="0"/>
        <w:adjustRightInd w:val="0"/>
        <w:spacing w:before="364" w:after="0" w:line="240" w:lineRule="auto"/>
        <w:rPr>
          <w:rFonts w:ascii="Times New Roman" w:hAnsi="Times New Roman"/>
          <w:b/>
          <w:bCs/>
          <w:color w:val="6B6B6A"/>
          <w:sz w:val="18"/>
          <w:szCs w:val="18"/>
        </w:rPr>
      </w:pPr>
      <w:r>
        <w:rPr>
          <w:rFonts w:ascii="Times New Roman" w:hAnsi="Times New Roman"/>
          <w:b/>
          <w:bCs/>
          <w:color w:val="6B6B6A"/>
          <w:sz w:val="18"/>
          <w:szCs w:val="18"/>
        </w:rPr>
        <w:t>Article</w:t>
      </w:r>
    </w:p>
    <w:p w14:paraId="7E9CC393" w14:textId="77777777" w:rsidR="004D1FA8" w:rsidRDefault="004D1FA8">
      <w:pPr>
        <w:widowControl w:val="0"/>
        <w:autoSpaceDE w:val="0"/>
        <w:autoSpaceDN w:val="0"/>
        <w:adjustRightInd w:val="0"/>
        <w:spacing w:after="0" w:line="240" w:lineRule="auto"/>
        <w:rPr>
          <w:rFonts w:ascii="Times New Roman" w:hAnsi="Times New Roman"/>
          <w:color w:val="6B6B6A"/>
          <w:sz w:val="16"/>
          <w:szCs w:val="16"/>
        </w:rPr>
      </w:pPr>
      <w:r>
        <w:rPr>
          <w:rFonts w:ascii="Times New Roman" w:hAnsi="Times New Roman"/>
          <w:color w:val="6B6B6A"/>
          <w:sz w:val="20"/>
          <w:szCs w:val="20"/>
        </w:rPr>
        <w:t>Michael D. Cicchini</w:t>
      </w:r>
      <w:bookmarkStart w:id="2" w:name="co_fnRef_Fa1507610219_ID0E3HAC_1"/>
      <w:bookmarkEnd w:id="2"/>
      <w:r>
        <w:rPr>
          <w:rFonts w:ascii="Times New Roman" w:hAnsi="Times New Roman"/>
          <w:color w:val="6B6B6A"/>
          <w:sz w:val="16"/>
          <w:szCs w:val="16"/>
        </w:rPr>
        <w:fldChar w:fldCharType="begin"/>
      </w:r>
      <w:r>
        <w:rPr>
          <w:rFonts w:ascii="Times New Roman" w:hAnsi="Times New Roman"/>
          <w:color w:val="6B6B6A"/>
          <w:sz w:val="16"/>
          <w:szCs w:val="16"/>
        </w:rPr>
        <w:instrText xml:space="preserve">HYPERLINK "#co_footnote_Fa1507610219_1" </w:instrText>
      </w:r>
      <w:r w:rsidR="002F2E69">
        <w:rPr>
          <w:rFonts w:ascii="Times New Roman" w:hAnsi="Times New Roman"/>
          <w:color w:val="6B6B6A"/>
          <w:sz w:val="16"/>
          <w:szCs w:val="16"/>
        </w:rPr>
      </w:r>
      <w:r>
        <w:rPr>
          <w:rFonts w:ascii="Times New Roman" w:hAnsi="Times New Roman"/>
          <w:color w:val="6B6B6A"/>
          <w:sz w:val="16"/>
          <w:szCs w:val="16"/>
        </w:rPr>
        <w:fldChar w:fldCharType="separate"/>
      </w:r>
      <w:r>
        <w:rPr>
          <w:rFonts w:ascii="Times New Roman" w:hAnsi="Times New Roman"/>
          <w:color w:val="0000FF"/>
          <w:sz w:val="16"/>
          <w:szCs w:val="16"/>
          <w:vertAlign w:val="superscript"/>
        </w:rPr>
        <w:t>a1</w:t>
      </w:r>
      <w:r>
        <w:rPr>
          <w:rFonts w:ascii="Times New Roman" w:hAnsi="Times New Roman"/>
          <w:color w:val="6B6B6A"/>
          <w:sz w:val="16"/>
          <w:szCs w:val="16"/>
        </w:rPr>
        <w:fldChar w:fldCharType="end"/>
      </w:r>
    </w:p>
    <w:p w14:paraId="5F07EA84" w14:textId="77777777" w:rsidR="004D1FA8" w:rsidRDefault="004D1FA8">
      <w:pPr>
        <w:widowControl w:val="0"/>
        <w:autoSpaceDE w:val="0"/>
        <w:autoSpaceDN w:val="0"/>
        <w:adjustRightInd w:val="0"/>
        <w:spacing w:before="200" w:after="200" w:line="240" w:lineRule="auto"/>
        <w:rPr>
          <w:rFonts w:ascii="Times New Roman" w:hAnsi="Times New Roman"/>
          <w:color w:val="6B6B6A"/>
          <w:sz w:val="20"/>
          <w:szCs w:val="20"/>
        </w:rPr>
      </w:pPr>
      <w:r>
        <w:rPr>
          <w:rFonts w:ascii="Times New Roman" w:hAnsi="Times New Roman"/>
          <w:color w:val="6B6B6A"/>
          <w:sz w:val="20"/>
          <w:szCs w:val="20"/>
        </w:rPr>
        <w:t>Copyright © 2021 by University of Illinois Law Review; Michael D. Cicchini</w:t>
      </w:r>
    </w:p>
    <w:p w14:paraId="4DBCBD91" w14:textId="77777777" w:rsidR="004D1FA8" w:rsidRDefault="004D1FA8">
      <w:pPr>
        <w:widowControl w:val="0"/>
        <w:autoSpaceDE w:val="0"/>
        <w:autoSpaceDN w:val="0"/>
        <w:adjustRightInd w:val="0"/>
        <w:spacing w:before="760" w:after="300" w:line="240" w:lineRule="auto"/>
        <w:jc w:val="both"/>
        <w:rPr>
          <w:rFonts w:ascii="Times New Roman" w:hAnsi="Times New Roman"/>
          <w:b/>
          <w:bCs/>
          <w:color w:val="212121"/>
          <w:sz w:val="30"/>
          <w:szCs w:val="30"/>
        </w:rPr>
      </w:pPr>
      <w:r>
        <w:rPr>
          <w:rFonts w:ascii="Times New Roman" w:hAnsi="Times New Roman"/>
          <w:b/>
          <w:bCs/>
          <w:i/>
          <w:iCs/>
          <w:color w:val="212121"/>
          <w:sz w:val="30"/>
          <w:szCs w:val="30"/>
        </w:rPr>
        <w:t>DAUBERT</w:t>
      </w:r>
      <w:r>
        <w:rPr>
          <w:rFonts w:ascii="Times New Roman" w:hAnsi="Times New Roman"/>
          <w:b/>
          <w:bCs/>
          <w:color w:val="212121"/>
          <w:sz w:val="30"/>
          <w:szCs w:val="30"/>
        </w:rPr>
        <w:t xml:space="preserve"> STRATEGIES FOR THE CRIMINAL DEFENSE BAR</w:t>
      </w:r>
    </w:p>
    <w:p w14:paraId="5CC147EE" w14:textId="77777777" w:rsidR="004D1FA8" w:rsidRDefault="004D1FA8">
      <w:pPr>
        <w:widowControl w:val="0"/>
        <w:autoSpaceDE w:val="0"/>
        <w:autoSpaceDN w:val="0"/>
        <w:adjustRightInd w:val="0"/>
        <w:spacing w:before="200" w:after="200" w:line="240" w:lineRule="auto"/>
        <w:rPr>
          <w:rFonts w:ascii="Times New Roman" w:hAnsi="Times New Roman"/>
          <w:b/>
          <w:bCs/>
          <w:color w:val="000000"/>
          <w:sz w:val="20"/>
          <w:szCs w:val="20"/>
        </w:rPr>
      </w:pPr>
      <w:bookmarkStart w:id="3" w:name="co_g_ID0ERIAC_1"/>
      <w:bookmarkEnd w:id="3"/>
      <w:r>
        <w:rPr>
          <w:rFonts w:ascii="Times New Roman" w:hAnsi="Times New Roman"/>
          <w:b/>
          <w:bCs/>
          <w:color w:val="000000"/>
          <w:sz w:val="20"/>
          <w:szCs w:val="20"/>
        </w:rPr>
        <w:t>INTRODUCTION</w:t>
      </w:r>
    </w:p>
    <w:p w14:paraId="7DF150A5"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4" w:name="co_g_ID0E2IAC_1"/>
      <w:bookmarkEnd w:id="4"/>
      <w:r>
        <w:rPr>
          <w:rFonts w:ascii="Times New Roman" w:hAnsi="Times New Roman"/>
          <w:color w:val="000000"/>
          <w:sz w:val="20"/>
          <w:szCs w:val="20"/>
        </w:rPr>
        <w:t xml:space="preserve">In states that use the </w:t>
      </w:r>
      <w:r>
        <w:rPr>
          <w:rFonts w:ascii="Times New Roman" w:hAnsi="Times New Roman"/>
          <w:i/>
          <w:iCs/>
          <w:color w:val="000000"/>
          <w:sz w:val="20"/>
          <w:szCs w:val="20"/>
        </w:rPr>
        <w:t>Daubert</w:t>
      </w:r>
      <w:r>
        <w:rPr>
          <w:rFonts w:ascii="Times New Roman" w:hAnsi="Times New Roman"/>
          <w:color w:val="000000"/>
          <w:sz w:val="20"/>
          <w:szCs w:val="20"/>
        </w:rPr>
        <w:t xml:space="preserve"> reliability standard for the admission of expert testimony at trial, criminal defense lawyers have intuitively known what the objective evidence now shows: courts employ a blatant, pro-prosecutor double standard.</w:t>
      </w:r>
      <w:bookmarkStart w:id="5" w:name="co_fnRef_F1507610219_ID0EMJAC_1"/>
      <w:bookmarkEnd w:id="5"/>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"#co_footnote_F1507610219_1"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w:t>
      </w:r>
      <w:r>
        <w:rPr>
          <w:rFonts w:ascii="Times New Roman" w:hAnsi="Times New Roman"/>
          <w:color w:val="000000"/>
          <w:sz w:val="16"/>
          <w:szCs w:val="16"/>
        </w:rPr>
        <w:fldChar w:fldCharType="end"/>
      </w:r>
      <w:r>
        <w:rPr>
          <w:rFonts w:ascii="Times New Roman" w:hAnsi="Times New Roman"/>
          <w:color w:val="000000"/>
          <w:sz w:val="20"/>
          <w:szCs w:val="20"/>
        </w:rPr>
        <w:t xml:space="preserve"> As discussed in Part I, there is a lax, virtually nonexistent standard for state experts and a strict, hyper-critical standard for defense experts. The results are so lopsided that, at least in one state, the defense cannot cite a single appellate decision where any state’s expert was ever excluded or any defense expert was ever allowed to testify.</w:t>
      </w:r>
      <w:bookmarkStart w:id="6" w:name="co_fnRef_F2507610219_ID0ETJAC_1"/>
      <w:bookmarkEnd w:id="6"/>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"#co_footnote_F2507610219_1"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w:t>
      </w:r>
      <w:r>
        <w:rPr>
          <w:rFonts w:ascii="Times New Roman" w:hAnsi="Times New Roman"/>
          <w:color w:val="000000"/>
          <w:sz w:val="16"/>
          <w:szCs w:val="16"/>
        </w:rPr>
        <w:fldChar w:fldCharType="end"/>
      </w:r>
    </w:p>
    <w:p w14:paraId="2DAFCC51"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C3E1B5D"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7" w:name="co_g_ID0E1JAC_1"/>
      <w:bookmarkEnd w:id="7"/>
      <w:r>
        <w:rPr>
          <w:rFonts w:ascii="Times New Roman" w:hAnsi="Times New Roman"/>
          <w:color w:val="000000"/>
          <w:sz w:val="20"/>
          <w:szCs w:val="20"/>
        </w:rPr>
        <w:t>With very few, if any, on-point appellate cases to cite when moving to exclude the state’s expert or seeking to admit a defense expert, what is the criminal defense lawyer to do? In light of the scarcity of favorable cases, this Article provides two possible strategies for the defense.</w:t>
      </w:r>
    </w:p>
    <w:p w14:paraId="05AC93C2"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8AD2C34"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8" w:name="co_g_ID0EJKAC_1"/>
      <w:bookmarkEnd w:id="8"/>
      <w:r>
        <w:rPr>
          <w:rFonts w:ascii="Times New Roman" w:hAnsi="Times New Roman"/>
          <w:color w:val="000000"/>
          <w:sz w:val="20"/>
          <w:szCs w:val="20"/>
        </w:rPr>
        <w:t>Part II of this Article provides a defense strategy for excluding the state’s experts. It is a goose-and-the-gander strategy in that defense counsel identifies relevant, in-state cases in which courts have excluded defense experts, and then adapts that judicial reasoning to argue that the state’s expert must also be excluded.</w:t>
      </w:r>
      <w:bookmarkStart w:id="9" w:name="co_fnRef_F3507610219_ID0EUKAC_1"/>
      <w:bookmarkEnd w:id="9"/>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"#co_footnote_F3507610219_1"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w:t>
      </w:r>
      <w:r>
        <w:rPr>
          <w:rFonts w:ascii="Times New Roman" w:hAnsi="Times New Roman"/>
          <w:color w:val="000000"/>
          <w:sz w:val="16"/>
          <w:szCs w:val="16"/>
        </w:rPr>
        <w:fldChar w:fldCharType="end"/>
      </w:r>
      <w:r>
        <w:rPr>
          <w:rFonts w:ascii="Times New Roman" w:hAnsi="Times New Roman"/>
          <w:color w:val="000000"/>
          <w:sz w:val="20"/>
          <w:szCs w:val="20"/>
        </w:rPr>
        <w:t xml:space="preserve"> Part II illustrates this strategy through a sample motion to exclude a state’s expert on Child Sexual Abuse Accommodation Syndrome, a form of “commonality evidence” that prosecutors use to bolster their witness’s testimony and put the gloss of faux expertise on the state’s case.</w:t>
      </w:r>
      <w:bookmarkStart w:id="10" w:name="co_fnRef_F4507610219_ID0EYKAC_1"/>
      <w:bookmarkEnd w:id="10"/>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"#co_footnote_F4507610219_1"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w:t>
      </w:r>
      <w:r>
        <w:rPr>
          <w:rFonts w:ascii="Times New Roman" w:hAnsi="Times New Roman"/>
          <w:color w:val="000000"/>
          <w:sz w:val="16"/>
          <w:szCs w:val="16"/>
        </w:rPr>
        <w:fldChar w:fldCharType="end"/>
      </w:r>
    </w:p>
    <w:p w14:paraId="36859F9B"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F48D98C"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11" w:name="co_g_ID0E6KAC_1"/>
      <w:bookmarkEnd w:id="11"/>
      <w:r>
        <w:rPr>
          <w:rFonts w:ascii="Times New Roman" w:hAnsi="Times New Roman"/>
          <w:color w:val="000000"/>
          <w:sz w:val="20"/>
          <w:szCs w:val="20"/>
        </w:rPr>
        <w:t xml:space="preserve">Part III of this Article provides a defense strategy for gaining the admission of a defense expert. It is a less-is-more strategy in that defense counsel proffers “exposition testimony,” rather than having the defense expert apply his or her </w:t>
      </w:r>
      <w:bookmarkStart w:id="12" w:name="co_pp_sp_233327_98_1"/>
      <w:bookmarkEnd w:id="12"/>
      <w:r>
        <w:rPr>
          <w:rFonts w:ascii="Times New Roman" w:hAnsi="Times New Roman"/>
          <w:b/>
          <w:bCs/>
          <w:color w:val="000000"/>
          <w:sz w:val="20"/>
          <w:szCs w:val="20"/>
        </w:rPr>
        <w:t>*98</w:t>
      </w:r>
      <w:r>
        <w:rPr>
          <w:rFonts w:ascii="Times New Roman" w:hAnsi="Times New Roman"/>
          <w:color w:val="000000"/>
          <w:sz w:val="20"/>
          <w:szCs w:val="20"/>
        </w:rPr>
        <w:t xml:space="preserve"> expertise to the facts of the case at bar.</w:t>
      </w:r>
      <w:bookmarkStart w:id="13" w:name="co_fnRef_F5507610219_ID0EPLAC_1"/>
      <w:bookmarkEnd w:id="13"/>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"#co_footnote_F5507610219_1"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w:t>
      </w:r>
      <w:r>
        <w:rPr>
          <w:rFonts w:ascii="Times New Roman" w:hAnsi="Times New Roman"/>
          <w:color w:val="000000"/>
          <w:sz w:val="16"/>
          <w:szCs w:val="16"/>
        </w:rPr>
        <w:fldChar w:fldCharType="end"/>
      </w:r>
      <w:r>
        <w:rPr>
          <w:rFonts w:ascii="Times New Roman" w:hAnsi="Times New Roman"/>
          <w:color w:val="000000"/>
          <w:sz w:val="20"/>
          <w:szCs w:val="20"/>
        </w:rPr>
        <w:t xml:space="preserve"> This form of testimony, which has been explicitly approved in many jurisdictions, eliminates one of the prongs in </w:t>
      </w:r>
      <w:r>
        <w:rPr>
          <w:rFonts w:ascii="Times New Roman" w:hAnsi="Times New Roman"/>
          <w:i/>
          <w:iCs/>
          <w:color w:val="000000"/>
          <w:sz w:val="20"/>
          <w:szCs w:val="20"/>
        </w:rPr>
        <w:t>Daubert</w:t>
      </w:r>
      <w:r>
        <w:rPr>
          <w:rFonts w:ascii="Times New Roman" w:hAnsi="Times New Roman"/>
          <w:color w:val="000000"/>
          <w:sz w:val="20"/>
          <w:szCs w:val="20"/>
        </w:rPr>
        <w:t>’s multi-pronged test, thereby increasing the defendant’s odds of gaining admission of the evidence.</w:t>
      </w:r>
      <w:bookmarkStart w:id="14" w:name="co_fnRef_F6507610219_ID0EVLAC_1"/>
      <w:bookmarkEnd w:id="14"/>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"#co_footnote_F6507610219_1"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6</w:t>
      </w:r>
      <w:r>
        <w:rPr>
          <w:rFonts w:ascii="Times New Roman" w:hAnsi="Times New Roman"/>
          <w:color w:val="000000"/>
          <w:sz w:val="16"/>
          <w:szCs w:val="16"/>
        </w:rPr>
        <w:fldChar w:fldCharType="end"/>
      </w:r>
    </w:p>
    <w:p w14:paraId="68CE9A56"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903C436" w14:textId="77777777" w:rsidR="004D1FA8" w:rsidRDefault="004D1FA8">
      <w:pPr>
        <w:widowControl w:val="0"/>
        <w:autoSpaceDE w:val="0"/>
        <w:autoSpaceDN w:val="0"/>
        <w:adjustRightInd w:val="0"/>
        <w:spacing w:before="200" w:after="200" w:line="240" w:lineRule="auto"/>
        <w:rPr>
          <w:rFonts w:ascii="Times New Roman" w:hAnsi="Times New Roman"/>
          <w:b/>
          <w:bCs/>
          <w:color w:val="000000"/>
          <w:sz w:val="20"/>
          <w:szCs w:val="20"/>
        </w:rPr>
      </w:pPr>
      <w:bookmarkStart w:id="15" w:name="co_g_ID0E3LAC_1"/>
      <w:bookmarkEnd w:id="15"/>
      <w:r>
        <w:rPr>
          <w:rFonts w:ascii="Times New Roman" w:hAnsi="Times New Roman"/>
          <w:b/>
          <w:bCs/>
          <w:color w:val="000000"/>
          <w:sz w:val="20"/>
          <w:szCs w:val="20"/>
        </w:rPr>
        <w:t xml:space="preserve">I. THE </w:t>
      </w:r>
      <w:r>
        <w:rPr>
          <w:rFonts w:ascii="Times New Roman" w:hAnsi="Times New Roman"/>
          <w:b/>
          <w:bCs/>
          <w:i/>
          <w:iCs/>
          <w:color w:val="000000"/>
          <w:sz w:val="20"/>
          <w:szCs w:val="20"/>
        </w:rPr>
        <w:t>DAUBERT</w:t>
      </w:r>
      <w:r>
        <w:rPr>
          <w:rFonts w:ascii="Times New Roman" w:hAnsi="Times New Roman"/>
          <w:b/>
          <w:bCs/>
          <w:color w:val="000000"/>
          <w:sz w:val="20"/>
          <w:szCs w:val="20"/>
        </w:rPr>
        <w:t xml:space="preserve"> STANDARD (AND DOUBLE STANDARD)</w:t>
      </w:r>
    </w:p>
    <w:p w14:paraId="008B25D6"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16" w:name="co_g_ID0ERMAC_1"/>
      <w:bookmarkEnd w:id="16"/>
      <w:r>
        <w:rPr>
          <w:rFonts w:ascii="Times New Roman" w:hAnsi="Times New Roman"/>
          <w:color w:val="000000"/>
          <w:sz w:val="20"/>
          <w:szCs w:val="20"/>
        </w:rPr>
        <w:t xml:space="preserve">The admissibility of expert testimony at criminal trials, like most aspects of criminal law and procedure, is highly state specific. In the so-called </w:t>
      </w:r>
      <w:r>
        <w:rPr>
          <w:rFonts w:ascii="Times New Roman" w:hAnsi="Times New Roman"/>
          <w:i/>
          <w:iCs/>
          <w:color w:val="000000"/>
          <w:sz w:val="20"/>
          <w:szCs w:val="20"/>
        </w:rPr>
        <w:t>Daubert</w:t>
      </w:r>
      <w:r>
        <w:rPr>
          <w:rFonts w:ascii="Times New Roman" w:hAnsi="Times New Roman"/>
          <w:color w:val="000000"/>
          <w:sz w:val="20"/>
          <w:szCs w:val="20"/>
        </w:rPr>
        <w:t xml:space="preserve"> states, the proponent of such evidence must satisfy some version of the multi-pronged </w:t>
      </w:r>
      <w:r>
        <w:rPr>
          <w:rFonts w:ascii="Times New Roman" w:hAnsi="Times New Roman"/>
          <w:i/>
          <w:iCs/>
          <w:color w:val="000000"/>
          <w:sz w:val="20"/>
          <w:szCs w:val="20"/>
        </w:rPr>
        <w:t>Daubert</w:t>
      </w:r>
      <w:r>
        <w:rPr>
          <w:rFonts w:ascii="Times New Roman" w:hAnsi="Times New Roman"/>
          <w:color w:val="000000"/>
          <w:sz w:val="20"/>
          <w:szCs w:val="20"/>
        </w:rPr>
        <w:t xml:space="preserve"> reliability standard.</w:t>
      </w:r>
      <w:bookmarkStart w:id="17" w:name="co_fnRef_F7507610219_ID0EONAC_1"/>
      <w:bookmarkEnd w:id="17"/>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"#co_footnote_F7507610219_1"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7</w:t>
      </w:r>
      <w:r>
        <w:rPr>
          <w:rFonts w:ascii="Times New Roman" w:hAnsi="Times New Roman"/>
          <w:color w:val="000000"/>
          <w:sz w:val="16"/>
          <w:szCs w:val="16"/>
        </w:rPr>
        <w:fldChar w:fldCharType="end"/>
      </w:r>
      <w:r>
        <w:rPr>
          <w:rFonts w:ascii="Times New Roman" w:hAnsi="Times New Roman"/>
          <w:color w:val="000000"/>
          <w:sz w:val="20"/>
          <w:szCs w:val="20"/>
        </w:rPr>
        <w:t xml:space="preserve"> The first three prongs of the test, which essentially address the testimony’s relevance and the individual expert’s qualifications, are often stated as follows:</w:t>
      </w:r>
    </w:p>
    <w:p w14:paraId="75372A87" w14:textId="77777777" w:rsidR="004D1FA8" w:rsidRDefault="004D1FA8">
      <w:pPr>
        <w:widowControl w:val="0"/>
        <w:autoSpaceDE w:val="0"/>
        <w:autoSpaceDN w:val="0"/>
        <w:adjustRightInd w:val="0"/>
        <w:spacing w:before="200" w:after="0" w:line="240" w:lineRule="auto"/>
        <w:ind w:left="700" w:right="400"/>
        <w:jc w:val="both"/>
        <w:rPr>
          <w:rFonts w:ascii="Times New Roman" w:hAnsi="Times New Roman"/>
          <w:color w:val="000000"/>
          <w:sz w:val="16"/>
          <w:szCs w:val="16"/>
        </w:rPr>
      </w:pPr>
      <w:r>
        <w:rPr>
          <w:rFonts w:ascii="Times New Roman" w:hAnsi="Times New Roman"/>
          <w:color w:val="000000"/>
          <w:sz w:val="20"/>
          <w:szCs w:val="20"/>
        </w:rPr>
        <w:t>[1] If scientific, technical, or other specialized knowledge [2] will assist the trier of fact to understand the evidence or to determine a fact in issue, [3] a witness qualified as an expert by knowledge, skill, experience, training, or education, may testify thereto in the form of an opinion or otherwise ....</w:t>
      </w:r>
      <w:bookmarkStart w:id="18" w:name="co_fnRef_F8507610219_ID0EBOAC_1"/>
      <w:bookmarkEnd w:id="18"/>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"#co_footnote_F8507610219_1"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8</w:t>
      </w:r>
      <w:r>
        <w:rPr>
          <w:rFonts w:ascii="Times New Roman" w:hAnsi="Times New Roman"/>
          <w:color w:val="000000"/>
          <w:sz w:val="16"/>
          <w:szCs w:val="16"/>
        </w:rPr>
        <w:fldChar w:fldCharType="end"/>
      </w:r>
    </w:p>
    <w:p w14:paraId="60676831"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A14FB6F"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 </w:t>
      </w:r>
    </w:p>
    <w:p w14:paraId="11FED726"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19" w:name="co_g_ID0ELOAC_1"/>
      <w:bookmarkEnd w:id="19"/>
      <w:r>
        <w:rPr>
          <w:rFonts w:ascii="Times New Roman" w:hAnsi="Times New Roman"/>
          <w:color w:val="000000"/>
          <w:sz w:val="20"/>
          <w:szCs w:val="20"/>
        </w:rPr>
        <w:t xml:space="preserve">The next three prongs often focus on the reliability of the expert’s testimony and comprise the very essence of the </w:t>
      </w:r>
      <w:r>
        <w:rPr>
          <w:rFonts w:ascii="Times New Roman" w:hAnsi="Times New Roman"/>
          <w:i/>
          <w:iCs/>
          <w:color w:val="000000"/>
          <w:sz w:val="20"/>
          <w:szCs w:val="20"/>
        </w:rPr>
        <w:t>Daubert</w:t>
      </w:r>
      <w:r>
        <w:rPr>
          <w:rFonts w:ascii="Times New Roman" w:hAnsi="Times New Roman"/>
          <w:color w:val="000000"/>
          <w:sz w:val="20"/>
          <w:szCs w:val="20"/>
        </w:rPr>
        <w:t xml:space="preserve"> standard. These three reliability prongs separate </w:t>
      </w:r>
      <w:r>
        <w:rPr>
          <w:rFonts w:ascii="Times New Roman" w:hAnsi="Times New Roman"/>
          <w:i/>
          <w:iCs/>
          <w:color w:val="000000"/>
          <w:sz w:val="20"/>
          <w:szCs w:val="20"/>
        </w:rPr>
        <w:t>Daubert</w:t>
      </w:r>
      <w:r>
        <w:rPr>
          <w:rFonts w:ascii="Times New Roman" w:hAnsi="Times New Roman"/>
          <w:color w:val="000000"/>
          <w:sz w:val="20"/>
          <w:szCs w:val="20"/>
        </w:rPr>
        <w:t xml:space="preserve"> from other standards of admissibility, such as the mere relevancy test</w:t>
      </w:r>
      <w:bookmarkStart w:id="20" w:name="co_fnRef_F9507610219_ID0EGPAC_1"/>
      <w:bookmarkEnd w:id="20"/>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"#co_footnote_F9507610219_1"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9</w:t>
      </w:r>
      <w:r>
        <w:rPr>
          <w:rFonts w:ascii="Times New Roman" w:hAnsi="Times New Roman"/>
          <w:color w:val="000000"/>
          <w:sz w:val="16"/>
          <w:szCs w:val="16"/>
        </w:rPr>
        <w:fldChar w:fldCharType="end"/>
      </w:r>
      <w:r>
        <w:rPr>
          <w:rFonts w:ascii="Times New Roman" w:hAnsi="Times New Roman"/>
          <w:color w:val="000000"/>
          <w:sz w:val="20"/>
          <w:szCs w:val="20"/>
        </w:rPr>
        <w:t xml:space="preserve"> and the </w:t>
      </w:r>
      <w:r>
        <w:rPr>
          <w:rFonts w:ascii="Times New Roman" w:hAnsi="Times New Roman"/>
          <w:i/>
          <w:iCs/>
          <w:color w:val="000000"/>
          <w:sz w:val="20"/>
          <w:szCs w:val="20"/>
        </w:rPr>
        <w:t>Frye</w:t>
      </w:r>
      <w:r>
        <w:rPr>
          <w:rFonts w:ascii="Times New Roman" w:hAnsi="Times New Roman"/>
          <w:color w:val="000000"/>
          <w:sz w:val="20"/>
          <w:szCs w:val="20"/>
        </w:rPr>
        <w:t xml:space="preserve"> test.</w:t>
      </w:r>
      <w:bookmarkStart w:id="21" w:name="co_fnRef_F10507610219_ID0EUPAC_1"/>
      <w:bookmarkEnd w:id="21"/>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"#co_footnote_F10507610219_1"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10</w:t>
      </w:r>
      <w:r>
        <w:rPr>
          <w:rFonts w:ascii="Times New Roman" w:hAnsi="Times New Roman"/>
          <w:color w:val="000000"/>
          <w:sz w:val="16"/>
          <w:szCs w:val="16"/>
        </w:rPr>
        <w:fldChar w:fldCharType="end"/>
      </w:r>
      <w:r>
        <w:rPr>
          <w:rFonts w:ascii="Times New Roman" w:hAnsi="Times New Roman"/>
          <w:color w:val="000000"/>
          <w:sz w:val="20"/>
          <w:szCs w:val="20"/>
        </w:rPr>
        <w:t xml:space="preserve"> Under one </w:t>
      </w:r>
      <w:r>
        <w:rPr>
          <w:rFonts w:ascii="Times New Roman" w:hAnsi="Times New Roman"/>
          <w:i/>
          <w:iCs/>
          <w:color w:val="000000"/>
          <w:sz w:val="20"/>
          <w:szCs w:val="20"/>
        </w:rPr>
        <w:t>Daubert</w:t>
      </w:r>
      <w:r>
        <w:rPr>
          <w:rFonts w:ascii="Times New Roman" w:hAnsi="Times New Roman"/>
          <w:color w:val="000000"/>
          <w:sz w:val="20"/>
          <w:szCs w:val="20"/>
        </w:rPr>
        <w:t>-based statute, an expert may only testify if:</w:t>
      </w:r>
    </w:p>
    <w:p w14:paraId="78909029" w14:textId="77777777" w:rsidR="004D1FA8" w:rsidRDefault="004D1FA8">
      <w:pPr>
        <w:widowControl w:val="0"/>
        <w:autoSpaceDE w:val="0"/>
        <w:autoSpaceDN w:val="0"/>
        <w:adjustRightInd w:val="0"/>
        <w:spacing w:before="200" w:after="0" w:line="240" w:lineRule="auto"/>
        <w:ind w:left="700" w:right="400"/>
        <w:jc w:val="both"/>
        <w:rPr>
          <w:rFonts w:ascii="Times New Roman" w:hAnsi="Times New Roman"/>
          <w:color w:val="000000"/>
          <w:sz w:val="16"/>
          <w:szCs w:val="16"/>
        </w:rPr>
      </w:pPr>
      <w:r>
        <w:rPr>
          <w:rFonts w:ascii="Times New Roman" w:hAnsi="Times New Roman"/>
          <w:color w:val="000000"/>
          <w:sz w:val="20"/>
          <w:szCs w:val="20"/>
        </w:rPr>
        <w:t>[4] the testimony is based upon sufficient facts or data, [5] the testimony is the product of reliable principles and methods, and [6] the witness has applied the principles and methods reliably to the facts of the case.</w:t>
      </w:r>
      <w:bookmarkStart w:id="22" w:name="co_fnRef_F11507610219_ID0EHAAE_1"/>
      <w:bookmarkEnd w:id="22"/>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"#co_footnote_F11507610219_1"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11</w:t>
      </w:r>
      <w:r>
        <w:rPr>
          <w:rFonts w:ascii="Times New Roman" w:hAnsi="Times New Roman"/>
          <w:color w:val="000000"/>
          <w:sz w:val="16"/>
          <w:szCs w:val="16"/>
        </w:rPr>
        <w:fldChar w:fldCharType="end"/>
      </w:r>
    </w:p>
    <w:p w14:paraId="5CF78069"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E061E61"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BC827BB"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23" w:name="co_g_ID0ERAAE_1"/>
      <w:bookmarkEnd w:id="23"/>
      <w:r>
        <w:rPr>
          <w:rFonts w:ascii="Times New Roman" w:hAnsi="Times New Roman"/>
          <w:color w:val="000000"/>
          <w:sz w:val="20"/>
          <w:szCs w:val="20"/>
        </w:rPr>
        <w:t>Finally, for purposes of this Article, the proponent of the expert testimony must also satisfy a seventh prong which is typically found in a related discovery statute. An example of such a statute is as follows:</w:t>
      </w:r>
    </w:p>
    <w:p w14:paraId="78A92F7C" w14:textId="77777777" w:rsidR="004D1FA8" w:rsidRDefault="004D1FA8">
      <w:pPr>
        <w:widowControl w:val="0"/>
        <w:autoSpaceDE w:val="0"/>
        <w:autoSpaceDN w:val="0"/>
        <w:adjustRightInd w:val="0"/>
        <w:spacing w:before="200" w:after="0" w:line="240" w:lineRule="auto"/>
        <w:ind w:left="700" w:right="400"/>
        <w:jc w:val="both"/>
        <w:rPr>
          <w:rFonts w:ascii="Times New Roman" w:hAnsi="Times New Roman"/>
          <w:color w:val="000000"/>
          <w:sz w:val="16"/>
          <w:szCs w:val="16"/>
        </w:rPr>
      </w:pPr>
      <w:r>
        <w:rPr>
          <w:rFonts w:ascii="Times New Roman" w:hAnsi="Times New Roman"/>
          <w:color w:val="000000"/>
          <w:sz w:val="20"/>
          <w:szCs w:val="20"/>
        </w:rPr>
        <w:t xml:space="preserve">[7] [The proponent] shall ... disclose to the [other party] ... any reports or statements of experts made in connection with the case or, if an expert </w:t>
      </w:r>
      <w:bookmarkStart w:id="24" w:name="co_pp_sp_233327_99_1"/>
      <w:bookmarkEnd w:id="24"/>
      <w:r>
        <w:rPr>
          <w:rFonts w:ascii="Times New Roman" w:hAnsi="Times New Roman"/>
          <w:b/>
          <w:bCs/>
          <w:color w:val="000000"/>
          <w:sz w:val="20"/>
          <w:szCs w:val="20"/>
        </w:rPr>
        <w:t>*99</w:t>
      </w:r>
      <w:r>
        <w:rPr>
          <w:rFonts w:ascii="Times New Roman" w:hAnsi="Times New Roman"/>
          <w:color w:val="000000"/>
          <w:sz w:val="20"/>
          <w:szCs w:val="20"/>
        </w:rPr>
        <w:t xml:space="preserve"> does not prepare a report or statement, a written summary of the expert’s findings or the subject matter of his or her testimony ....</w:t>
      </w:r>
      <w:bookmarkStart w:id="25" w:name="co_fnRef_F12507610219_ID0EVBAE_1"/>
      <w:bookmarkEnd w:id="25"/>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"#co_footnote_F12507610219_1"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12</w:t>
      </w:r>
      <w:r>
        <w:rPr>
          <w:rFonts w:ascii="Times New Roman" w:hAnsi="Times New Roman"/>
          <w:color w:val="000000"/>
          <w:sz w:val="16"/>
          <w:szCs w:val="16"/>
        </w:rPr>
        <w:fldChar w:fldCharType="end"/>
      </w:r>
    </w:p>
    <w:p w14:paraId="0D8FA04F"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A05BEB4"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971EE96"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26" w:name="co_g_ID0E6BAE_1"/>
      <w:bookmarkEnd w:id="26"/>
      <w:r>
        <w:rPr>
          <w:rFonts w:ascii="Times New Roman" w:hAnsi="Times New Roman"/>
          <w:color w:val="000000"/>
          <w:sz w:val="20"/>
          <w:szCs w:val="20"/>
        </w:rPr>
        <w:t xml:space="preserve">The experienced (or perhaps cynical) defense lawyer cringes upon seeing a multi-factor test like the </w:t>
      </w:r>
      <w:r>
        <w:rPr>
          <w:rFonts w:ascii="Times New Roman" w:hAnsi="Times New Roman"/>
          <w:i/>
          <w:iCs/>
          <w:color w:val="000000"/>
          <w:sz w:val="20"/>
          <w:szCs w:val="20"/>
        </w:rPr>
        <w:t>Daubert</w:t>
      </w:r>
      <w:r>
        <w:rPr>
          <w:rFonts w:ascii="Times New Roman" w:hAnsi="Times New Roman"/>
          <w:color w:val="000000"/>
          <w:sz w:val="20"/>
          <w:szCs w:val="20"/>
        </w:rPr>
        <w:t xml:space="preserve"> standard. All of those factors--some of which actually have multiple sub-factors</w:t>
      </w:r>
      <w:bookmarkStart w:id="27" w:name="co_fnRef_F13507610219_ID0ERCAE_1"/>
      <w:bookmarkEnd w:id="27"/>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"#co_footnote_F13507610219_1"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13</w:t>
      </w:r>
      <w:r>
        <w:rPr>
          <w:rFonts w:ascii="Times New Roman" w:hAnsi="Times New Roman"/>
          <w:color w:val="000000"/>
          <w:sz w:val="16"/>
          <w:szCs w:val="16"/>
        </w:rPr>
        <w:fldChar w:fldCharType="end"/>
      </w:r>
      <w:r>
        <w:rPr>
          <w:rFonts w:ascii="Times New Roman" w:hAnsi="Times New Roman"/>
          <w:color w:val="000000"/>
          <w:sz w:val="20"/>
          <w:szCs w:val="20"/>
        </w:rPr>
        <w:t>--give pro-state judges incredible flexibility to reach their predetermined outcome of ruling for the prosecutor. That is why “[c]ritics have long complained that a different standard applies when defendants, as opposed to prosecutors, seek to introduce expert evidence.”</w:t>
      </w:r>
      <w:bookmarkStart w:id="28" w:name="co_fnRef_F14507610219_ID0EBDAE_1"/>
      <w:bookmarkEnd w:id="28"/>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"#co_footnote_F14507610219_1"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14</w:t>
      </w:r>
      <w:r>
        <w:rPr>
          <w:rFonts w:ascii="Times New Roman" w:hAnsi="Times New Roman"/>
          <w:color w:val="000000"/>
          <w:sz w:val="16"/>
          <w:szCs w:val="16"/>
        </w:rPr>
        <w:fldChar w:fldCharType="end"/>
      </w:r>
    </w:p>
    <w:p w14:paraId="12DAB940"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C018E09"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29" w:name="co_g_ID0EIDAE_1"/>
      <w:bookmarkEnd w:id="29"/>
      <w:r>
        <w:rPr>
          <w:rFonts w:ascii="Times New Roman" w:hAnsi="Times New Roman"/>
          <w:color w:val="000000"/>
          <w:sz w:val="20"/>
          <w:szCs w:val="20"/>
        </w:rPr>
        <w:t>For example, courts routinely allow prosecutors to present expert testimony on “handwriting identification, ballistics, [and] bite marks,” even though “there are serious reliability issues” with such evidence.</w:t>
      </w:r>
      <w:bookmarkStart w:id="30" w:name="co_fnRef_F15507610219_ID0EZDAE_1"/>
      <w:bookmarkEnd w:id="30"/>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"#co_footnote_F15507610219_1"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15</w:t>
      </w:r>
      <w:r>
        <w:rPr>
          <w:rFonts w:ascii="Times New Roman" w:hAnsi="Times New Roman"/>
          <w:color w:val="000000"/>
          <w:sz w:val="16"/>
          <w:szCs w:val="16"/>
        </w:rPr>
        <w:fldChar w:fldCharType="end"/>
      </w:r>
      <w:r>
        <w:rPr>
          <w:rFonts w:ascii="Times New Roman" w:hAnsi="Times New Roman"/>
          <w:color w:val="000000"/>
          <w:sz w:val="20"/>
          <w:szCs w:val="20"/>
        </w:rPr>
        <w:t xml:space="preserve"> On the other hand, courts often </w:t>
      </w:r>
      <w:r>
        <w:rPr>
          <w:rFonts w:ascii="Times New Roman" w:hAnsi="Times New Roman"/>
          <w:i/>
          <w:iCs/>
          <w:color w:val="000000"/>
          <w:sz w:val="20"/>
          <w:szCs w:val="20"/>
        </w:rPr>
        <w:t>exclude</w:t>
      </w:r>
      <w:r>
        <w:rPr>
          <w:rFonts w:ascii="Times New Roman" w:hAnsi="Times New Roman"/>
          <w:color w:val="000000"/>
          <w:sz w:val="20"/>
          <w:szCs w:val="20"/>
        </w:rPr>
        <w:t xml:space="preserve"> “testimony about the dangers of unreliable eyewitness identification,” even though such evidence is “backed up by relatively robust findings[.]”</w:t>
      </w:r>
      <w:bookmarkStart w:id="31" w:name="co_fnRef_F16507610219_ID0EQEAE_1"/>
      <w:bookmarkEnd w:id="31"/>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"#co_footnote_F16507610219_1"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16</w:t>
      </w:r>
      <w:r>
        <w:rPr>
          <w:rFonts w:ascii="Times New Roman" w:hAnsi="Times New Roman"/>
          <w:color w:val="000000"/>
          <w:sz w:val="16"/>
          <w:szCs w:val="16"/>
        </w:rPr>
        <w:fldChar w:fldCharType="end"/>
      </w:r>
      <w:r>
        <w:rPr>
          <w:rFonts w:ascii="Times New Roman" w:hAnsi="Times New Roman"/>
          <w:color w:val="000000"/>
          <w:sz w:val="20"/>
          <w:szCs w:val="20"/>
        </w:rPr>
        <w:t xml:space="preserve"> Why? Because that evidence “tend[s] to be offered primarily by criminal defendants.”</w:t>
      </w:r>
      <w:bookmarkStart w:id="32" w:name="co_fnRef_F17507610219_ID0E5EAE_1"/>
      <w:bookmarkEnd w:id="32"/>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"#co_footnote_F17507610219_1"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17</w:t>
      </w:r>
      <w:r>
        <w:rPr>
          <w:rFonts w:ascii="Times New Roman" w:hAnsi="Times New Roman"/>
          <w:color w:val="000000"/>
          <w:sz w:val="16"/>
          <w:szCs w:val="16"/>
        </w:rPr>
        <w:fldChar w:fldCharType="end"/>
      </w:r>
      <w:r>
        <w:rPr>
          <w:rFonts w:ascii="Times New Roman" w:hAnsi="Times New Roman"/>
          <w:color w:val="000000"/>
          <w:sz w:val="20"/>
          <w:szCs w:val="20"/>
        </w:rPr>
        <w:t xml:space="preserve"> As two authors observed in their nationwide study of judicial reliability analyses: “It is incredibly rare to find any discussion of reliability, except in one context: </w:t>
      </w:r>
      <w:r>
        <w:rPr>
          <w:rFonts w:ascii="Times New Roman" w:hAnsi="Times New Roman"/>
          <w:i/>
          <w:iCs/>
          <w:color w:val="000000"/>
          <w:sz w:val="20"/>
          <w:szCs w:val="20"/>
        </w:rPr>
        <w:t>when courts exclude defense experts</w:t>
      </w:r>
      <w:r>
        <w:rPr>
          <w:rFonts w:ascii="Times New Roman" w:hAnsi="Times New Roman"/>
          <w:color w:val="000000"/>
          <w:sz w:val="20"/>
          <w:szCs w:val="20"/>
        </w:rPr>
        <w:t>.”</w:t>
      </w:r>
      <w:bookmarkStart w:id="33" w:name="co_fnRef_F18507610219_ID0ENFAE_1"/>
      <w:bookmarkEnd w:id="33"/>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"#co_footnote_F18507610219_1"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18</w:t>
      </w:r>
      <w:r>
        <w:rPr>
          <w:rFonts w:ascii="Times New Roman" w:hAnsi="Times New Roman"/>
          <w:color w:val="000000"/>
          <w:sz w:val="16"/>
          <w:szCs w:val="16"/>
        </w:rPr>
        <w:fldChar w:fldCharType="end"/>
      </w:r>
    </w:p>
    <w:p w14:paraId="12B2DB8B"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29D291A"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34" w:name="co_g_ID0EUFAE_1"/>
      <w:bookmarkEnd w:id="34"/>
      <w:r>
        <w:rPr>
          <w:rFonts w:ascii="Times New Roman" w:hAnsi="Times New Roman"/>
          <w:color w:val="000000"/>
          <w:sz w:val="20"/>
          <w:szCs w:val="20"/>
        </w:rPr>
        <w:t xml:space="preserve">These cynical views are supported by the data. For example, one author identified 67 </w:t>
      </w:r>
      <w:r>
        <w:rPr>
          <w:rFonts w:ascii="Times New Roman" w:hAnsi="Times New Roman"/>
          <w:i/>
          <w:iCs/>
          <w:color w:val="000000"/>
          <w:sz w:val="20"/>
          <w:szCs w:val="20"/>
        </w:rPr>
        <w:t>Daubert</w:t>
      </w:r>
      <w:r>
        <w:rPr>
          <w:rFonts w:ascii="Times New Roman" w:hAnsi="Times New Roman"/>
          <w:color w:val="000000"/>
          <w:sz w:val="20"/>
          <w:szCs w:val="20"/>
        </w:rPr>
        <w:t xml:space="preserve"> appellate cases where “the government challenged the exclusion of its experts.”</w:t>
      </w:r>
      <w:bookmarkStart w:id="35" w:name="co_fnRef_F19507610219_ID0ERGAE_1"/>
      <w:bookmarkEnd w:id="35"/>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"#co_footnote_F19507610219_1"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19</w:t>
      </w:r>
      <w:r>
        <w:rPr>
          <w:rFonts w:ascii="Times New Roman" w:hAnsi="Times New Roman"/>
          <w:color w:val="000000"/>
          <w:sz w:val="16"/>
          <w:szCs w:val="16"/>
        </w:rPr>
        <w:fldChar w:fldCharType="end"/>
      </w:r>
      <w:r>
        <w:rPr>
          <w:rFonts w:ascii="Times New Roman" w:hAnsi="Times New Roman"/>
          <w:color w:val="000000"/>
          <w:sz w:val="20"/>
          <w:szCs w:val="20"/>
        </w:rPr>
        <w:t xml:space="preserve"> The government’s record in those appeals was 61-6.</w:t>
      </w:r>
      <w:bookmarkStart w:id="36" w:name="co_fnRef_F20507610219_ID0EWGAE_1"/>
      <w:bookmarkEnd w:id="36"/>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"#co_footnote_F20507610219_1"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20</w:t>
      </w:r>
      <w:r>
        <w:rPr>
          <w:rFonts w:ascii="Times New Roman" w:hAnsi="Times New Roman"/>
          <w:color w:val="000000"/>
          <w:sz w:val="16"/>
          <w:szCs w:val="16"/>
        </w:rPr>
        <w:fldChar w:fldCharType="end"/>
      </w:r>
      <w:r>
        <w:rPr>
          <w:rFonts w:ascii="Times New Roman" w:hAnsi="Times New Roman"/>
          <w:color w:val="000000"/>
          <w:sz w:val="20"/>
          <w:szCs w:val="20"/>
        </w:rPr>
        <w:t xml:space="preserve"> The article also identified 54 </w:t>
      </w:r>
      <w:r>
        <w:rPr>
          <w:rFonts w:ascii="Times New Roman" w:hAnsi="Times New Roman"/>
          <w:i/>
          <w:iCs/>
          <w:color w:val="000000"/>
          <w:sz w:val="20"/>
          <w:szCs w:val="20"/>
        </w:rPr>
        <w:t>Daubert</w:t>
      </w:r>
      <w:r>
        <w:rPr>
          <w:rFonts w:ascii="Times New Roman" w:hAnsi="Times New Roman"/>
          <w:color w:val="000000"/>
          <w:sz w:val="20"/>
          <w:szCs w:val="20"/>
        </w:rPr>
        <w:t xml:space="preserve"> appellate cases where the defendants argued “that their expert was improperly excluded.”</w:t>
      </w:r>
      <w:bookmarkStart w:id="37" w:name="co_fnRef_F21507610219_ID0ENHAE_1"/>
      <w:bookmarkEnd w:id="37"/>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"#co_footnote_F21507610219_1"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21</w:t>
      </w:r>
      <w:r>
        <w:rPr>
          <w:rFonts w:ascii="Times New Roman" w:hAnsi="Times New Roman"/>
          <w:color w:val="000000"/>
          <w:sz w:val="16"/>
          <w:szCs w:val="16"/>
        </w:rPr>
        <w:fldChar w:fldCharType="end"/>
      </w:r>
      <w:r>
        <w:rPr>
          <w:rFonts w:ascii="Times New Roman" w:hAnsi="Times New Roman"/>
          <w:color w:val="000000"/>
          <w:sz w:val="20"/>
          <w:szCs w:val="20"/>
        </w:rPr>
        <w:t xml:space="preserve"> The government’s record in those cases was 44-10.</w:t>
      </w:r>
      <w:bookmarkStart w:id="38" w:name="co_fnRef_F22507610219_ID0ESHAE_1"/>
      <w:bookmarkEnd w:id="38"/>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"#co_footnote_F22507610219_1"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22</w:t>
      </w:r>
      <w:r>
        <w:rPr>
          <w:rFonts w:ascii="Times New Roman" w:hAnsi="Times New Roman"/>
          <w:color w:val="000000"/>
          <w:sz w:val="16"/>
          <w:szCs w:val="16"/>
        </w:rPr>
        <w:fldChar w:fldCharType="end"/>
      </w:r>
      <w:r>
        <w:rPr>
          <w:rFonts w:ascii="Times New Roman" w:hAnsi="Times New Roman"/>
          <w:color w:val="000000"/>
          <w:sz w:val="20"/>
          <w:szCs w:val="20"/>
        </w:rPr>
        <w:t xml:space="preserve"> And of those ten defense victories, “only one case was actually remanded for retrial.”</w:t>
      </w:r>
      <w:bookmarkStart w:id="39" w:name="co_fnRef_F23507610219_ID0EAIAE_1"/>
      <w:bookmarkEnd w:id="39"/>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"#co_footnote_F23507610219_1"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23</w:t>
      </w:r>
      <w:r>
        <w:rPr>
          <w:rFonts w:ascii="Times New Roman" w:hAnsi="Times New Roman"/>
          <w:color w:val="000000"/>
          <w:sz w:val="16"/>
          <w:szCs w:val="16"/>
        </w:rPr>
        <w:fldChar w:fldCharType="end"/>
      </w:r>
      <w:r>
        <w:rPr>
          <w:rFonts w:ascii="Times New Roman" w:hAnsi="Times New Roman"/>
          <w:color w:val="000000"/>
          <w:sz w:val="20"/>
          <w:szCs w:val="20"/>
        </w:rPr>
        <w:t xml:space="preserve"> An appellate record of 105-16--or 114-7, depending on how one defines a “victory”--certainly sets off the alarm bell for a pro-state double standard.</w:t>
      </w:r>
    </w:p>
    <w:p w14:paraId="123EC0D6"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C7884EC"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40" w:name="co_g_ID0EJIAE_1"/>
      <w:bookmarkEnd w:id="40"/>
      <w:r>
        <w:rPr>
          <w:rFonts w:ascii="Times New Roman" w:hAnsi="Times New Roman"/>
          <w:color w:val="000000"/>
          <w:sz w:val="20"/>
          <w:szCs w:val="20"/>
        </w:rPr>
        <w:t xml:space="preserve">More recently, I conducted an intra-state analysis of all expert witness cases that reached the Wisconsin appellate courts since that state adopted the </w:t>
      </w:r>
      <w:r>
        <w:rPr>
          <w:rFonts w:ascii="Times New Roman" w:hAnsi="Times New Roman"/>
          <w:i/>
          <w:iCs/>
          <w:color w:val="000000"/>
          <w:sz w:val="20"/>
          <w:szCs w:val="20"/>
        </w:rPr>
        <w:t>Daubert</w:t>
      </w:r>
      <w:r>
        <w:rPr>
          <w:rFonts w:ascii="Times New Roman" w:hAnsi="Times New Roman"/>
          <w:color w:val="000000"/>
          <w:sz w:val="20"/>
          <w:szCs w:val="20"/>
        </w:rPr>
        <w:t xml:space="preserve"> </w:t>
      </w:r>
      <w:bookmarkStart w:id="41" w:name="co_pp_sp_233327_100_1"/>
      <w:bookmarkEnd w:id="41"/>
      <w:r>
        <w:rPr>
          <w:rFonts w:ascii="Times New Roman" w:hAnsi="Times New Roman"/>
          <w:b/>
          <w:bCs/>
          <w:color w:val="000000"/>
          <w:sz w:val="20"/>
          <w:szCs w:val="20"/>
        </w:rPr>
        <w:t>*100</w:t>
      </w:r>
      <w:r>
        <w:rPr>
          <w:rFonts w:ascii="Times New Roman" w:hAnsi="Times New Roman"/>
          <w:color w:val="000000"/>
          <w:sz w:val="20"/>
          <w:szCs w:val="20"/>
        </w:rPr>
        <w:t xml:space="preserve"> standard, and the evidence was even more lopsided.</w:t>
      </w:r>
      <w:bookmarkStart w:id="42" w:name="co_fnRef_F24507610219_ID0E6IAE_1"/>
      <w:bookmarkEnd w:id="42"/>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"#co_footnote_F24507610219_1"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24</w:t>
      </w:r>
      <w:r>
        <w:rPr>
          <w:rFonts w:ascii="Times New Roman" w:hAnsi="Times New Roman"/>
          <w:color w:val="000000"/>
          <w:sz w:val="16"/>
          <w:szCs w:val="16"/>
        </w:rPr>
        <w:fldChar w:fldCharType="end"/>
      </w:r>
      <w:r>
        <w:rPr>
          <w:rFonts w:ascii="Times New Roman" w:hAnsi="Times New Roman"/>
          <w:color w:val="000000"/>
          <w:sz w:val="20"/>
          <w:szCs w:val="20"/>
        </w:rPr>
        <w:t xml:space="preserve"> In 68 appellate cases comprised of 134 judicial decisions across all levels of the state court system--i.e., trial courts, appellate courts, and the state supreme court--prosecutors amassed a towering and undefeated 134-0 record.</w:t>
      </w:r>
      <w:bookmarkStart w:id="43" w:name="co_fnRef_F25507610219_ID0EEJAE_1"/>
      <w:bookmarkEnd w:id="43"/>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"#co_footnote_F25507610219_1"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25</w:t>
      </w:r>
      <w:r>
        <w:rPr>
          <w:rFonts w:ascii="Times New Roman" w:hAnsi="Times New Roman"/>
          <w:color w:val="000000"/>
          <w:sz w:val="16"/>
          <w:szCs w:val="16"/>
        </w:rPr>
        <w:fldChar w:fldCharType="end"/>
      </w:r>
      <w:r>
        <w:rPr>
          <w:rFonts w:ascii="Times New Roman" w:hAnsi="Times New Roman"/>
          <w:color w:val="000000"/>
          <w:sz w:val="20"/>
          <w:szCs w:val="20"/>
        </w:rPr>
        <w:t xml:space="preserve"> Regardless of the type of case, the type of expert, the party calling the expert, and the procedural posture, in cases that have been appealed the defense has never won a single </w:t>
      </w:r>
      <w:r>
        <w:rPr>
          <w:rFonts w:ascii="Times New Roman" w:hAnsi="Times New Roman"/>
          <w:i/>
          <w:iCs/>
          <w:color w:val="000000"/>
          <w:sz w:val="20"/>
          <w:szCs w:val="20"/>
        </w:rPr>
        <w:t>Daubert</w:t>
      </w:r>
      <w:r>
        <w:rPr>
          <w:rFonts w:ascii="Times New Roman" w:hAnsi="Times New Roman"/>
          <w:color w:val="000000"/>
          <w:sz w:val="20"/>
          <w:szCs w:val="20"/>
        </w:rPr>
        <w:t xml:space="preserve"> ruling at any level of the state court system.</w:t>
      </w:r>
      <w:bookmarkStart w:id="44" w:name="co_fnRef_F26507610219_ID0ERJAE_1"/>
      <w:bookmarkEnd w:id="44"/>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"#co_footnote_F26507610219_1"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26</w:t>
      </w:r>
      <w:r>
        <w:rPr>
          <w:rFonts w:ascii="Times New Roman" w:hAnsi="Times New Roman"/>
          <w:color w:val="000000"/>
          <w:sz w:val="16"/>
          <w:szCs w:val="16"/>
        </w:rPr>
        <w:fldChar w:fldCharType="end"/>
      </w:r>
    </w:p>
    <w:p w14:paraId="06900789"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E7DD647"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45" w:name="co_g_ID0EYJAE_1"/>
      <w:bookmarkEnd w:id="45"/>
      <w:r>
        <w:rPr>
          <w:rFonts w:ascii="Times New Roman" w:hAnsi="Times New Roman"/>
          <w:color w:val="000000"/>
          <w:sz w:val="20"/>
          <w:szCs w:val="20"/>
        </w:rPr>
        <w:t xml:space="preserve">Given this absurd double standard, is it even worth the defense lawyer’s valuable time to litigate </w:t>
      </w:r>
      <w:r>
        <w:rPr>
          <w:rFonts w:ascii="Times New Roman" w:hAnsi="Times New Roman"/>
          <w:i/>
          <w:iCs/>
          <w:color w:val="000000"/>
          <w:sz w:val="20"/>
          <w:szCs w:val="20"/>
        </w:rPr>
        <w:t>Daubert</w:t>
      </w:r>
      <w:r>
        <w:rPr>
          <w:rFonts w:ascii="Times New Roman" w:hAnsi="Times New Roman"/>
          <w:color w:val="000000"/>
          <w:sz w:val="20"/>
          <w:szCs w:val="20"/>
        </w:rPr>
        <w:t xml:space="preserve"> issues?</w:t>
      </w:r>
      <w:bookmarkStart w:id="46" w:name="co_fnRef_F27507610219_ID0EJKAE_1"/>
      <w:bookmarkEnd w:id="46"/>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"#co_footnote_F27507610219_1"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27</w:t>
      </w:r>
      <w:r>
        <w:rPr>
          <w:rFonts w:ascii="Times New Roman" w:hAnsi="Times New Roman"/>
          <w:color w:val="000000"/>
          <w:sz w:val="16"/>
          <w:szCs w:val="16"/>
        </w:rPr>
        <w:fldChar w:fldCharType="end"/>
      </w:r>
      <w:r>
        <w:rPr>
          <w:rFonts w:ascii="Times New Roman" w:hAnsi="Times New Roman"/>
          <w:color w:val="000000"/>
          <w:sz w:val="20"/>
          <w:szCs w:val="20"/>
        </w:rPr>
        <w:t xml:space="preserve"> The answer is often yes. First, </w:t>
      </w:r>
      <w:r>
        <w:rPr>
          <w:rFonts w:ascii="Times New Roman" w:hAnsi="Times New Roman"/>
          <w:i/>
          <w:iCs/>
          <w:color w:val="000000"/>
          <w:sz w:val="20"/>
          <w:szCs w:val="20"/>
        </w:rPr>
        <w:t>Daubert</w:t>
      </w:r>
      <w:r>
        <w:rPr>
          <w:rFonts w:ascii="Times New Roman" w:hAnsi="Times New Roman"/>
          <w:color w:val="000000"/>
          <w:sz w:val="20"/>
          <w:szCs w:val="20"/>
        </w:rPr>
        <w:t xml:space="preserve"> appellate court decisions tend to be highly fact specific, often turning not only on the criminal charge and the type of expertise, but also on the individual witness’s qualifications, the underlying facts of the case, the scope of the proposed testimony, and the precise nature of the legal challenge.</w:t>
      </w:r>
      <w:bookmarkStart w:id="47" w:name="co_fnRef_F28507610219_ID0E1KAE_1"/>
      <w:bookmarkEnd w:id="47"/>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"#co_footnote_F28507610219_1"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28</w:t>
      </w:r>
      <w:r>
        <w:rPr>
          <w:rFonts w:ascii="Times New Roman" w:hAnsi="Times New Roman"/>
          <w:color w:val="000000"/>
          <w:sz w:val="16"/>
          <w:szCs w:val="16"/>
        </w:rPr>
        <w:fldChar w:fldCharType="end"/>
      </w:r>
      <w:r>
        <w:rPr>
          <w:rFonts w:ascii="Times New Roman" w:hAnsi="Times New Roman"/>
          <w:color w:val="000000"/>
          <w:sz w:val="20"/>
          <w:szCs w:val="20"/>
        </w:rPr>
        <w:t xml:space="preserve"> Because two cases are rarely identical, any adverse appellate court decision will probably not be directly on point with defense counsel’s case.</w:t>
      </w:r>
    </w:p>
    <w:p w14:paraId="1C9254E3"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4CF3BF1"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48" w:name="co_g_ID0EDLAE_1"/>
      <w:bookmarkEnd w:id="48"/>
      <w:r>
        <w:rPr>
          <w:rFonts w:ascii="Times New Roman" w:hAnsi="Times New Roman"/>
          <w:color w:val="000000"/>
          <w:sz w:val="20"/>
          <w:szCs w:val="20"/>
        </w:rPr>
        <w:t xml:space="preserve">Second, even when the defense lawyer can predict with near certainty that the trial judge will (a) allow the state’s expert to testify or (b) exclude the defendant’s expert, there may be secondary benefits to litigating </w:t>
      </w:r>
      <w:r>
        <w:rPr>
          <w:rFonts w:ascii="Times New Roman" w:hAnsi="Times New Roman"/>
          <w:i/>
          <w:iCs/>
          <w:color w:val="000000"/>
          <w:sz w:val="20"/>
          <w:szCs w:val="20"/>
        </w:rPr>
        <w:t>Daubert</w:t>
      </w:r>
      <w:r>
        <w:rPr>
          <w:rFonts w:ascii="Times New Roman" w:hAnsi="Times New Roman"/>
          <w:color w:val="000000"/>
          <w:sz w:val="20"/>
          <w:szCs w:val="20"/>
        </w:rPr>
        <w:t xml:space="preserve"> issues. Most significantly, when challenging the state’s expert, pretrial litigation may help defense counsel prepare an effective cross-examination for trial. Further, both (a) pretrial motions to exclude the state’s expert and (b) efforts to admit the defense expert, even if unsuccessful, may prevent future claims of ineffective assistance of counsel (IAC) if the defendant is convicted. Avoiding IAC claims benefits both defense counsel and the defendant.</w:t>
      </w:r>
      <w:bookmarkStart w:id="49" w:name="co_fnRef_F29507610219_ID0E3LAE_1"/>
      <w:bookmarkEnd w:id="49"/>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"#co_footnote_F29507610219_1"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29</w:t>
      </w:r>
      <w:r>
        <w:rPr>
          <w:rFonts w:ascii="Times New Roman" w:hAnsi="Times New Roman"/>
          <w:color w:val="000000"/>
          <w:sz w:val="16"/>
          <w:szCs w:val="16"/>
        </w:rPr>
        <w:fldChar w:fldCharType="end"/>
      </w:r>
    </w:p>
    <w:p w14:paraId="0D3B5E3A"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 </w:t>
      </w:r>
    </w:p>
    <w:p w14:paraId="399A8A19"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50" w:name="co_g_ID0EDMAE_1"/>
      <w:bookmarkEnd w:id="50"/>
      <w:r>
        <w:rPr>
          <w:rFonts w:ascii="Times New Roman" w:hAnsi="Times New Roman"/>
          <w:color w:val="000000"/>
          <w:sz w:val="20"/>
          <w:szCs w:val="20"/>
        </w:rPr>
        <w:t>The real question, then, is how does defense counsel attempt to exclude a state’s expert or win the admission of a defense expert? The answer is obviously highly fact dependent. However, in jurisdictions like Wisconsin with its 134-0 record in favor of the state, this much is certain: the conventional strategy of citing an in-state, on-point appellate case appears to be impossible. Defense counsel should therefore consider different, less conventional approaches.</w:t>
      </w:r>
    </w:p>
    <w:p w14:paraId="78B0AF4E"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D423574"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51" w:name="co_g_ID0EYMAE_1"/>
      <w:bookmarkStart w:id="52" w:name="co_pp_sp_233327_101_1"/>
      <w:bookmarkEnd w:id="51"/>
      <w:bookmarkEnd w:id="52"/>
      <w:r>
        <w:rPr>
          <w:rFonts w:ascii="Times New Roman" w:hAnsi="Times New Roman"/>
          <w:b/>
          <w:bCs/>
          <w:color w:val="000000"/>
          <w:sz w:val="20"/>
          <w:szCs w:val="20"/>
        </w:rPr>
        <w:t>*101</w:t>
      </w:r>
      <w:r>
        <w:rPr>
          <w:rFonts w:ascii="Times New Roman" w:hAnsi="Times New Roman"/>
          <w:color w:val="000000"/>
          <w:sz w:val="20"/>
          <w:szCs w:val="20"/>
        </w:rPr>
        <w:t xml:space="preserve"> This Article offers one such approach: identifying and adopting the underlying judicial reasoning and prosecutorial tactics that produced the state’s 134-0 record, and then flipping the script. That is, when defense counsel moves to exclude the state’s expert, counsel may wish to cite and apply the courts’ reasoning from those cases that excluded defense experts; conversely, when defense counsel seeks admission of a defense expert, counsel may wish to adopt the prosecutorial tactics that were used successfully to admit the state’s experts.</w:t>
      </w:r>
    </w:p>
    <w:p w14:paraId="60096F31"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4FB92A6" w14:textId="77777777" w:rsidR="004D1FA8" w:rsidRDefault="004D1FA8">
      <w:pPr>
        <w:widowControl w:val="0"/>
        <w:autoSpaceDE w:val="0"/>
        <w:autoSpaceDN w:val="0"/>
        <w:adjustRightInd w:val="0"/>
        <w:spacing w:before="200" w:after="200" w:line="240" w:lineRule="auto"/>
        <w:rPr>
          <w:rFonts w:ascii="Times New Roman" w:hAnsi="Times New Roman"/>
          <w:b/>
          <w:bCs/>
          <w:color w:val="000000"/>
          <w:sz w:val="20"/>
          <w:szCs w:val="20"/>
        </w:rPr>
      </w:pPr>
      <w:bookmarkStart w:id="53" w:name="co_g_ID0ELNAE_1"/>
      <w:bookmarkEnd w:id="53"/>
      <w:r>
        <w:rPr>
          <w:rFonts w:ascii="Times New Roman" w:hAnsi="Times New Roman"/>
          <w:b/>
          <w:bCs/>
          <w:color w:val="000000"/>
          <w:sz w:val="20"/>
          <w:szCs w:val="20"/>
        </w:rPr>
        <w:t>II. EXCLUDING THE STATE’S EXPERT: THE GOOSE AND THE GANDER</w:t>
      </w:r>
    </w:p>
    <w:p w14:paraId="2235E111"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54" w:name="co_g_ID0EWNAE_1"/>
      <w:bookmarkEnd w:id="54"/>
      <w:r>
        <w:rPr>
          <w:rFonts w:ascii="Times New Roman" w:hAnsi="Times New Roman"/>
          <w:color w:val="000000"/>
          <w:sz w:val="20"/>
          <w:szCs w:val="20"/>
        </w:rPr>
        <w:t xml:space="preserve">When seeking to exclude a prosecutor’s expert witness, defense counsel must first identify the cases in the relevant jurisdiction where courts have excluded defense experts. Then, counsel’s underlying strategy will be to demonstrate that what was good for the goose (i.e., the court’s reasoning in excluding defense experts) must also be good for the gander (i.e., should be applied consistently and used to exclude the state’s expert). My recent intrastate analysis of </w:t>
      </w:r>
      <w:r>
        <w:rPr>
          <w:rFonts w:ascii="Times New Roman" w:hAnsi="Times New Roman"/>
          <w:i/>
          <w:iCs/>
          <w:color w:val="000000"/>
          <w:sz w:val="20"/>
          <w:szCs w:val="20"/>
        </w:rPr>
        <w:t>Daubert</w:t>
      </w:r>
      <w:r>
        <w:rPr>
          <w:rFonts w:ascii="Times New Roman" w:hAnsi="Times New Roman"/>
          <w:color w:val="000000"/>
          <w:sz w:val="20"/>
          <w:szCs w:val="20"/>
        </w:rPr>
        <w:t xml:space="preserve"> cases revealed that, in non-traffic criminal cases, the most common type of expertise peddled by the state was syndrome evidence.</w:t>
      </w:r>
      <w:bookmarkStart w:id="55" w:name="co_fnRef_F30507610219_ID0ENOAE_1"/>
      <w:bookmarkEnd w:id="55"/>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"#co_footnote_F30507610219_1"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30</w:t>
      </w:r>
      <w:r>
        <w:rPr>
          <w:rFonts w:ascii="Times New Roman" w:hAnsi="Times New Roman"/>
          <w:color w:val="000000"/>
          <w:sz w:val="16"/>
          <w:szCs w:val="16"/>
        </w:rPr>
        <w:fldChar w:fldCharType="end"/>
      </w:r>
      <w:r>
        <w:rPr>
          <w:rFonts w:ascii="Times New Roman" w:hAnsi="Times New Roman"/>
          <w:color w:val="000000"/>
          <w:sz w:val="20"/>
          <w:szCs w:val="20"/>
        </w:rPr>
        <w:t xml:space="preserve"> I will therefore use that class of evidence when discussing this defense strategy for exclusion.</w:t>
      </w:r>
      <w:bookmarkStart w:id="56" w:name="co_fnRef_F31507610219_ID0EROAE_1"/>
      <w:bookmarkEnd w:id="56"/>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"#co_footnote_F31507610219_1"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31</w:t>
      </w:r>
      <w:r>
        <w:rPr>
          <w:rFonts w:ascii="Times New Roman" w:hAnsi="Times New Roman"/>
          <w:color w:val="000000"/>
          <w:sz w:val="16"/>
          <w:szCs w:val="16"/>
        </w:rPr>
        <w:fldChar w:fldCharType="end"/>
      </w:r>
    </w:p>
    <w:p w14:paraId="08081F32"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AA188B9"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57" w:name="co_g_ID0EYOAE_1"/>
      <w:bookmarkEnd w:id="57"/>
      <w:r>
        <w:rPr>
          <w:rFonts w:ascii="Times New Roman" w:hAnsi="Times New Roman"/>
          <w:color w:val="000000"/>
          <w:sz w:val="20"/>
          <w:szCs w:val="20"/>
        </w:rPr>
        <w:t>Syndrome evidence is also known as commonality evidence, which is exactly what it sounds like: the state calls an “expert” to testify about what is “common” in a particular situation.</w:t>
      </w:r>
      <w:bookmarkStart w:id="58" w:name="co_fnRef_F32507610219_ID0EAPAE_1"/>
      <w:bookmarkEnd w:id="58"/>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"#co_footnote_F32507610219_1"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32</w:t>
      </w:r>
      <w:r>
        <w:rPr>
          <w:rFonts w:ascii="Times New Roman" w:hAnsi="Times New Roman"/>
          <w:color w:val="000000"/>
          <w:sz w:val="16"/>
          <w:szCs w:val="16"/>
        </w:rPr>
        <w:fldChar w:fldCharType="end"/>
      </w:r>
      <w:r>
        <w:rPr>
          <w:rFonts w:ascii="Times New Roman" w:hAnsi="Times New Roman"/>
          <w:color w:val="000000"/>
          <w:sz w:val="20"/>
          <w:szCs w:val="20"/>
        </w:rPr>
        <w:t xml:space="preserve"> The prosecutor’s goal is to put the gloss of faux expertise on the state’s otherwise weak case. The state has numerous, full-time government agents--e.g., social workers, child advocates, domestic abuse counselors, and especially police officers--at its beck and call to testify about commonalities. For example:</w:t>
      </w:r>
    </w:p>
    <w:p w14:paraId="6206E697"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Did the alleged victim delay reporting the crime until several months or even years later? There’s an expert for that. Such delayed reporting is “very common” among victims of the crime for which the defendant is being prosecuted.</w:t>
      </w:r>
    </w:p>
    <w:p w14:paraId="3DC91056"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5849925"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Did the alleged victim recant the allegation by saying that he or she made it up while in a drunken state of anger? Don’t worry, there’s an expert for that, too. Recantations are “very common” among victims who, often, are forced by defendants to recant the truth.</w:t>
      </w:r>
    </w:p>
    <w:p w14:paraId="2AF3FB7B"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D036BC2" w14:textId="77777777" w:rsidR="004D1FA8" w:rsidRDefault="004D1FA8">
      <w:pPr>
        <w:widowControl w:val="0"/>
        <w:autoSpaceDE w:val="0"/>
        <w:autoSpaceDN w:val="0"/>
        <w:adjustRightInd w:val="0"/>
        <w:spacing w:before="200" w:after="0" w:line="240" w:lineRule="auto"/>
        <w:ind w:left="700" w:right="400"/>
        <w:jc w:val="both"/>
        <w:rPr>
          <w:rFonts w:ascii="Times New Roman" w:hAnsi="Times New Roman"/>
          <w:color w:val="000000"/>
          <w:sz w:val="16"/>
          <w:szCs w:val="16"/>
        </w:rPr>
      </w:pPr>
      <w:r>
        <w:rPr>
          <w:rFonts w:ascii="Times New Roman" w:hAnsi="Times New Roman"/>
          <w:color w:val="000000"/>
          <w:sz w:val="20"/>
          <w:szCs w:val="20"/>
        </w:rPr>
        <w:t xml:space="preserve">Did the defendant refuse to answer questions when approached by the police? There is definitely an expert for that. Such </w:t>
      </w:r>
      <w:r>
        <w:rPr>
          <w:rFonts w:ascii="Times New Roman" w:hAnsi="Times New Roman"/>
          <w:i/>
          <w:iCs/>
          <w:color w:val="000000"/>
          <w:sz w:val="20"/>
          <w:szCs w:val="20"/>
        </w:rPr>
        <w:t>pre</w:t>
      </w:r>
      <w:r>
        <w:rPr>
          <w:rFonts w:ascii="Times New Roman" w:hAnsi="Times New Roman"/>
          <w:color w:val="000000"/>
          <w:sz w:val="20"/>
          <w:szCs w:val="20"/>
        </w:rPr>
        <w:t xml:space="preserve">-Miranda silence </w:t>
      </w:r>
      <w:bookmarkStart w:id="59" w:name="co_pp_sp_233327_102_1"/>
      <w:bookmarkEnd w:id="59"/>
      <w:r>
        <w:rPr>
          <w:rFonts w:ascii="Times New Roman" w:hAnsi="Times New Roman"/>
          <w:b/>
          <w:bCs/>
          <w:color w:val="000000"/>
          <w:sz w:val="20"/>
          <w:szCs w:val="20"/>
        </w:rPr>
        <w:t>*102</w:t>
      </w:r>
      <w:r>
        <w:rPr>
          <w:rFonts w:ascii="Times New Roman" w:hAnsi="Times New Roman"/>
          <w:color w:val="000000"/>
          <w:sz w:val="20"/>
          <w:szCs w:val="20"/>
        </w:rPr>
        <w:t xml:space="preserve"> demonstrates a “consciousness of guilt” and is “very common” among people who commit the type of crime for which the defendant is on trial.</w:t>
      </w:r>
      <w:bookmarkStart w:id="60" w:name="co_fnRef_F33507610219_ID0EDRAE_1"/>
      <w:bookmarkEnd w:id="60"/>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"#co_footnote_F33507610219_1"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33</w:t>
      </w:r>
      <w:r>
        <w:rPr>
          <w:rFonts w:ascii="Times New Roman" w:hAnsi="Times New Roman"/>
          <w:color w:val="000000"/>
          <w:sz w:val="16"/>
          <w:szCs w:val="16"/>
        </w:rPr>
        <w:fldChar w:fldCharType="end"/>
      </w:r>
    </w:p>
    <w:p w14:paraId="3749D5A8"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6966254"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246F140"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61" w:name="co_g_ID0ENRAE_1"/>
      <w:bookmarkEnd w:id="61"/>
      <w:r>
        <w:rPr>
          <w:rFonts w:ascii="Times New Roman" w:hAnsi="Times New Roman"/>
          <w:color w:val="000000"/>
          <w:sz w:val="20"/>
          <w:szCs w:val="20"/>
        </w:rPr>
        <w:t xml:space="preserve">To demonstrate this defense strategy for excluding such evidence, I will use a particular category of commonality evidence called Child Sexual Abuse Accommodation Syndrome (CSAAS). Here is an example, from </w:t>
      </w:r>
      <w:r>
        <w:rPr>
          <w:rFonts w:ascii="Times New Roman" w:hAnsi="Times New Roman"/>
          <w:i/>
          <w:iCs/>
          <w:color w:val="000000"/>
          <w:sz w:val="20"/>
          <w:szCs w:val="20"/>
        </w:rPr>
        <w:t>State v. Smith</w:t>
      </w:r>
      <w:r>
        <w:rPr>
          <w:rFonts w:ascii="Times New Roman" w:hAnsi="Times New Roman"/>
          <w:color w:val="000000"/>
          <w:sz w:val="20"/>
          <w:szCs w:val="20"/>
        </w:rPr>
        <w:t>,</w:t>
      </w:r>
      <w:bookmarkStart w:id="62" w:name="co_fnRef_F34507610219_ID0E6RAE_1"/>
      <w:bookmarkEnd w:id="62"/>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"#co_footnote_F34507610219_1"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34</w:t>
      </w:r>
      <w:r>
        <w:rPr>
          <w:rFonts w:ascii="Times New Roman" w:hAnsi="Times New Roman"/>
          <w:color w:val="000000"/>
          <w:sz w:val="16"/>
          <w:szCs w:val="16"/>
        </w:rPr>
        <w:fldChar w:fldCharType="end"/>
      </w:r>
      <w:r>
        <w:rPr>
          <w:rFonts w:ascii="Times New Roman" w:hAnsi="Times New Roman"/>
          <w:color w:val="000000"/>
          <w:sz w:val="20"/>
          <w:szCs w:val="20"/>
        </w:rPr>
        <w:t xml:space="preserve"> of a CSAAS expert’s qualifications and the state’s pretrial summary of her proposed testimony. First, to qualify its child-advocate witness as an expert under the </w:t>
      </w:r>
      <w:r>
        <w:rPr>
          <w:rFonts w:ascii="Times New Roman" w:hAnsi="Times New Roman"/>
          <w:i/>
          <w:iCs/>
          <w:color w:val="000000"/>
          <w:sz w:val="20"/>
          <w:szCs w:val="20"/>
        </w:rPr>
        <w:t>Daubert</w:t>
      </w:r>
      <w:r>
        <w:rPr>
          <w:rFonts w:ascii="Times New Roman" w:hAnsi="Times New Roman"/>
          <w:color w:val="000000"/>
          <w:sz w:val="20"/>
          <w:szCs w:val="20"/>
        </w:rPr>
        <w:t xml:space="preserve"> test:</w:t>
      </w:r>
    </w:p>
    <w:p w14:paraId="26A2220E" w14:textId="77777777" w:rsidR="004D1FA8" w:rsidRDefault="004D1FA8">
      <w:pPr>
        <w:widowControl w:val="0"/>
        <w:autoSpaceDE w:val="0"/>
        <w:autoSpaceDN w:val="0"/>
        <w:adjustRightInd w:val="0"/>
        <w:spacing w:before="200" w:after="0" w:line="240" w:lineRule="auto"/>
        <w:ind w:left="700" w:right="400"/>
        <w:jc w:val="both"/>
        <w:rPr>
          <w:rFonts w:ascii="Times New Roman" w:hAnsi="Times New Roman"/>
          <w:color w:val="000000"/>
          <w:sz w:val="16"/>
          <w:szCs w:val="16"/>
        </w:rPr>
      </w:pPr>
      <w:r>
        <w:rPr>
          <w:rFonts w:ascii="Times New Roman" w:hAnsi="Times New Roman"/>
          <w:color w:val="000000"/>
          <w:sz w:val="20"/>
          <w:szCs w:val="20"/>
        </w:rPr>
        <w:t>The State submitted a curriculum vitae for [the witness] that showed she had a bachelor’s degree in social work and had been employed by the ... Department of Human Services in child protective services for two decades followed by five years as director of the ... Child Advocacy Center. [The witness] had extensive training in child maltreatment and had provided training for others in the areas of child maltreatment, interviewing children, sexualized behaviors, and mandatory reporting.</w:t>
      </w:r>
      <w:bookmarkStart w:id="63" w:name="co_fnRef_F35507610219_ID0EETAE_1"/>
      <w:bookmarkEnd w:id="63"/>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"#co_footnote_F35507610219_1"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35</w:t>
      </w:r>
      <w:r>
        <w:rPr>
          <w:rFonts w:ascii="Times New Roman" w:hAnsi="Times New Roman"/>
          <w:color w:val="000000"/>
          <w:sz w:val="16"/>
          <w:szCs w:val="16"/>
        </w:rPr>
        <w:fldChar w:fldCharType="end"/>
      </w:r>
    </w:p>
    <w:p w14:paraId="35014C07"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DCE7353"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42AF545"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64" w:name="co_g_ID0EOTAE_1"/>
      <w:bookmarkEnd w:id="64"/>
      <w:r>
        <w:rPr>
          <w:rFonts w:ascii="Times New Roman" w:hAnsi="Times New Roman"/>
          <w:color w:val="000000"/>
          <w:sz w:val="20"/>
          <w:szCs w:val="20"/>
        </w:rPr>
        <w:lastRenderedPageBreak/>
        <w:t>Second, for the pretrial summary of its witness’s testimony, the state provided the following information:</w:t>
      </w:r>
    </w:p>
    <w:p w14:paraId="3F1021CC" w14:textId="77777777" w:rsidR="004D1FA8" w:rsidRDefault="004D1FA8">
      <w:pPr>
        <w:widowControl w:val="0"/>
        <w:autoSpaceDE w:val="0"/>
        <w:autoSpaceDN w:val="0"/>
        <w:adjustRightInd w:val="0"/>
        <w:spacing w:before="200" w:after="0" w:line="240" w:lineRule="auto"/>
        <w:ind w:left="700" w:right="400"/>
        <w:jc w:val="both"/>
        <w:rPr>
          <w:rFonts w:ascii="Times New Roman" w:hAnsi="Times New Roman"/>
          <w:color w:val="000000"/>
          <w:sz w:val="16"/>
          <w:szCs w:val="16"/>
        </w:rPr>
      </w:pPr>
      <w:r>
        <w:rPr>
          <w:rFonts w:ascii="Times New Roman" w:hAnsi="Times New Roman"/>
          <w:color w:val="000000"/>
          <w:sz w:val="20"/>
          <w:szCs w:val="20"/>
        </w:rPr>
        <w:t xml:space="preserve">[The witness] would not testify about specifics involving this case but ... would testify about </w:t>
      </w:r>
      <w:r>
        <w:rPr>
          <w:rFonts w:ascii="Times New Roman" w:hAnsi="Times New Roman"/>
          <w:i/>
          <w:iCs/>
          <w:color w:val="000000"/>
          <w:sz w:val="20"/>
          <w:szCs w:val="20"/>
        </w:rPr>
        <w:t>what, oftentimes, she sees</w:t>
      </w:r>
      <w:r>
        <w:rPr>
          <w:rFonts w:ascii="Times New Roman" w:hAnsi="Times New Roman"/>
          <w:color w:val="000000"/>
          <w:sz w:val="20"/>
          <w:szCs w:val="20"/>
        </w:rPr>
        <w:t xml:space="preserve"> victims of child sexual assault do. And she would testify about delayed disclosure, how it’s </w:t>
      </w:r>
      <w:r>
        <w:rPr>
          <w:rFonts w:ascii="Times New Roman" w:hAnsi="Times New Roman"/>
          <w:i/>
          <w:iCs/>
          <w:color w:val="000000"/>
          <w:sz w:val="20"/>
          <w:szCs w:val="20"/>
        </w:rPr>
        <w:t>quite common</w:t>
      </w:r>
      <w:r>
        <w:rPr>
          <w:rFonts w:ascii="Times New Roman" w:hAnsi="Times New Roman"/>
          <w:color w:val="000000"/>
          <w:sz w:val="20"/>
          <w:szCs w:val="20"/>
        </w:rPr>
        <w:t xml:space="preserve"> for children to wait to disclose. The State also provided that [the witness] would testify how child sexual assault victims </w:t>
      </w:r>
      <w:r>
        <w:rPr>
          <w:rFonts w:ascii="Times New Roman" w:hAnsi="Times New Roman"/>
          <w:i/>
          <w:iCs/>
          <w:color w:val="000000"/>
          <w:sz w:val="20"/>
          <w:szCs w:val="20"/>
        </w:rPr>
        <w:t>often, perhaps</w:t>
      </w:r>
      <w:r>
        <w:rPr>
          <w:rFonts w:ascii="Times New Roman" w:hAnsi="Times New Roman"/>
          <w:color w:val="000000"/>
          <w:sz w:val="20"/>
          <w:szCs w:val="20"/>
        </w:rPr>
        <w:t xml:space="preserve">, become withdrawn, their mood changes, they struggle academically, may act out as well as a wide range of behaviors that are </w:t>
      </w:r>
      <w:r>
        <w:rPr>
          <w:rFonts w:ascii="Times New Roman" w:hAnsi="Times New Roman"/>
          <w:i/>
          <w:iCs/>
          <w:color w:val="000000"/>
          <w:sz w:val="20"/>
          <w:szCs w:val="20"/>
        </w:rPr>
        <w:t>common</w:t>
      </w:r>
      <w:r>
        <w:rPr>
          <w:rFonts w:ascii="Times New Roman" w:hAnsi="Times New Roman"/>
          <w:color w:val="000000"/>
          <w:sz w:val="20"/>
          <w:szCs w:val="20"/>
        </w:rPr>
        <w:t xml:space="preserve"> in child sexual assault cases.</w:t>
      </w:r>
      <w:bookmarkStart w:id="65" w:name="co_fnRef_F36507610219_ID0ESUAE_1"/>
      <w:bookmarkEnd w:id="65"/>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"#co_footnote_F36507610219_1"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36</w:t>
      </w:r>
      <w:r>
        <w:rPr>
          <w:rFonts w:ascii="Times New Roman" w:hAnsi="Times New Roman"/>
          <w:color w:val="000000"/>
          <w:sz w:val="16"/>
          <w:szCs w:val="16"/>
        </w:rPr>
        <w:fldChar w:fldCharType="end"/>
      </w:r>
    </w:p>
    <w:p w14:paraId="68ED5EC2"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5591589"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59C1989"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66" w:name="co_g_ID0E3UAE_1"/>
      <w:bookmarkEnd w:id="66"/>
      <w:r>
        <w:rPr>
          <w:rFonts w:ascii="Times New Roman" w:hAnsi="Times New Roman"/>
          <w:color w:val="000000"/>
          <w:sz w:val="20"/>
          <w:szCs w:val="20"/>
        </w:rPr>
        <w:t>In sum, the state uses a child advocate, not a research psychologist, to testify about what is “common” in her own experiences, rather than what the published studies have found. And of course, because nearly everything is “common”--including the unspecified “wide range of behaviors”--the expert’s testimony nearly always matches the facts of, and therefore bolsters, the prosecutor’s case.</w:t>
      </w:r>
    </w:p>
    <w:p w14:paraId="008C84D9"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9D137D9"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67" w:name="co_g_ID0ELVAE_1"/>
      <w:bookmarkEnd w:id="67"/>
      <w:r>
        <w:rPr>
          <w:rFonts w:ascii="Times New Roman" w:hAnsi="Times New Roman"/>
          <w:color w:val="000000"/>
          <w:sz w:val="20"/>
          <w:szCs w:val="20"/>
        </w:rPr>
        <w:t>How, specifically, the defense lawyer might attempt to exclude such evidence is best illustrated through a sample motion, below. For consistency, the motion cites cases from the same jurisdiction, Wisconsin, whenever possible. When necessary, it cites cases from other jurisdictions, i.e., Kentucky, Missouri, New Jersey, and Tennessee.</w:t>
      </w:r>
    </w:p>
    <w:p w14:paraId="5A585074"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9136892"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68" w:name="co_g_ID0E4VAE_1"/>
      <w:bookmarkEnd w:id="68"/>
      <w:r>
        <w:rPr>
          <w:rFonts w:ascii="Times New Roman" w:hAnsi="Times New Roman"/>
          <w:color w:val="000000"/>
          <w:sz w:val="20"/>
          <w:szCs w:val="20"/>
        </w:rPr>
        <w:t xml:space="preserve">For organization and clarity, the sample motion has seven numbered paragraphs. These seven paragraphs and their topic headings track the seven prongs of the particular </w:t>
      </w:r>
      <w:r>
        <w:rPr>
          <w:rFonts w:ascii="Times New Roman" w:hAnsi="Times New Roman"/>
          <w:i/>
          <w:iCs/>
          <w:color w:val="000000"/>
          <w:sz w:val="20"/>
          <w:szCs w:val="20"/>
        </w:rPr>
        <w:t>Daubert</w:t>
      </w:r>
      <w:r>
        <w:rPr>
          <w:rFonts w:ascii="Times New Roman" w:hAnsi="Times New Roman"/>
          <w:color w:val="000000"/>
          <w:sz w:val="20"/>
          <w:szCs w:val="20"/>
        </w:rPr>
        <w:t xml:space="preserve"> standard set forth in Part I of this Article. For paragraphs (and </w:t>
      </w:r>
      <w:r>
        <w:rPr>
          <w:rFonts w:ascii="Times New Roman" w:hAnsi="Times New Roman"/>
          <w:i/>
          <w:iCs/>
          <w:color w:val="000000"/>
          <w:sz w:val="20"/>
          <w:szCs w:val="20"/>
        </w:rPr>
        <w:t>Daubert</w:t>
      </w:r>
      <w:r>
        <w:rPr>
          <w:rFonts w:ascii="Times New Roman" w:hAnsi="Times New Roman"/>
          <w:color w:val="000000"/>
          <w:sz w:val="20"/>
          <w:szCs w:val="20"/>
        </w:rPr>
        <w:t xml:space="preserve"> elements) numbered two, three, four, and six, I identified </w:t>
      </w:r>
      <w:bookmarkStart w:id="69" w:name="co_pp_sp_233327_103_1"/>
      <w:bookmarkEnd w:id="69"/>
      <w:r>
        <w:rPr>
          <w:rFonts w:ascii="Times New Roman" w:hAnsi="Times New Roman"/>
          <w:b/>
          <w:bCs/>
          <w:color w:val="000000"/>
          <w:sz w:val="20"/>
          <w:szCs w:val="20"/>
        </w:rPr>
        <w:t>*103</w:t>
      </w:r>
      <w:r>
        <w:rPr>
          <w:rFonts w:ascii="Times New Roman" w:hAnsi="Times New Roman"/>
          <w:color w:val="000000"/>
          <w:sz w:val="20"/>
          <w:szCs w:val="20"/>
        </w:rPr>
        <w:t xml:space="preserve"> in-state cases in which the court had excluded defense experts; I then adopted the courts’ reasoning and argued that, because those defense experts were excluded, the court must also exclude the state’s CSAAS expert for the same reasons.</w:t>
      </w:r>
    </w:p>
    <w:p w14:paraId="489F4C8E"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248C12C"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70" w:name="co_g_ID0EGXAE_1"/>
      <w:bookmarkEnd w:id="70"/>
      <w:r>
        <w:rPr>
          <w:rFonts w:ascii="Times New Roman" w:hAnsi="Times New Roman"/>
          <w:color w:val="000000"/>
          <w:sz w:val="20"/>
          <w:szCs w:val="20"/>
        </w:rPr>
        <w:t xml:space="preserve">One Wisconsin case cited in the motion is </w:t>
      </w:r>
      <w:r>
        <w:rPr>
          <w:rFonts w:ascii="Times New Roman" w:hAnsi="Times New Roman"/>
          <w:i/>
          <w:iCs/>
          <w:color w:val="000000"/>
          <w:sz w:val="20"/>
          <w:szCs w:val="20"/>
        </w:rPr>
        <w:t>State v. Murphy</w:t>
      </w:r>
      <w:r>
        <w:rPr>
          <w:rFonts w:ascii="Times New Roman" w:hAnsi="Times New Roman"/>
          <w:color w:val="000000"/>
          <w:sz w:val="20"/>
          <w:szCs w:val="20"/>
        </w:rPr>
        <w:t>, in which the court excluded the defendant’s expert testimony in support of an accidental shooting defense.</w:t>
      </w:r>
      <w:bookmarkStart w:id="71" w:name="co_fnRef_F37507610219_ID0EXXAE_1"/>
      <w:bookmarkEnd w:id="71"/>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"#co_footnote_F37507610219_1"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37</w:t>
      </w:r>
      <w:r>
        <w:rPr>
          <w:rFonts w:ascii="Times New Roman" w:hAnsi="Times New Roman"/>
          <w:color w:val="000000"/>
          <w:sz w:val="16"/>
          <w:szCs w:val="16"/>
        </w:rPr>
        <w:fldChar w:fldCharType="end"/>
      </w:r>
      <w:r>
        <w:rPr>
          <w:rFonts w:ascii="Times New Roman" w:hAnsi="Times New Roman"/>
          <w:color w:val="000000"/>
          <w:sz w:val="20"/>
          <w:szCs w:val="20"/>
        </w:rPr>
        <w:t xml:space="preserve"> Despite a highly qualified defense witness offering commonality testimony based on his own experiences, the court excluded the witness and launched several hyper-technical, even disingenuous criticisms.</w:t>
      </w:r>
      <w:bookmarkStart w:id="72" w:name="co_fnRef_F38507610219_ID0E3XAE_1"/>
      <w:bookmarkEnd w:id="72"/>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"#co_footnote_F38507610219_1"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38</w:t>
      </w:r>
      <w:r>
        <w:rPr>
          <w:rFonts w:ascii="Times New Roman" w:hAnsi="Times New Roman"/>
          <w:color w:val="000000"/>
          <w:sz w:val="16"/>
          <w:szCs w:val="16"/>
        </w:rPr>
        <w:fldChar w:fldCharType="end"/>
      </w:r>
      <w:r>
        <w:rPr>
          <w:rFonts w:ascii="Times New Roman" w:hAnsi="Times New Roman"/>
          <w:color w:val="000000"/>
          <w:sz w:val="20"/>
          <w:szCs w:val="20"/>
        </w:rPr>
        <w:t xml:space="preserve"> This makes </w:t>
      </w:r>
      <w:r>
        <w:rPr>
          <w:rFonts w:ascii="Times New Roman" w:hAnsi="Times New Roman"/>
          <w:i/>
          <w:iCs/>
          <w:color w:val="000000"/>
          <w:sz w:val="20"/>
          <w:szCs w:val="20"/>
        </w:rPr>
        <w:t>Murphy</w:t>
      </w:r>
      <w:r>
        <w:rPr>
          <w:rFonts w:ascii="Times New Roman" w:hAnsi="Times New Roman"/>
          <w:color w:val="000000"/>
          <w:sz w:val="20"/>
          <w:szCs w:val="20"/>
        </w:rPr>
        <w:t xml:space="preserve"> an excellent case to cite when arguing that what was good for the goose (when excluding the defense expert) must also be good for the gander (when deciding on the admissibility of the state’s expert). </w:t>
      </w:r>
      <w:r>
        <w:rPr>
          <w:rFonts w:ascii="Times New Roman" w:hAnsi="Times New Roman"/>
          <w:i/>
          <w:iCs/>
          <w:color w:val="000000"/>
          <w:sz w:val="20"/>
          <w:szCs w:val="20"/>
        </w:rPr>
        <w:t>Murphy</w:t>
      </w:r>
      <w:r>
        <w:rPr>
          <w:rFonts w:ascii="Times New Roman" w:hAnsi="Times New Roman"/>
          <w:color w:val="000000"/>
          <w:sz w:val="20"/>
          <w:szCs w:val="20"/>
        </w:rPr>
        <w:t xml:space="preserve"> features prominently in paragraphs (and </w:t>
      </w:r>
      <w:r>
        <w:rPr>
          <w:rFonts w:ascii="Times New Roman" w:hAnsi="Times New Roman"/>
          <w:i/>
          <w:iCs/>
          <w:color w:val="000000"/>
          <w:sz w:val="20"/>
          <w:szCs w:val="20"/>
        </w:rPr>
        <w:t>Daubert</w:t>
      </w:r>
      <w:r>
        <w:rPr>
          <w:rFonts w:ascii="Times New Roman" w:hAnsi="Times New Roman"/>
          <w:color w:val="000000"/>
          <w:sz w:val="20"/>
          <w:szCs w:val="20"/>
        </w:rPr>
        <w:t xml:space="preserve"> elements) numbered three and four.</w:t>
      </w:r>
    </w:p>
    <w:p w14:paraId="5C2789CD"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3DE6EFC"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73" w:name="co_g_ID0EDZAE_1"/>
      <w:bookmarkEnd w:id="73"/>
      <w:r>
        <w:rPr>
          <w:rFonts w:ascii="Times New Roman" w:hAnsi="Times New Roman"/>
          <w:color w:val="000000"/>
          <w:sz w:val="20"/>
          <w:szCs w:val="20"/>
        </w:rPr>
        <w:t>[State or People or Commonwealth]</w:t>
      </w:r>
    </w:p>
    <w:p w14:paraId="3754C0DE"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977E049"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74" w:name="co_g_ID0EPZAE_1"/>
      <w:bookmarkEnd w:id="74"/>
      <w:r>
        <w:rPr>
          <w:rFonts w:ascii="Times New Roman" w:hAnsi="Times New Roman"/>
          <w:color w:val="000000"/>
          <w:sz w:val="20"/>
          <w:szCs w:val="20"/>
        </w:rPr>
        <w:t>v.</w:t>
      </w:r>
    </w:p>
    <w:p w14:paraId="16E42FFB"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B117365"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75" w:name="co_g_ID0E2ZAE_1"/>
      <w:bookmarkEnd w:id="75"/>
      <w:r>
        <w:rPr>
          <w:rFonts w:ascii="Times New Roman" w:hAnsi="Times New Roman"/>
          <w:color w:val="000000"/>
          <w:sz w:val="20"/>
          <w:szCs w:val="20"/>
        </w:rPr>
        <w:t>[Defendant’s name]</w:t>
      </w:r>
    </w:p>
    <w:p w14:paraId="7784C0E8"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AE96E9B"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76" w:name="co_g_ID0EI1AE_1"/>
      <w:bookmarkEnd w:id="76"/>
      <w:r>
        <w:rPr>
          <w:rFonts w:ascii="Times New Roman" w:hAnsi="Times New Roman"/>
          <w:color w:val="000000"/>
          <w:sz w:val="20"/>
          <w:szCs w:val="20"/>
        </w:rPr>
        <w:t>[Case No.]</w:t>
      </w:r>
    </w:p>
    <w:p w14:paraId="2845008F"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A333607" w14:textId="77777777" w:rsidR="004D1FA8" w:rsidRDefault="004D1FA8">
      <w:pPr>
        <w:widowControl w:val="0"/>
        <w:autoSpaceDE w:val="0"/>
        <w:autoSpaceDN w:val="0"/>
        <w:adjustRightInd w:val="0"/>
        <w:spacing w:before="200" w:after="200" w:line="240" w:lineRule="auto"/>
        <w:rPr>
          <w:rFonts w:ascii="Times New Roman" w:hAnsi="Times New Roman"/>
          <w:b/>
          <w:bCs/>
          <w:color w:val="000000"/>
          <w:sz w:val="20"/>
          <w:szCs w:val="20"/>
        </w:rPr>
      </w:pPr>
      <w:bookmarkStart w:id="77" w:name="co_g_ID0EV1AE_1"/>
      <w:bookmarkEnd w:id="77"/>
      <w:r>
        <w:rPr>
          <w:rFonts w:ascii="Times New Roman" w:hAnsi="Times New Roman"/>
          <w:b/>
          <w:bCs/>
          <w:color w:val="000000"/>
          <w:sz w:val="20"/>
          <w:szCs w:val="20"/>
        </w:rPr>
        <w:t>DEFENDANT’S MOTION TO EXCLUDE THE STATE’S EXPERT</w:t>
      </w:r>
    </w:p>
    <w:p w14:paraId="19ACA0B5"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78" w:name="co_g_ID0EA2AE_1"/>
      <w:bookmarkEnd w:id="78"/>
      <w:r>
        <w:rPr>
          <w:rFonts w:ascii="Times New Roman" w:hAnsi="Times New Roman"/>
          <w:color w:val="000000"/>
          <w:sz w:val="20"/>
          <w:szCs w:val="20"/>
        </w:rPr>
        <w:t xml:space="preserve">The Defendant, appearing specially by [his / her] attorney and reserving the right to challenge the Court’s jurisdiction, moves the Court, pursuant to the legal authorities set forth below, for: (A) an order excluding the state’s expert-witness testimony from trial; or, in the alternative, (B) a pretrial </w:t>
      </w:r>
      <w:r>
        <w:rPr>
          <w:rFonts w:ascii="Times New Roman" w:hAnsi="Times New Roman"/>
          <w:i/>
          <w:iCs/>
          <w:color w:val="000000"/>
          <w:sz w:val="20"/>
          <w:szCs w:val="20"/>
        </w:rPr>
        <w:t>Daubert</w:t>
      </w:r>
      <w:r>
        <w:rPr>
          <w:rFonts w:ascii="Times New Roman" w:hAnsi="Times New Roman"/>
          <w:color w:val="000000"/>
          <w:sz w:val="20"/>
          <w:szCs w:val="20"/>
        </w:rPr>
        <w:t xml:space="preserve"> hearing where the state must produce its expert witness for examination on all matters relevant to the admissibility of the testimony.</w:t>
      </w:r>
    </w:p>
    <w:p w14:paraId="0E9E0477"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F1E125C"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79" w:name="co_g_ID0EV2AE_1"/>
      <w:bookmarkEnd w:id="79"/>
      <w:r>
        <w:rPr>
          <w:rFonts w:ascii="Times New Roman" w:hAnsi="Times New Roman"/>
          <w:color w:val="000000"/>
          <w:sz w:val="20"/>
          <w:szCs w:val="20"/>
        </w:rPr>
        <w:t>As indicated in the state’s notice and summary of expert testimony filed with this Court, the state intends to introduce commonality testimony by its witness, a social worker, about what is allegedly common in child sexual abuse cases such as ours. This line of testimony is also known as Child Sexual Abuse Accommodation Syndrome (CSAAS), a specific category of commonality testimony.</w:t>
      </w:r>
    </w:p>
    <w:p w14:paraId="1FB3380E"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97A2264"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80" w:name="co_g_ID0EE3AE_1"/>
      <w:bookmarkEnd w:id="80"/>
      <w:r>
        <w:rPr>
          <w:rFonts w:ascii="Times New Roman" w:hAnsi="Times New Roman"/>
          <w:color w:val="000000"/>
          <w:sz w:val="20"/>
          <w:szCs w:val="20"/>
        </w:rPr>
        <w:t>CSAAS has been called “</w:t>
      </w:r>
      <w:r>
        <w:rPr>
          <w:rFonts w:ascii="Times New Roman" w:hAnsi="Times New Roman"/>
          <w:i/>
          <w:iCs/>
          <w:color w:val="000000"/>
          <w:sz w:val="20"/>
          <w:szCs w:val="20"/>
        </w:rPr>
        <w:t>an exemplar of junk science</w:t>
      </w:r>
      <w:r>
        <w:rPr>
          <w:rFonts w:ascii="Times New Roman" w:hAnsi="Times New Roman"/>
          <w:color w:val="000000"/>
          <w:sz w:val="20"/>
          <w:szCs w:val="20"/>
        </w:rPr>
        <w:t xml:space="preserve"> that should not be used in any way in any context (particularly in legal settings, where impactful decisions are being made).” </w:t>
      </w:r>
      <w:hyperlink r:id="rId8" w:history="1">
        <w:r>
          <w:rPr>
            <w:rFonts w:ascii="Times New Roman" w:hAnsi="Times New Roman"/>
            <w:i/>
            <w:iCs/>
            <w:color w:val="0000FF"/>
            <w:sz w:val="20"/>
            <w:szCs w:val="20"/>
          </w:rPr>
          <w:t>State v. J.L.G.</w:t>
        </w:r>
        <w:r>
          <w:rPr>
            <w:rFonts w:ascii="Times New Roman" w:hAnsi="Times New Roman"/>
            <w:color w:val="0000FF"/>
            <w:sz w:val="20"/>
            <w:szCs w:val="20"/>
          </w:rPr>
          <w:t>, 190 A.3d 442, 458 (N.J. 2018)</w:t>
        </w:r>
      </w:hyperlink>
      <w:r>
        <w:rPr>
          <w:rFonts w:ascii="Times New Roman" w:hAnsi="Times New Roman"/>
          <w:color w:val="000000"/>
          <w:sz w:val="20"/>
          <w:szCs w:val="20"/>
        </w:rPr>
        <w:t xml:space="preserve"> (emphasis added) (citing several published studies and then holding that CSAAS testimony is not admissible). The defense therefore moves to exclude </w:t>
      </w:r>
      <w:r>
        <w:rPr>
          <w:rFonts w:ascii="Times New Roman" w:hAnsi="Times New Roman"/>
          <w:color w:val="000000"/>
          <w:sz w:val="20"/>
          <w:szCs w:val="20"/>
        </w:rPr>
        <w:lastRenderedPageBreak/>
        <w:t>the state’s proffered testimony on the following, specific grounds which track the relevant statutory prongs.</w:t>
      </w:r>
    </w:p>
    <w:p w14:paraId="1D861DBD"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D2F931C"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81" w:name="co_g_ID0ED4AE_1"/>
      <w:bookmarkStart w:id="82" w:name="co_pp_sp_233327_104_1"/>
      <w:bookmarkEnd w:id="81"/>
      <w:bookmarkEnd w:id="82"/>
      <w:r>
        <w:rPr>
          <w:rFonts w:ascii="Times New Roman" w:hAnsi="Times New Roman"/>
          <w:b/>
          <w:bCs/>
          <w:color w:val="000000"/>
          <w:sz w:val="20"/>
          <w:szCs w:val="20"/>
        </w:rPr>
        <w:t>*104</w:t>
      </w:r>
      <w:r>
        <w:rPr>
          <w:rFonts w:ascii="Times New Roman" w:hAnsi="Times New Roman"/>
          <w:color w:val="000000"/>
          <w:sz w:val="20"/>
          <w:szCs w:val="20"/>
        </w:rPr>
        <w:t xml:space="preserve"> </w:t>
      </w:r>
      <w:r>
        <w:rPr>
          <w:rFonts w:ascii="Times New Roman" w:hAnsi="Times New Roman"/>
          <w:b/>
          <w:bCs/>
          <w:color w:val="000000"/>
          <w:sz w:val="20"/>
          <w:szCs w:val="20"/>
        </w:rPr>
        <w:t>1. The testimony does not constitute “scientific, technical, or other specialized knowledge” but, rather, is common knowledge.</w:t>
      </w:r>
      <w:r>
        <w:rPr>
          <w:rFonts w:ascii="Times New Roman" w:hAnsi="Times New Roman"/>
          <w:color w:val="000000"/>
          <w:sz w:val="20"/>
          <w:szCs w:val="20"/>
        </w:rPr>
        <w:t xml:space="preserve"> </w:t>
      </w:r>
      <w:hyperlink r:id="rId9" w:history="1">
        <w:r>
          <w:rPr>
            <w:rFonts w:ascii="Times New Roman" w:hAnsi="Times New Roman"/>
            <w:color w:val="0000FF"/>
            <w:sz w:val="20"/>
            <w:szCs w:val="20"/>
          </w:rPr>
          <w:t>Sec. 907.02, Wis. Stats</w:t>
        </w:r>
      </w:hyperlink>
      <w:r>
        <w:rPr>
          <w:rFonts w:ascii="Times New Roman" w:hAnsi="Times New Roman"/>
          <w:color w:val="000000"/>
          <w:sz w:val="20"/>
          <w:szCs w:val="20"/>
        </w:rPr>
        <w:t>.</w:t>
      </w:r>
    </w:p>
    <w:p w14:paraId="652B5C88"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 xml:space="preserve">a. That a child might not immediately disclose an incident or might exhibit “a wide range of behaviors” following an incident is </w:t>
      </w:r>
      <w:r>
        <w:rPr>
          <w:rFonts w:ascii="Times New Roman" w:hAnsi="Times New Roman"/>
          <w:i/>
          <w:iCs/>
          <w:color w:val="000000"/>
          <w:sz w:val="20"/>
          <w:szCs w:val="20"/>
        </w:rPr>
        <w:t>common knowledge</w:t>
      </w:r>
      <w:r>
        <w:rPr>
          <w:rFonts w:ascii="Times New Roman" w:hAnsi="Times New Roman"/>
          <w:color w:val="000000"/>
          <w:sz w:val="20"/>
          <w:szCs w:val="20"/>
        </w:rPr>
        <w:t xml:space="preserve">. With regard to delayed reporting, for example, a New Jersey court held that when the child testified that she delayed reporting the incident because she was embarrassed and fearful, “[n]o juror needed help from an expert to understand and evaluate [such] testimony” and, therefore, “expert testimony is not called for to assist the trier of fact.” </w:t>
      </w:r>
      <w:hyperlink r:id="rId10" w:history="1">
        <w:r>
          <w:rPr>
            <w:rFonts w:ascii="Times New Roman" w:hAnsi="Times New Roman"/>
            <w:i/>
            <w:iCs/>
            <w:color w:val="0000FF"/>
            <w:sz w:val="20"/>
            <w:szCs w:val="20"/>
          </w:rPr>
          <w:t>J.L.G.</w:t>
        </w:r>
        <w:r>
          <w:rPr>
            <w:rFonts w:ascii="Times New Roman" w:hAnsi="Times New Roman"/>
            <w:color w:val="0000FF"/>
            <w:sz w:val="20"/>
            <w:szCs w:val="20"/>
          </w:rPr>
          <w:t>, 190 A.3d at 466</w:t>
        </w:r>
      </w:hyperlink>
      <w:r>
        <w:rPr>
          <w:rFonts w:ascii="Times New Roman" w:hAnsi="Times New Roman"/>
          <w:color w:val="000000"/>
          <w:sz w:val="20"/>
          <w:szCs w:val="20"/>
        </w:rPr>
        <w:t xml:space="preserve">. More generally, a Missouri court eloquently explained that using an expert to recycle common knowledge “would be a superfluous attempt to put the gloss of expertise, like a bit of frosting, upon inferences which lay persons were equally capable of drawing from the evidence.” </w:t>
      </w:r>
      <w:hyperlink r:id="rId11" w:history="1">
        <w:r>
          <w:rPr>
            <w:rFonts w:ascii="Times New Roman" w:hAnsi="Times New Roman"/>
            <w:i/>
            <w:iCs/>
            <w:color w:val="0000FF"/>
            <w:sz w:val="20"/>
            <w:szCs w:val="20"/>
          </w:rPr>
          <w:t>State v. Davis</w:t>
        </w:r>
        <w:r>
          <w:rPr>
            <w:rFonts w:ascii="Times New Roman" w:hAnsi="Times New Roman"/>
            <w:color w:val="0000FF"/>
            <w:sz w:val="20"/>
            <w:szCs w:val="20"/>
          </w:rPr>
          <w:t>, 32 S.W.3d 603, 609 (Mo. Ct. App. 2000)</w:t>
        </w:r>
      </w:hyperlink>
      <w:r>
        <w:rPr>
          <w:rFonts w:ascii="Times New Roman" w:hAnsi="Times New Roman"/>
          <w:color w:val="000000"/>
          <w:sz w:val="20"/>
          <w:szCs w:val="20"/>
        </w:rPr>
        <w:t>.</w:t>
      </w:r>
    </w:p>
    <w:p w14:paraId="4B89B28F"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C93FA07"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 xml:space="preserve">b. That is, using an expert to bolster the state’s allegation would invade the province of the jury in deciding witness credibility. </w:t>
      </w:r>
      <w:hyperlink r:id="rId12" w:history="1">
        <w:r>
          <w:rPr>
            <w:rFonts w:ascii="Times New Roman" w:hAnsi="Times New Roman"/>
            <w:i/>
            <w:iCs/>
            <w:color w:val="0000FF"/>
            <w:sz w:val="20"/>
            <w:szCs w:val="20"/>
          </w:rPr>
          <w:t>State v. Haseltine</w:t>
        </w:r>
        <w:r>
          <w:rPr>
            <w:rFonts w:ascii="Times New Roman" w:hAnsi="Times New Roman"/>
            <w:color w:val="0000FF"/>
            <w:sz w:val="20"/>
            <w:szCs w:val="20"/>
          </w:rPr>
          <w:t>, 352 N.W.2d 673 (Wis. Ct. App. 1984)</w:t>
        </w:r>
      </w:hyperlink>
      <w:r>
        <w:rPr>
          <w:rFonts w:ascii="Times New Roman" w:hAnsi="Times New Roman"/>
          <w:color w:val="000000"/>
          <w:sz w:val="20"/>
          <w:szCs w:val="20"/>
        </w:rPr>
        <w:t xml:space="preserve"> (“[T]he [expert’s] opinion, with its aura of scientific reliability, creates too great a possibility that the jury abdicated its fact-finding role to the [expert] and did not independently decide [the defendant’s] guilt.”). Similarly, as a Tennessee court recognized, testimony about CSAAS “may lead a jury to abandon its responsibility as fact finder and adopt the judgment of the expert. Such evidence carries strong potential to prejudice a defendant’s cause by encouraging a jury to conclude that ... it is more likely that the defendant committed the crime .... Expert testimony of this type invades the province of the jury to decide on the creditability of witnesses.” </w:t>
      </w:r>
      <w:hyperlink r:id="rId13" w:history="1">
        <w:r>
          <w:rPr>
            <w:rFonts w:ascii="Times New Roman" w:hAnsi="Times New Roman"/>
            <w:i/>
            <w:iCs/>
            <w:color w:val="0000FF"/>
            <w:sz w:val="20"/>
            <w:szCs w:val="20"/>
          </w:rPr>
          <w:t>State v. Ballard</w:t>
        </w:r>
        <w:r>
          <w:rPr>
            <w:rFonts w:ascii="Times New Roman" w:hAnsi="Times New Roman"/>
            <w:color w:val="0000FF"/>
            <w:sz w:val="20"/>
            <w:szCs w:val="20"/>
          </w:rPr>
          <w:t>, 855 S.W.2d 557, 561-62 (Tenn. 1993)</w:t>
        </w:r>
      </w:hyperlink>
      <w:r>
        <w:rPr>
          <w:rFonts w:ascii="Times New Roman" w:hAnsi="Times New Roman"/>
          <w:color w:val="000000"/>
          <w:sz w:val="20"/>
          <w:szCs w:val="20"/>
        </w:rPr>
        <w:t xml:space="preserve">. That is why other states, such as Kentucky, “have reversed a number of cases because of trial error in permitting the use of testimony regarding the so-called ‘child abuse accommodation syndrome’ to bolster the prosecution’s case.” </w:t>
      </w:r>
      <w:hyperlink r:id="rId14" w:history="1">
        <w:r>
          <w:rPr>
            <w:rFonts w:ascii="Times New Roman" w:hAnsi="Times New Roman"/>
            <w:i/>
            <w:iCs/>
            <w:color w:val="0000FF"/>
            <w:sz w:val="20"/>
            <w:szCs w:val="20"/>
          </w:rPr>
          <w:t>King v. Commonwealth</w:t>
        </w:r>
        <w:r>
          <w:rPr>
            <w:rFonts w:ascii="Times New Roman" w:hAnsi="Times New Roman"/>
            <w:color w:val="0000FF"/>
            <w:sz w:val="20"/>
            <w:szCs w:val="20"/>
          </w:rPr>
          <w:t>, 472 S.W.3d 523, 528 (Ky. 2015)</w:t>
        </w:r>
      </w:hyperlink>
      <w:r>
        <w:rPr>
          <w:rFonts w:ascii="Times New Roman" w:hAnsi="Times New Roman"/>
          <w:color w:val="000000"/>
          <w:sz w:val="20"/>
          <w:szCs w:val="20"/>
        </w:rPr>
        <w:t>.</w:t>
      </w:r>
    </w:p>
    <w:p w14:paraId="53EBD5D4"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9770673"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63F3ADB"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2C18534"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83" w:name="co_g_ID0ECDAG_1"/>
      <w:bookmarkEnd w:id="83"/>
      <w:r>
        <w:rPr>
          <w:rFonts w:ascii="Times New Roman" w:hAnsi="Times New Roman"/>
          <w:b/>
          <w:bCs/>
          <w:color w:val="000000"/>
          <w:sz w:val="20"/>
          <w:szCs w:val="20"/>
        </w:rPr>
        <w:t>2. The testimony would not “assist the trier of fact.”</w:t>
      </w:r>
      <w:r>
        <w:rPr>
          <w:rFonts w:ascii="Times New Roman" w:hAnsi="Times New Roman"/>
          <w:color w:val="000000"/>
          <w:sz w:val="20"/>
          <w:szCs w:val="20"/>
        </w:rPr>
        <w:t xml:space="preserve"> </w:t>
      </w:r>
      <w:hyperlink r:id="rId15" w:history="1">
        <w:r>
          <w:rPr>
            <w:rFonts w:ascii="Times New Roman" w:hAnsi="Times New Roman"/>
            <w:color w:val="0000FF"/>
            <w:sz w:val="20"/>
            <w:szCs w:val="20"/>
          </w:rPr>
          <w:t>Sec. 907.02, Wis. Stats</w:t>
        </w:r>
      </w:hyperlink>
      <w:r>
        <w:rPr>
          <w:rFonts w:ascii="Times New Roman" w:hAnsi="Times New Roman"/>
          <w:color w:val="000000"/>
          <w:sz w:val="20"/>
          <w:szCs w:val="20"/>
        </w:rPr>
        <w:t>.</w:t>
      </w:r>
    </w:p>
    <w:p w14:paraId="151FE4B9"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 xml:space="preserve">a. In addition to the reasons set forth above, the witness’s exposition testimony would not assist the trier of fact for another reason: it does not “fit the facts of the case” and, therefore, “must be excluded.” </w:t>
      </w:r>
      <w:hyperlink r:id="rId16" w:history="1">
        <w:r>
          <w:rPr>
            <w:rFonts w:ascii="Times New Roman" w:hAnsi="Times New Roman"/>
            <w:i/>
            <w:iCs/>
            <w:color w:val="0000FF"/>
            <w:sz w:val="20"/>
            <w:szCs w:val="20"/>
          </w:rPr>
          <w:t>State v. Dobbs</w:t>
        </w:r>
        <w:r>
          <w:rPr>
            <w:rFonts w:ascii="Times New Roman" w:hAnsi="Times New Roman"/>
            <w:color w:val="0000FF"/>
            <w:sz w:val="20"/>
            <w:szCs w:val="20"/>
          </w:rPr>
          <w:t>, 945 N.W.2d 609, ¶ 32 (Wis. 2020)</w:t>
        </w:r>
      </w:hyperlink>
      <w:r>
        <w:rPr>
          <w:rFonts w:ascii="Times New Roman" w:hAnsi="Times New Roman"/>
          <w:color w:val="000000"/>
          <w:sz w:val="20"/>
          <w:szCs w:val="20"/>
        </w:rPr>
        <w:t xml:space="preserve"> (excluding the defense expert for lack of “fit”). In fact, the state fails to link </w:t>
      </w:r>
      <w:r>
        <w:rPr>
          <w:rFonts w:ascii="Times New Roman" w:hAnsi="Times New Roman"/>
          <w:i/>
          <w:iCs/>
          <w:color w:val="000000"/>
          <w:sz w:val="20"/>
          <w:szCs w:val="20"/>
        </w:rPr>
        <w:t>any</w:t>
      </w:r>
      <w:r>
        <w:rPr>
          <w:rFonts w:ascii="Times New Roman" w:hAnsi="Times New Roman"/>
          <w:color w:val="000000"/>
          <w:sz w:val="20"/>
          <w:szCs w:val="20"/>
        </w:rPr>
        <w:t xml:space="preserve"> of the subjects in its summary of testimony to the facts of our case. Because the testimony is not “sufficiently tied to the facts of the case” it would not “aid the jury in resolving a factual dispute.” </w:t>
      </w:r>
      <w:r>
        <w:rPr>
          <w:rFonts w:ascii="Times New Roman" w:hAnsi="Times New Roman"/>
          <w:i/>
          <w:iCs/>
          <w:color w:val="000000"/>
          <w:sz w:val="20"/>
          <w:szCs w:val="20"/>
        </w:rPr>
        <w:t>Id.</w:t>
      </w:r>
      <w:r>
        <w:rPr>
          <w:rFonts w:ascii="Times New Roman" w:hAnsi="Times New Roman"/>
          <w:color w:val="000000"/>
          <w:sz w:val="20"/>
          <w:szCs w:val="20"/>
        </w:rPr>
        <w:t xml:space="preserve"> at ¶ 44. Rather, the </w:t>
      </w:r>
      <w:bookmarkStart w:id="84" w:name="co_pp_sp_233327_105_1"/>
      <w:bookmarkEnd w:id="84"/>
      <w:r>
        <w:rPr>
          <w:rFonts w:ascii="Times New Roman" w:hAnsi="Times New Roman"/>
          <w:b/>
          <w:bCs/>
          <w:color w:val="000000"/>
          <w:sz w:val="20"/>
          <w:szCs w:val="20"/>
        </w:rPr>
        <w:t>*105</w:t>
      </w:r>
      <w:r>
        <w:rPr>
          <w:rFonts w:ascii="Times New Roman" w:hAnsi="Times New Roman"/>
          <w:color w:val="000000"/>
          <w:sz w:val="20"/>
          <w:szCs w:val="20"/>
        </w:rPr>
        <w:t xml:space="preserve"> “testimony would mislead or confuse the jury” and must be excluded. </w:t>
      </w:r>
      <w:hyperlink r:id="rId17" w:history="1">
        <w:r>
          <w:rPr>
            <w:rFonts w:ascii="Times New Roman" w:hAnsi="Times New Roman"/>
            <w:i/>
            <w:iCs/>
            <w:color w:val="0000FF"/>
            <w:sz w:val="20"/>
            <w:szCs w:val="20"/>
          </w:rPr>
          <w:t>State v. Schmidt</w:t>
        </w:r>
        <w:r>
          <w:rPr>
            <w:rFonts w:ascii="Times New Roman" w:hAnsi="Times New Roman"/>
            <w:color w:val="0000FF"/>
            <w:sz w:val="20"/>
            <w:szCs w:val="20"/>
          </w:rPr>
          <w:t>, 884 N.W.2d 510, 532 (Wis. Ct. App. 2016)</w:t>
        </w:r>
      </w:hyperlink>
      <w:r>
        <w:rPr>
          <w:rFonts w:ascii="Times New Roman" w:hAnsi="Times New Roman"/>
          <w:color w:val="000000"/>
          <w:sz w:val="20"/>
          <w:szCs w:val="20"/>
        </w:rPr>
        <w:t>.</w:t>
      </w:r>
    </w:p>
    <w:p w14:paraId="039655F7"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96CA685"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 xml:space="preserve">b. This issue of “fit” is an important matter to be decided </w:t>
      </w:r>
      <w:r>
        <w:rPr>
          <w:rFonts w:ascii="Times New Roman" w:hAnsi="Times New Roman"/>
          <w:i/>
          <w:iCs/>
          <w:color w:val="000000"/>
          <w:sz w:val="20"/>
          <w:szCs w:val="20"/>
        </w:rPr>
        <w:t>before</w:t>
      </w:r>
      <w:r>
        <w:rPr>
          <w:rFonts w:ascii="Times New Roman" w:hAnsi="Times New Roman"/>
          <w:color w:val="000000"/>
          <w:sz w:val="20"/>
          <w:szCs w:val="20"/>
        </w:rPr>
        <w:t xml:space="preserve"> trial, as the dangers of allowing the testimony, subject to an in-trial objection, are great. In </w:t>
      </w:r>
      <w:r>
        <w:rPr>
          <w:rFonts w:ascii="Times New Roman" w:hAnsi="Times New Roman"/>
          <w:i/>
          <w:iCs/>
          <w:color w:val="000000"/>
          <w:sz w:val="20"/>
          <w:szCs w:val="20"/>
        </w:rPr>
        <w:t>Schmidt</w:t>
      </w:r>
      <w:r>
        <w:rPr>
          <w:rFonts w:ascii="Times New Roman" w:hAnsi="Times New Roman"/>
          <w:color w:val="000000"/>
          <w:sz w:val="20"/>
          <w:szCs w:val="20"/>
        </w:rPr>
        <w:t xml:space="preserve">, for example, the defense expert on suggestive interview techniques was excluded </w:t>
      </w:r>
      <w:r>
        <w:rPr>
          <w:rFonts w:ascii="Times New Roman" w:hAnsi="Times New Roman"/>
          <w:i/>
          <w:iCs/>
          <w:color w:val="000000"/>
          <w:sz w:val="20"/>
          <w:szCs w:val="20"/>
        </w:rPr>
        <w:t>before</w:t>
      </w:r>
      <w:r>
        <w:rPr>
          <w:rFonts w:ascii="Times New Roman" w:hAnsi="Times New Roman"/>
          <w:color w:val="000000"/>
          <w:sz w:val="20"/>
          <w:szCs w:val="20"/>
        </w:rPr>
        <w:t xml:space="preserve"> trial because, if allowed to testify, “it is entirely probable that the jury would conclude, </w:t>
      </w:r>
      <w:r>
        <w:rPr>
          <w:rFonts w:ascii="Times New Roman" w:hAnsi="Times New Roman"/>
          <w:i/>
          <w:iCs/>
          <w:color w:val="000000"/>
          <w:sz w:val="20"/>
          <w:szCs w:val="20"/>
        </w:rPr>
        <w:t>based solely on the fact that he was testifying</w:t>
      </w:r>
      <w:r>
        <w:rPr>
          <w:rFonts w:ascii="Times New Roman" w:hAnsi="Times New Roman"/>
          <w:color w:val="000000"/>
          <w:sz w:val="20"/>
          <w:szCs w:val="20"/>
        </w:rPr>
        <w:t xml:space="preserve">, that suggestive interview techniques had been used ... despite the absence of any evidence to that effect.” </w:t>
      </w:r>
      <w:r>
        <w:rPr>
          <w:rFonts w:ascii="Times New Roman" w:hAnsi="Times New Roman"/>
          <w:i/>
          <w:iCs/>
          <w:color w:val="000000"/>
          <w:sz w:val="20"/>
          <w:szCs w:val="20"/>
        </w:rPr>
        <w:t>Id.</w:t>
      </w:r>
      <w:r>
        <w:rPr>
          <w:rFonts w:ascii="Times New Roman" w:hAnsi="Times New Roman"/>
          <w:color w:val="000000"/>
          <w:sz w:val="20"/>
          <w:szCs w:val="20"/>
        </w:rPr>
        <w:t xml:space="preserve"> (emphasis added). For the same reasons, the state’s witness in our case must be excluded.</w:t>
      </w:r>
    </w:p>
    <w:p w14:paraId="183D023A"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78B309A"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1D4735D"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E5A9485"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85" w:name="co_g_ID0EOIAG_1"/>
      <w:bookmarkEnd w:id="85"/>
      <w:r>
        <w:rPr>
          <w:rFonts w:ascii="Times New Roman" w:hAnsi="Times New Roman"/>
          <w:b/>
          <w:bCs/>
          <w:color w:val="000000"/>
          <w:sz w:val="20"/>
          <w:szCs w:val="20"/>
        </w:rPr>
        <w:t>3. The witness is not “qualified as an expert.”</w:t>
      </w:r>
      <w:r>
        <w:rPr>
          <w:rFonts w:ascii="Times New Roman" w:hAnsi="Times New Roman"/>
          <w:color w:val="000000"/>
          <w:sz w:val="20"/>
          <w:szCs w:val="20"/>
        </w:rPr>
        <w:t xml:space="preserve"> </w:t>
      </w:r>
      <w:hyperlink r:id="rId18" w:history="1">
        <w:r>
          <w:rPr>
            <w:rFonts w:ascii="Times New Roman" w:hAnsi="Times New Roman"/>
            <w:color w:val="0000FF"/>
            <w:sz w:val="20"/>
            <w:szCs w:val="20"/>
          </w:rPr>
          <w:t>Sec. 907.02, Wis. Stats</w:t>
        </w:r>
      </w:hyperlink>
      <w:r>
        <w:rPr>
          <w:rFonts w:ascii="Times New Roman" w:hAnsi="Times New Roman"/>
          <w:color w:val="000000"/>
          <w:sz w:val="20"/>
          <w:szCs w:val="20"/>
        </w:rPr>
        <w:t>.</w:t>
      </w:r>
    </w:p>
    <w:p w14:paraId="34009513"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 xml:space="preserve">a. The state’s witness is a social worker and child advocate, not a research or even a clinical psychologist. The </w:t>
      </w:r>
      <w:r>
        <w:rPr>
          <w:rFonts w:ascii="Times New Roman" w:hAnsi="Times New Roman"/>
          <w:color w:val="000000"/>
          <w:sz w:val="20"/>
          <w:szCs w:val="20"/>
        </w:rPr>
        <w:lastRenderedPageBreak/>
        <w:t xml:space="preserve">state’s witness would be testifying </w:t>
      </w:r>
      <w:r>
        <w:rPr>
          <w:rFonts w:ascii="Times New Roman" w:hAnsi="Times New Roman"/>
          <w:i/>
          <w:iCs/>
          <w:color w:val="000000"/>
          <w:sz w:val="20"/>
          <w:szCs w:val="20"/>
        </w:rPr>
        <w:t>not</w:t>
      </w:r>
      <w:r>
        <w:rPr>
          <w:rFonts w:ascii="Times New Roman" w:hAnsi="Times New Roman"/>
          <w:color w:val="000000"/>
          <w:sz w:val="20"/>
          <w:szCs w:val="20"/>
        </w:rPr>
        <w:t xml:space="preserve"> based on any published research, but rather solely on her own personal experiences about what (in hindsight and subject to confirmation bias) she believes is “common.”</w:t>
      </w:r>
    </w:p>
    <w:p w14:paraId="1563BCD1"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E4F5945" w14:textId="77777777" w:rsidR="004D1FA8" w:rsidRDefault="004D1FA8">
      <w:pPr>
        <w:widowControl w:val="0"/>
        <w:autoSpaceDE w:val="0"/>
        <w:autoSpaceDN w:val="0"/>
        <w:adjustRightInd w:val="0"/>
        <w:spacing w:before="200" w:after="0" w:line="240" w:lineRule="auto"/>
        <w:ind w:left="700" w:right="400"/>
        <w:jc w:val="both"/>
        <w:rPr>
          <w:rFonts w:ascii="Times New Roman" w:hAnsi="Times New Roman"/>
          <w:color w:val="000000"/>
          <w:sz w:val="16"/>
          <w:szCs w:val="16"/>
        </w:rPr>
      </w:pPr>
      <w:r>
        <w:rPr>
          <w:rFonts w:ascii="Times New Roman" w:hAnsi="Times New Roman"/>
          <w:color w:val="000000"/>
          <w:sz w:val="20"/>
          <w:szCs w:val="20"/>
        </w:rPr>
        <w:t xml:space="preserve">b. Courts have excluded such commonality testimony when proffered by defense experts who rely on their personal experiences. For example, when the defense attempted to call a certified firearms safety instructor (with twenty years of experience and two relevant college degrees) to testify, based on his own experiences, about the commonalities of accidental gun discharges, the court excluded the testimony. </w:t>
      </w:r>
      <w:r>
        <w:rPr>
          <w:rFonts w:ascii="Times New Roman" w:hAnsi="Times New Roman"/>
          <w:i/>
          <w:iCs/>
          <w:color w:val="000000"/>
          <w:sz w:val="20"/>
          <w:szCs w:val="20"/>
        </w:rPr>
        <w:t>State v. Murphy</w:t>
      </w:r>
      <w:r>
        <w:rPr>
          <w:rFonts w:ascii="Times New Roman" w:hAnsi="Times New Roman"/>
          <w:color w:val="000000"/>
          <w:sz w:val="20"/>
          <w:szCs w:val="20"/>
        </w:rPr>
        <w:t>, No. 2017AP1559-CR, unpublished slip op., ¶ 37 (Wis. Ct. App. Aug. 16, 2018) (citing “pertinent defects in [the witness’s] qualifications” to draw such conclusions from his twenty years of personal experience).</w:t>
      </w:r>
      <w:bookmarkStart w:id="86" w:name="co_fnRef_F39507610219_ID0EPKAG_1"/>
      <w:bookmarkEnd w:id="86"/>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"#co_footnote_F39507610219_1"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39</w:t>
      </w:r>
      <w:r>
        <w:rPr>
          <w:rFonts w:ascii="Times New Roman" w:hAnsi="Times New Roman"/>
          <w:color w:val="000000"/>
          <w:sz w:val="16"/>
          <w:szCs w:val="16"/>
        </w:rPr>
        <w:fldChar w:fldCharType="end"/>
      </w:r>
    </w:p>
    <w:p w14:paraId="35208083"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AEEF044"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B842FE6"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92E8A89"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87" w:name="co_g_ID0EWKAG_1"/>
      <w:bookmarkEnd w:id="87"/>
      <w:r>
        <w:rPr>
          <w:rFonts w:ascii="Times New Roman" w:hAnsi="Times New Roman"/>
          <w:b/>
          <w:bCs/>
          <w:color w:val="000000"/>
          <w:sz w:val="20"/>
          <w:szCs w:val="20"/>
        </w:rPr>
        <w:t>4. The testimony is not “based upon sufficient facts or data.”</w:t>
      </w:r>
      <w:r>
        <w:rPr>
          <w:rFonts w:ascii="Times New Roman" w:hAnsi="Times New Roman"/>
          <w:color w:val="000000"/>
          <w:sz w:val="20"/>
          <w:szCs w:val="20"/>
        </w:rPr>
        <w:t xml:space="preserve"> </w:t>
      </w:r>
      <w:hyperlink r:id="rId19" w:history="1">
        <w:r>
          <w:rPr>
            <w:rFonts w:ascii="Times New Roman" w:hAnsi="Times New Roman"/>
            <w:color w:val="0000FF"/>
            <w:sz w:val="20"/>
            <w:szCs w:val="20"/>
          </w:rPr>
          <w:t>Sec. 907.02, Wis. Stats</w:t>
        </w:r>
      </w:hyperlink>
      <w:r>
        <w:rPr>
          <w:rFonts w:ascii="Times New Roman" w:hAnsi="Times New Roman"/>
          <w:color w:val="000000"/>
          <w:sz w:val="20"/>
          <w:szCs w:val="20"/>
        </w:rPr>
        <w:t>.</w:t>
      </w:r>
    </w:p>
    <w:p w14:paraId="2985668A"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 xml:space="preserve">a. As explained above, the state’s witness’s proposed testimony about what she believes to be “common” is based on the witness’s personal experiences. Without knowing the sample size of her cases or the population size of reported and (more importantly) </w:t>
      </w:r>
      <w:r>
        <w:rPr>
          <w:rFonts w:ascii="Times New Roman" w:hAnsi="Times New Roman"/>
          <w:i/>
          <w:iCs/>
          <w:color w:val="000000"/>
          <w:sz w:val="20"/>
          <w:szCs w:val="20"/>
        </w:rPr>
        <w:t>substantiated</w:t>
      </w:r>
      <w:r>
        <w:rPr>
          <w:rFonts w:ascii="Times New Roman" w:hAnsi="Times New Roman"/>
          <w:color w:val="000000"/>
          <w:sz w:val="20"/>
          <w:szCs w:val="20"/>
        </w:rPr>
        <w:t xml:space="preserve"> child sexual assault allegations, the Court cannot conclude that her experiences are sufficient to justify her conclusions. By comparison, when </w:t>
      </w:r>
      <w:bookmarkStart w:id="88" w:name="co_pp_sp_233327_106_1"/>
      <w:bookmarkEnd w:id="88"/>
      <w:r>
        <w:rPr>
          <w:rFonts w:ascii="Times New Roman" w:hAnsi="Times New Roman"/>
          <w:b/>
          <w:bCs/>
          <w:color w:val="000000"/>
          <w:sz w:val="20"/>
          <w:szCs w:val="20"/>
        </w:rPr>
        <w:t>*106</w:t>
      </w:r>
      <w:r>
        <w:rPr>
          <w:rFonts w:ascii="Times New Roman" w:hAnsi="Times New Roman"/>
          <w:color w:val="000000"/>
          <w:sz w:val="20"/>
          <w:szCs w:val="20"/>
        </w:rPr>
        <w:t xml:space="preserve"> the defense firearms expert in </w:t>
      </w:r>
      <w:r>
        <w:rPr>
          <w:rFonts w:ascii="Times New Roman" w:hAnsi="Times New Roman"/>
          <w:i/>
          <w:iCs/>
          <w:color w:val="000000"/>
          <w:sz w:val="20"/>
          <w:szCs w:val="20"/>
        </w:rPr>
        <w:t>Murphy</w:t>
      </w:r>
      <w:r>
        <w:rPr>
          <w:rFonts w:ascii="Times New Roman" w:hAnsi="Times New Roman"/>
          <w:color w:val="000000"/>
          <w:sz w:val="20"/>
          <w:szCs w:val="20"/>
        </w:rPr>
        <w:t xml:space="preserve"> intended to testify about commonalities in accidental gun discharges, the court excluded the witness because there was no proffer as to “the sample size” of his accidental discharge cases or the size of the relevant population of such cases. </w:t>
      </w:r>
      <w:r>
        <w:rPr>
          <w:rFonts w:ascii="Times New Roman" w:hAnsi="Times New Roman"/>
          <w:i/>
          <w:iCs/>
          <w:color w:val="000000"/>
          <w:sz w:val="20"/>
          <w:szCs w:val="20"/>
        </w:rPr>
        <w:t>Murphy</w:t>
      </w:r>
      <w:r>
        <w:rPr>
          <w:rFonts w:ascii="Times New Roman" w:hAnsi="Times New Roman"/>
          <w:color w:val="000000"/>
          <w:sz w:val="20"/>
          <w:szCs w:val="20"/>
        </w:rPr>
        <w:t>, No. 2017AP1559, unpublished slip op. at ¶ 37. This same standard must be applied to the state’s expert as well.</w:t>
      </w:r>
    </w:p>
    <w:p w14:paraId="7DBB7B85"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C7E90C9"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 xml:space="preserve">b. More significantly, the state’s witness in our case has no control group. The things she claims are “common” among sexual abuse victims “can also be found in non-abused children.” </w:t>
      </w:r>
      <w:hyperlink r:id="rId20" w:history="1">
        <w:r>
          <w:rPr>
            <w:rFonts w:ascii="Times New Roman" w:hAnsi="Times New Roman"/>
            <w:i/>
            <w:iCs/>
            <w:color w:val="0000FF"/>
            <w:sz w:val="20"/>
            <w:szCs w:val="20"/>
          </w:rPr>
          <w:t>J.L.G.</w:t>
        </w:r>
        <w:r>
          <w:rPr>
            <w:rFonts w:ascii="Times New Roman" w:hAnsi="Times New Roman"/>
            <w:color w:val="0000FF"/>
            <w:sz w:val="20"/>
            <w:szCs w:val="20"/>
          </w:rPr>
          <w:t>, 190 A.3d at 457</w:t>
        </w:r>
      </w:hyperlink>
      <w:r>
        <w:rPr>
          <w:rFonts w:ascii="Times New Roman" w:hAnsi="Times New Roman"/>
          <w:color w:val="000000"/>
          <w:sz w:val="20"/>
          <w:szCs w:val="20"/>
        </w:rPr>
        <w:t xml:space="preserve">. That is, children who are </w:t>
      </w:r>
      <w:r>
        <w:rPr>
          <w:rFonts w:ascii="Times New Roman" w:hAnsi="Times New Roman"/>
          <w:i/>
          <w:iCs/>
          <w:color w:val="000000"/>
          <w:sz w:val="20"/>
          <w:szCs w:val="20"/>
        </w:rPr>
        <w:t>not</w:t>
      </w:r>
      <w:r>
        <w:rPr>
          <w:rFonts w:ascii="Times New Roman" w:hAnsi="Times New Roman"/>
          <w:color w:val="000000"/>
          <w:sz w:val="20"/>
          <w:szCs w:val="20"/>
        </w:rPr>
        <w:t xml:space="preserve"> abused sexually “often, perhaps, become withdrawn, their mood changes, they struggle academically, may act out” for a variety of reasons or for no reason at all. In fact, “some CSAAS symptoms ... may be </w:t>
      </w:r>
      <w:r>
        <w:rPr>
          <w:rFonts w:ascii="Times New Roman" w:hAnsi="Times New Roman"/>
          <w:i/>
          <w:iCs/>
          <w:color w:val="000000"/>
          <w:sz w:val="20"/>
          <w:szCs w:val="20"/>
        </w:rPr>
        <w:t>more common</w:t>
      </w:r>
      <w:r>
        <w:rPr>
          <w:rFonts w:ascii="Times New Roman" w:hAnsi="Times New Roman"/>
          <w:color w:val="000000"/>
          <w:sz w:val="20"/>
          <w:szCs w:val="20"/>
        </w:rPr>
        <w:t xml:space="preserve"> in non-abused children than in abused children.” </w:t>
      </w:r>
      <w:hyperlink r:id="rId21" w:history="1">
        <w:r>
          <w:rPr>
            <w:rFonts w:ascii="Times New Roman" w:hAnsi="Times New Roman"/>
            <w:i/>
            <w:iCs/>
            <w:color w:val="0000FF"/>
            <w:sz w:val="20"/>
            <w:szCs w:val="20"/>
          </w:rPr>
          <w:t>Id.</w:t>
        </w:r>
        <w:r>
          <w:rPr>
            <w:rFonts w:ascii="Times New Roman" w:hAnsi="Times New Roman"/>
            <w:color w:val="0000FF"/>
            <w:sz w:val="20"/>
            <w:szCs w:val="20"/>
          </w:rPr>
          <w:t xml:space="preserve"> at 457-58</w:t>
        </w:r>
      </w:hyperlink>
      <w:r>
        <w:rPr>
          <w:rFonts w:ascii="Times New Roman" w:hAnsi="Times New Roman"/>
          <w:color w:val="000000"/>
          <w:sz w:val="20"/>
          <w:szCs w:val="20"/>
        </w:rPr>
        <w:t xml:space="preserve"> (emphasis added). Consequently, the witness’s opinion, even more so than the defense witness’s opinion in </w:t>
      </w:r>
      <w:r>
        <w:rPr>
          <w:rFonts w:ascii="Times New Roman" w:hAnsi="Times New Roman"/>
          <w:i/>
          <w:iCs/>
          <w:color w:val="000000"/>
          <w:sz w:val="20"/>
          <w:szCs w:val="20"/>
        </w:rPr>
        <w:t>Murphy</w:t>
      </w:r>
      <w:r>
        <w:rPr>
          <w:rFonts w:ascii="Times New Roman" w:hAnsi="Times New Roman"/>
          <w:color w:val="000000"/>
          <w:sz w:val="20"/>
          <w:szCs w:val="20"/>
        </w:rPr>
        <w:t xml:space="preserve">, “is conjecture because of insufficient facts or data” and, therefore, must be excluded. </w:t>
      </w:r>
      <w:r>
        <w:rPr>
          <w:rFonts w:ascii="Times New Roman" w:hAnsi="Times New Roman"/>
          <w:i/>
          <w:iCs/>
          <w:color w:val="000000"/>
          <w:sz w:val="20"/>
          <w:szCs w:val="20"/>
        </w:rPr>
        <w:t>Murphy</w:t>
      </w:r>
      <w:r>
        <w:rPr>
          <w:rFonts w:ascii="Times New Roman" w:hAnsi="Times New Roman"/>
          <w:color w:val="000000"/>
          <w:sz w:val="20"/>
          <w:szCs w:val="20"/>
        </w:rPr>
        <w:t>, No. 2017AP1559, unpublished slip op. at ¶ 37 (excluding the defendant’s testimony because it lacked a control group for comparative purposes).</w:t>
      </w:r>
    </w:p>
    <w:p w14:paraId="3E851F0D"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404F9C3"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DEE5E9F"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CB0B6C0"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89" w:name="co_g_ID0EPQAG_1"/>
      <w:bookmarkEnd w:id="89"/>
      <w:r>
        <w:rPr>
          <w:rFonts w:ascii="Times New Roman" w:hAnsi="Times New Roman"/>
          <w:b/>
          <w:bCs/>
          <w:color w:val="000000"/>
          <w:sz w:val="20"/>
          <w:szCs w:val="20"/>
        </w:rPr>
        <w:t>5. The testimony is not “the product of reliable principles or methods.”</w:t>
      </w:r>
      <w:r>
        <w:rPr>
          <w:rFonts w:ascii="Times New Roman" w:hAnsi="Times New Roman"/>
          <w:color w:val="000000"/>
          <w:sz w:val="20"/>
          <w:szCs w:val="20"/>
        </w:rPr>
        <w:t xml:space="preserve"> </w:t>
      </w:r>
      <w:hyperlink r:id="rId22" w:history="1">
        <w:r>
          <w:rPr>
            <w:rFonts w:ascii="Times New Roman" w:hAnsi="Times New Roman"/>
            <w:color w:val="0000FF"/>
            <w:sz w:val="20"/>
            <w:szCs w:val="20"/>
          </w:rPr>
          <w:t>Sec. 907.02, Wis. Stats</w:t>
        </w:r>
      </w:hyperlink>
      <w:r>
        <w:rPr>
          <w:rFonts w:ascii="Times New Roman" w:hAnsi="Times New Roman"/>
          <w:color w:val="000000"/>
          <w:sz w:val="20"/>
          <w:szCs w:val="20"/>
        </w:rPr>
        <w:t>.</w:t>
      </w:r>
    </w:p>
    <w:p w14:paraId="025FDE69"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 xml:space="preserve">a. Because the state’s witness is not a research scientist, she has no identifiable principles or methods to ensure that her testimony about what is “common” is untainted by confirmation bias or selective memory. How, for example, does she define “act[ing] out” and does she consistently identify and record this behavior in her cases? How long does it take for a disclosure to be considered “delayed,” and how accurately does she record the timing of the disclosures in her cases? The state has not provided this information, and the Court therefore cannot conclude that the witness’s testimony is “the product of reliable principles or methods.” Quite to the contrary, the published research actually shows there are “no behaviors or symptoms that reliably distinguish an abused child from a nonabused one.” </w:t>
      </w:r>
      <w:hyperlink r:id="rId23" w:history="1">
        <w:r>
          <w:rPr>
            <w:rFonts w:ascii="Times New Roman" w:hAnsi="Times New Roman"/>
            <w:i/>
            <w:iCs/>
            <w:color w:val="0000FF"/>
            <w:sz w:val="20"/>
            <w:szCs w:val="20"/>
          </w:rPr>
          <w:t>J.L.G.</w:t>
        </w:r>
        <w:r>
          <w:rPr>
            <w:rFonts w:ascii="Times New Roman" w:hAnsi="Times New Roman"/>
            <w:color w:val="0000FF"/>
            <w:sz w:val="20"/>
            <w:szCs w:val="20"/>
          </w:rPr>
          <w:t>, 190 A.3d at 458</w:t>
        </w:r>
      </w:hyperlink>
      <w:r>
        <w:rPr>
          <w:rFonts w:ascii="Times New Roman" w:hAnsi="Times New Roman"/>
          <w:color w:val="000000"/>
          <w:sz w:val="20"/>
          <w:szCs w:val="20"/>
        </w:rPr>
        <w:t xml:space="preserve"> (citing published studies).</w:t>
      </w:r>
    </w:p>
    <w:p w14:paraId="32E422E2"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51B0F8B"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i/>
          <w:iCs/>
          <w:color w:val="000000"/>
          <w:sz w:val="20"/>
          <w:szCs w:val="20"/>
        </w:rPr>
      </w:pPr>
      <w:r>
        <w:rPr>
          <w:rFonts w:ascii="Times New Roman" w:hAnsi="Times New Roman"/>
          <w:color w:val="000000"/>
          <w:sz w:val="20"/>
          <w:szCs w:val="20"/>
        </w:rPr>
        <w:t xml:space="preserve">b. In our case, the state’s witness’s testimony is based on after-the-fact recollections of an “advocate for victims of child sexual abuse, and not a body of empirical data.” </w:t>
      </w:r>
      <w:r>
        <w:rPr>
          <w:rFonts w:ascii="Times New Roman" w:hAnsi="Times New Roman"/>
          <w:i/>
          <w:iCs/>
          <w:color w:val="000000"/>
          <w:sz w:val="20"/>
          <w:szCs w:val="20"/>
        </w:rPr>
        <w:t>Id.</w:t>
      </w:r>
      <w:r>
        <w:rPr>
          <w:rFonts w:ascii="Times New Roman" w:hAnsi="Times New Roman"/>
          <w:color w:val="000000"/>
          <w:sz w:val="20"/>
          <w:szCs w:val="20"/>
        </w:rPr>
        <w:t xml:space="preserve"> Such advocacy work does not even qualify as “[c]linical wisdom”; nonetheless, clinical experiences, even when they are contemporaneously documented by </w:t>
      </w:r>
      <w:r>
        <w:rPr>
          <w:rFonts w:ascii="Times New Roman" w:hAnsi="Times New Roman"/>
          <w:color w:val="000000"/>
          <w:sz w:val="20"/>
          <w:szCs w:val="20"/>
        </w:rPr>
        <w:lastRenderedPageBreak/>
        <w:t xml:space="preserve">a psychiatrist or clinical psychologist, “must be examined with care and objectively tested” before they may be presented to a jury to win a conviction. </w:t>
      </w:r>
      <w:r>
        <w:rPr>
          <w:rFonts w:ascii="Times New Roman" w:hAnsi="Times New Roman"/>
          <w:i/>
          <w:iCs/>
          <w:color w:val="000000"/>
          <w:sz w:val="20"/>
          <w:szCs w:val="20"/>
        </w:rPr>
        <w:t>Id.</w:t>
      </w:r>
      <w:r>
        <w:rPr>
          <w:rFonts w:ascii="Times New Roman" w:hAnsi="Times New Roman"/>
          <w:color w:val="000000"/>
          <w:sz w:val="20"/>
          <w:szCs w:val="20"/>
        </w:rPr>
        <w:t xml:space="preserve"> In our case, the state’s proffered testimony has been objectively tested, and it has failed. </w:t>
      </w:r>
      <w:r>
        <w:rPr>
          <w:rFonts w:ascii="Times New Roman" w:hAnsi="Times New Roman"/>
          <w:i/>
          <w:iCs/>
          <w:color w:val="000000"/>
          <w:sz w:val="20"/>
          <w:szCs w:val="20"/>
        </w:rPr>
        <w:t>Id.</w:t>
      </w:r>
    </w:p>
    <w:p w14:paraId="2A30375E"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6C8CBF8"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045B320"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CF597C8"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90" w:name="co_g_ID0EBVAG_1"/>
      <w:bookmarkStart w:id="91" w:name="co_pp_sp_233327_107_1"/>
      <w:bookmarkEnd w:id="90"/>
      <w:bookmarkEnd w:id="91"/>
      <w:r>
        <w:rPr>
          <w:rFonts w:ascii="Times New Roman" w:hAnsi="Times New Roman"/>
          <w:b/>
          <w:bCs/>
          <w:color w:val="000000"/>
          <w:sz w:val="20"/>
          <w:szCs w:val="20"/>
        </w:rPr>
        <w:t>*107</w:t>
      </w:r>
      <w:r>
        <w:rPr>
          <w:rFonts w:ascii="Times New Roman" w:hAnsi="Times New Roman"/>
          <w:color w:val="000000"/>
          <w:sz w:val="20"/>
          <w:szCs w:val="20"/>
        </w:rPr>
        <w:t xml:space="preserve"> </w:t>
      </w:r>
      <w:r>
        <w:rPr>
          <w:rFonts w:ascii="Times New Roman" w:hAnsi="Times New Roman"/>
          <w:b/>
          <w:bCs/>
          <w:color w:val="000000"/>
          <w:sz w:val="20"/>
          <w:szCs w:val="20"/>
        </w:rPr>
        <w:t>6. The state’s witness has not “applied the principles and methods reliably to the facts of the case.”</w:t>
      </w:r>
      <w:r>
        <w:rPr>
          <w:rFonts w:ascii="Times New Roman" w:hAnsi="Times New Roman"/>
          <w:color w:val="000000"/>
          <w:sz w:val="20"/>
          <w:szCs w:val="20"/>
        </w:rPr>
        <w:t xml:space="preserve"> </w:t>
      </w:r>
      <w:hyperlink r:id="rId24" w:history="1">
        <w:r>
          <w:rPr>
            <w:rFonts w:ascii="Times New Roman" w:hAnsi="Times New Roman"/>
            <w:color w:val="0000FF"/>
            <w:sz w:val="20"/>
            <w:szCs w:val="20"/>
          </w:rPr>
          <w:t>Sec. 907.02, Wis. Stats</w:t>
        </w:r>
      </w:hyperlink>
      <w:r>
        <w:rPr>
          <w:rFonts w:ascii="Times New Roman" w:hAnsi="Times New Roman"/>
          <w:color w:val="000000"/>
          <w:sz w:val="20"/>
          <w:szCs w:val="20"/>
        </w:rPr>
        <w:t xml:space="preserve">. [Note to reader: This element of </w:t>
      </w:r>
      <w:r>
        <w:rPr>
          <w:rFonts w:ascii="Times New Roman" w:hAnsi="Times New Roman"/>
          <w:i/>
          <w:iCs/>
          <w:color w:val="000000"/>
          <w:sz w:val="20"/>
          <w:szCs w:val="20"/>
        </w:rPr>
        <w:t>Daubert</w:t>
      </w:r>
      <w:r>
        <w:rPr>
          <w:rFonts w:ascii="Times New Roman" w:hAnsi="Times New Roman"/>
          <w:color w:val="000000"/>
          <w:sz w:val="20"/>
          <w:szCs w:val="20"/>
        </w:rPr>
        <w:t xml:space="preserve"> does not apply to exposition testimony. </w:t>
      </w:r>
      <w:r>
        <w:rPr>
          <w:rFonts w:ascii="Times New Roman" w:hAnsi="Times New Roman"/>
          <w:i/>
          <w:iCs/>
          <w:color w:val="000000"/>
          <w:sz w:val="20"/>
          <w:szCs w:val="20"/>
        </w:rPr>
        <w:t>See infra</w:t>
      </w:r>
      <w:r>
        <w:rPr>
          <w:rFonts w:ascii="Times New Roman" w:hAnsi="Times New Roman"/>
          <w:color w:val="000000"/>
          <w:sz w:val="20"/>
          <w:szCs w:val="20"/>
        </w:rPr>
        <w:t xml:space="preserve"> Part III.]</w:t>
      </w:r>
    </w:p>
    <w:p w14:paraId="74CCC698"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EEBA7A2"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92" w:name="co_g_ID0ETWAG_1"/>
      <w:bookmarkEnd w:id="92"/>
      <w:r>
        <w:rPr>
          <w:rFonts w:ascii="Times New Roman" w:hAnsi="Times New Roman"/>
          <w:b/>
          <w:bCs/>
          <w:color w:val="000000"/>
          <w:sz w:val="20"/>
          <w:szCs w:val="20"/>
        </w:rPr>
        <w:t>7. The state’s summary fails to provide the defense with adequate notice of the witness’s testimony.</w:t>
      </w:r>
      <w:r>
        <w:rPr>
          <w:rFonts w:ascii="Times New Roman" w:hAnsi="Times New Roman"/>
          <w:color w:val="000000"/>
          <w:sz w:val="20"/>
          <w:szCs w:val="20"/>
        </w:rPr>
        <w:t xml:space="preserve"> </w:t>
      </w:r>
      <w:hyperlink r:id="rId25" w:history="1">
        <w:r>
          <w:rPr>
            <w:rFonts w:ascii="Times New Roman" w:hAnsi="Times New Roman"/>
            <w:color w:val="0000FF"/>
            <w:sz w:val="20"/>
            <w:szCs w:val="20"/>
          </w:rPr>
          <w:t>Sec. 971.23 (1) (e), Wis. Stats</w:t>
        </w:r>
      </w:hyperlink>
      <w:r>
        <w:rPr>
          <w:rFonts w:ascii="Times New Roman" w:hAnsi="Times New Roman"/>
          <w:color w:val="000000"/>
          <w:sz w:val="20"/>
          <w:szCs w:val="20"/>
        </w:rPr>
        <w:t>.</w:t>
      </w:r>
    </w:p>
    <w:p w14:paraId="618AD9C6"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 xml:space="preserve">a. The discovery statute requires the state to provide “a written summary of ... the subject matter” of the proposed testimony. </w:t>
      </w:r>
      <w:r>
        <w:rPr>
          <w:rFonts w:ascii="Times New Roman" w:hAnsi="Times New Roman"/>
          <w:i/>
          <w:iCs/>
          <w:color w:val="000000"/>
          <w:sz w:val="20"/>
          <w:szCs w:val="20"/>
        </w:rPr>
        <w:t>Id.</w:t>
      </w:r>
      <w:r>
        <w:rPr>
          <w:rFonts w:ascii="Times New Roman" w:hAnsi="Times New Roman"/>
          <w:color w:val="000000"/>
          <w:sz w:val="20"/>
          <w:szCs w:val="20"/>
        </w:rPr>
        <w:t xml:space="preserve"> However, the state’s summary is grossly inadequate as it leaves several questions unanswered. For example, what are these “wide range of behaviors that are common in child sexual assault cases”? What does it mean that a child “often, perhaps,” exhibits such behaviors? With regard to “delayed disclosure,” what does “quite common” mean? And how long after an incident must a disclosure occur to be considered “delayed”?</w:t>
      </w:r>
    </w:p>
    <w:p w14:paraId="26D17EBC"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DF7CB29" w14:textId="77777777" w:rsidR="004D1FA8" w:rsidRDefault="004D1FA8">
      <w:pPr>
        <w:widowControl w:val="0"/>
        <w:autoSpaceDE w:val="0"/>
        <w:autoSpaceDN w:val="0"/>
        <w:adjustRightInd w:val="0"/>
        <w:spacing w:before="200" w:after="200" w:line="240" w:lineRule="auto"/>
        <w:ind w:left="700" w:right="400"/>
        <w:jc w:val="both"/>
        <w:rPr>
          <w:rFonts w:ascii="Times New Roman" w:hAnsi="Times New Roman"/>
          <w:color w:val="000000"/>
          <w:sz w:val="20"/>
          <w:szCs w:val="20"/>
        </w:rPr>
      </w:pPr>
      <w:r>
        <w:rPr>
          <w:rFonts w:ascii="Times New Roman" w:hAnsi="Times New Roman"/>
          <w:color w:val="000000"/>
          <w:sz w:val="20"/>
          <w:szCs w:val="20"/>
        </w:rPr>
        <w:t xml:space="preserve">b. The state’s incredibly skeletal, vague, hide-the-ball summary does not comply with the discovery statute or permit the defendant to effectively cross-examine the state’s witness, thus violating numerous rights including the constitutional rights of confrontation and to present a defense. </w:t>
      </w:r>
      <w:r>
        <w:rPr>
          <w:rFonts w:ascii="Times New Roman" w:hAnsi="Times New Roman"/>
          <w:i/>
          <w:iCs/>
          <w:color w:val="000000"/>
          <w:sz w:val="20"/>
          <w:szCs w:val="20"/>
        </w:rPr>
        <w:t xml:space="preserve">See generally </w:t>
      </w:r>
      <w:hyperlink r:id="rId26" w:history="1">
        <w:r>
          <w:rPr>
            <w:rFonts w:ascii="Times New Roman" w:hAnsi="Times New Roman"/>
            <w:i/>
            <w:iCs/>
            <w:color w:val="0000FF"/>
            <w:sz w:val="20"/>
            <w:szCs w:val="20"/>
          </w:rPr>
          <w:t>Crawford v. Washington</w:t>
        </w:r>
        <w:r>
          <w:rPr>
            <w:rFonts w:ascii="Times New Roman" w:hAnsi="Times New Roman"/>
            <w:color w:val="0000FF"/>
            <w:sz w:val="20"/>
            <w:szCs w:val="20"/>
          </w:rPr>
          <w:t>, 541 U.S. 36, 61 (2004)</w:t>
        </w:r>
      </w:hyperlink>
      <w:r>
        <w:rPr>
          <w:rFonts w:ascii="Times New Roman" w:hAnsi="Times New Roman"/>
          <w:color w:val="000000"/>
          <w:sz w:val="20"/>
          <w:szCs w:val="20"/>
        </w:rPr>
        <w:t xml:space="preserve"> (the right of confrontation commands that evidence be adequately tested in “the crucible of cross-examination.”); </w:t>
      </w:r>
      <w:hyperlink r:id="rId27" w:history="1">
        <w:r>
          <w:rPr>
            <w:rFonts w:ascii="Times New Roman" w:hAnsi="Times New Roman"/>
            <w:i/>
            <w:iCs/>
            <w:color w:val="0000FF"/>
            <w:sz w:val="20"/>
            <w:szCs w:val="20"/>
          </w:rPr>
          <w:t>Holmes v. South Carolina</w:t>
        </w:r>
        <w:r>
          <w:rPr>
            <w:rFonts w:ascii="Times New Roman" w:hAnsi="Times New Roman"/>
            <w:color w:val="0000FF"/>
            <w:sz w:val="20"/>
            <w:szCs w:val="20"/>
          </w:rPr>
          <w:t>, 547 U.S. 319, 324 (2006)</w:t>
        </w:r>
      </w:hyperlink>
      <w:r>
        <w:rPr>
          <w:rFonts w:ascii="Times New Roman" w:hAnsi="Times New Roman"/>
          <w:color w:val="000000"/>
          <w:sz w:val="20"/>
          <w:szCs w:val="20"/>
        </w:rPr>
        <w:t xml:space="preserve"> (“the Constitution guarantees criminal defendants a meaningful opportunity to present a complete defense.”).</w:t>
      </w:r>
    </w:p>
    <w:p w14:paraId="3639CE12"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2A34AC6"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D787DA6"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2791C7B"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93" w:name="co_g_ID0EQ1AG_1"/>
      <w:bookmarkEnd w:id="93"/>
      <w:r>
        <w:rPr>
          <w:rFonts w:ascii="Times New Roman" w:hAnsi="Times New Roman"/>
          <w:color w:val="000000"/>
          <w:sz w:val="20"/>
          <w:szCs w:val="20"/>
        </w:rPr>
        <w:t xml:space="preserve">THEREFORE, based on the above facts and legal authorities, the defendant moves the Court to (A) exclude the witness’s testimony or, in the alternative, (B) schedule a pretrial </w:t>
      </w:r>
      <w:r>
        <w:rPr>
          <w:rFonts w:ascii="Times New Roman" w:hAnsi="Times New Roman"/>
          <w:i/>
          <w:iCs/>
          <w:color w:val="000000"/>
          <w:sz w:val="20"/>
          <w:szCs w:val="20"/>
        </w:rPr>
        <w:t>Daubert</w:t>
      </w:r>
      <w:r>
        <w:rPr>
          <w:rFonts w:ascii="Times New Roman" w:hAnsi="Times New Roman"/>
          <w:color w:val="000000"/>
          <w:sz w:val="20"/>
          <w:szCs w:val="20"/>
        </w:rPr>
        <w:t xml:space="preserve"> hearing to determine admissibility.</w:t>
      </w:r>
    </w:p>
    <w:p w14:paraId="7B463F9F"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103A5A8"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94" w:name="co_g_ID0EE2AG_1"/>
      <w:bookmarkEnd w:id="94"/>
      <w:r>
        <w:rPr>
          <w:rFonts w:ascii="Times New Roman" w:hAnsi="Times New Roman"/>
          <w:color w:val="000000"/>
          <w:sz w:val="20"/>
          <w:szCs w:val="20"/>
        </w:rPr>
        <w:t>[Date]</w:t>
      </w:r>
    </w:p>
    <w:p w14:paraId="13F7085C"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7085B3C"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95" w:name="co_g_ID0EQ2AG_1"/>
      <w:bookmarkEnd w:id="95"/>
      <w:r>
        <w:rPr>
          <w:rFonts w:ascii="Times New Roman" w:hAnsi="Times New Roman"/>
          <w:color w:val="000000"/>
          <w:sz w:val="20"/>
          <w:szCs w:val="20"/>
        </w:rPr>
        <w:t>[Signature Block]</w:t>
      </w:r>
    </w:p>
    <w:p w14:paraId="66A0CDE8"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2083790"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96" w:name="co_g_ID0E42AG_1"/>
      <w:bookmarkEnd w:id="96"/>
      <w:r>
        <w:rPr>
          <w:rFonts w:ascii="Times New Roman" w:hAnsi="Times New Roman"/>
          <w:color w:val="000000"/>
          <w:sz w:val="20"/>
          <w:szCs w:val="20"/>
        </w:rPr>
        <w:t>Actual motions will vary dramatically based on several factors, including the type of expert, the expert’s qualifications, the underlying facts of the case, the substantive legal authorities in the relevant jurisdiction, and, of course, the applicable procedural law, local court rules, and individual judge’s practices and proclivities.</w:t>
      </w:r>
    </w:p>
    <w:p w14:paraId="504879EF"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77AB1E0"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97" w:name="co_g_ID0EJ3AG_1"/>
      <w:bookmarkEnd w:id="97"/>
      <w:r>
        <w:rPr>
          <w:rFonts w:ascii="Times New Roman" w:hAnsi="Times New Roman"/>
          <w:color w:val="000000"/>
          <w:sz w:val="20"/>
          <w:szCs w:val="20"/>
        </w:rPr>
        <w:t xml:space="preserve">If the court grants the motion’s alternative request of a pretrial </w:t>
      </w:r>
      <w:r>
        <w:rPr>
          <w:rFonts w:ascii="Times New Roman" w:hAnsi="Times New Roman"/>
          <w:i/>
          <w:iCs/>
          <w:color w:val="000000"/>
          <w:sz w:val="20"/>
          <w:szCs w:val="20"/>
        </w:rPr>
        <w:t>Daubert</w:t>
      </w:r>
      <w:r>
        <w:rPr>
          <w:rFonts w:ascii="Times New Roman" w:hAnsi="Times New Roman"/>
          <w:color w:val="000000"/>
          <w:sz w:val="20"/>
          <w:szCs w:val="20"/>
        </w:rPr>
        <w:t xml:space="preserve"> hearing, defense counsel should be prepared to ask the questions that are explicitly stated in, or implied by, the motion. That way, even if the court permits the state’s expert to testify at trial, defense counsel will be better prepared for in-trial cross-examination.</w:t>
      </w:r>
    </w:p>
    <w:p w14:paraId="09068F02"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BA8EEC8" w14:textId="77777777" w:rsidR="004D1FA8" w:rsidRDefault="004D1FA8">
      <w:pPr>
        <w:widowControl w:val="0"/>
        <w:autoSpaceDE w:val="0"/>
        <w:autoSpaceDN w:val="0"/>
        <w:adjustRightInd w:val="0"/>
        <w:spacing w:before="200" w:after="200" w:line="240" w:lineRule="auto"/>
        <w:rPr>
          <w:rFonts w:ascii="Times New Roman" w:hAnsi="Times New Roman"/>
          <w:b/>
          <w:bCs/>
          <w:color w:val="000000"/>
          <w:sz w:val="20"/>
          <w:szCs w:val="20"/>
        </w:rPr>
      </w:pPr>
      <w:bookmarkStart w:id="98" w:name="co_g_ID0EB4AG_1"/>
      <w:bookmarkStart w:id="99" w:name="co_pp_sp_233327_108_1"/>
      <w:bookmarkEnd w:id="98"/>
      <w:bookmarkEnd w:id="99"/>
      <w:r>
        <w:rPr>
          <w:rFonts w:ascii="Times New Roman" w:hAnsi="Times New Roman"/>
          <w:b/>
          <w:bCs/>
          <w:color w:val="000000"/>
          <w:sz w:val="20"/>
          <w:szCs w:val="20"/>
        </w:rPr>
        <w:t>*108 III. CALLING THE DEFENSE EXPERT: LESS IS MORE</w:t>
      </w:r>
    </w:p>
    <w:p w14:paraId="7ADD4B30"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100" w:name="co_g_ID0EQ4AG_1"/>
      <w:bookmarkEnd w:id="100"/>
      <w:r>
        <w:rPr>
          <w:rFonts w:ascii="Times New Roman" w:hAnsi="Times New Roman"/>
          <w:color w:val="000000"/>
          <w:sz w:val="20"/>
          <w:szCs w:val="20"/>
        </w:rPr>
        <w:t>Experienced defense lawyers are aware--at least anecdotally if not empirically--that “the expert evidence of criminal prosecutors is subject to less scrutiny than that of criminal defendants[.]”</w:t>
      </w:r>
      <w:bookmarkStart w:id="101" w:name="co_fnRef_F40507610219_ID0E64AG_1"/>
      <w:bookmarkEnd w:id="101"/>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"#co_footnote_F40507610219_1"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40</w:t>
      </w:r>
      <w:r>
        <w:rPr>
          <w:rFonts w:ascii="Times New Roman" w:hAnsi="Times New Roman"/>
          <w:color w:val="000000"/>
          <w:sz w:val="16"/>
          <w:szCs w:val="16"/>
        </w:rPr>
        <w:fldChar w:fldCharType="end"/>
      </w:r>
      <w:r>
        <w:rPr>
          <w:rFonts w:ascii="Times New Roman" w:hAnsi="Times New Roman"/>
          <w:color w:val="000000"/>
          <w:sz w:val="20"/>
          <w:szCs w:val="20"/>
        </w:rPr>
        <w:t xml:space="preserve"> As a result, defense lawyers may spend many hours in preparing to use a defense expert. Whether drafting a thorough summary of expert testimony or painstakingly proofing the expert’s report,</w:t>
      </w:r>
      <w:bookmarkStart w:id="102" w:name="co_fnRef_F41507610219_ID0EF5AG_1"/>
      <w:bookmarkEnd w:id="102"/>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"#co_footnote_F41507610219_1"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41</w:t>
      </w:r>
      <w:r>
        <w:rPr>
          <w:rFonts w:ascii="Times New Roman" w:hAnsi="Times New Roman"/>
          <w:color w:val="000000"/>
          <w:sz w:val="16"/>
          <w:szCs w:val="16"/>
        </w:rPr>
        <w:fldChar w:fldCharType="end"/>
      </w:r>
      <w:r>
        <w:rPr>
          <w:rFonts w:ascii="Times New Roman" w:hAnsi="Times New Roman"/>
          <w:color w:val="000000"/>
          <w:sz w:val="20"/>
          <w:szCs w:val="20"/>
        </w:rPr>
        <w:t xml:space="preserve"> the defense lawyer goes to great lengths to ensure that all of </w:t>
      </w:r>
      <w:r>
        <w:rPr>
          <w:rFonts w:ascii="Times New Roman" w:hAnsi="Times New Roman"/>
          <w:i/>
          <w:iCs/>
          <w:color w:val="000000"/>
          <w:sz w:val="20"/>
          <w:szCs w:val="20"/>
        </w:rPr>
        <w:t>Daubert</w:t>
      </w:r>
      <w:r>
        <w:rPr>
          <w:rFonts w:ascii="Times New Roman" w:hAnsi="Times New Roman"/>
          <w:color w:val="000000"/>
          <w:sz w:val="20"/>
          <w:szCs w:val="20"/>
        </w:rPr>
        <w:t>’s prongs are satisfied.</w:t>
      </w:r>
    </w:p>
    <w:p w14:paraId="169A7D28"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FC01FCE"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103" w:name="co_g_ID0EQ5AG_1"/>
      <w:bookmarkEnd w:id="103"/>
      <w:r>
        <w:rPr>
          <w:rFonts w:ascii="Times New Roman" w:hAnsi="Times New Roman"/>
          <w:color w:val="000000"/>
          <w:sz w:val="20"/>
          <w:szCs w:val="20"/>
        </w:rPr>
        <w:lastRenderedPageBreak/>
        <w:t xml:space="preserve">Paradoxically, it is this thoroughness and level of detail that often gives the pro-prosecutor court the ammunition to </w:t>
      </w:r>
      <w:r>
        <w:rPr>
          <w:rFonts w:ascii="Times New Roman" w:hAnsi="Times New Roman"/>
          <w:i/>
          <w:iCs/>
          <w:color w:val="000000"/>
          <w:sz w:val="20"/>
          <w:szCs w:val="20"/>
        </w:rPr>
        <w:t>exclude</w:t>
      </w:r>
      <w:r>
        <w:rPr>
          <w:rFonts w:ascii="Times New Roman" w:hAnsi="Times New Roman"/>
          <w:color w:val="000000"/>
          <w:sz w:val="20"/>
          <w:szCs w:val="20"/>
        </w:rPr>
        <w:t xml:space="preserve"> the defendant’s expert witness. Such judicial rulings are not just hyper-critical, but often irrational and even disingenuous. And they are most problematic when the defense expert applies the subject matter of his or her expertise to the facts of the case, as required by </w:t>
      </w:r>
      <w:r>
        <w:rPr>
          <w:rFonts w:ascii="Times New Roman" w:hAnsi="Times New Roman"/>
          <w:i/>
          <w:iCs/>
          <w:color w:val="000000"/>
          <w:sz w:val="20"/>
          <w:szCs w:val="20"/>
        </w:rPr>
        <w:t>Daubert</w:t>
      </w:r>
      <w:r>
        <w:rPr>
          <w:rFonts w:ascii="Times New Roman" w:hAnsi="Times New Roman"/>
          <w:color w:val="000000"/>
          <w:sz w:val="20"/>
          <w:szCs w:val="20"/>
        </w:rPr>
        <w:t>’s sixth prong.</w:t>
      </w:r>
      <w:bookmarkStart w:id="104" w:name="co_fnRef_F42507610219_ID0EB6AG_1"/>
      <w:bookmarkEnd w:id="104"/>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"#co_footnote_F42507610219_1"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42</w:t>
      </w:r>
      <w:r>
        <w:rPr>
          <w:rFonts w:ascii="Times New Roman" w:hAnsi="Times New Roman"/>
          <w:color w:val="000000"/>
          <w:sz w:val="16"/>
          <w:szCs w:val="16"/>
        </w:rPr>
        <w:fldChar w:fldCharType="end"/>
      </w:r>
    </w:p>
    <w:p w14:paraId="4890E51F"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9B2B472"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105" w:name="co_g_ID0EI6AG_1"/>
      <w:bookmarkEnd w:id="105"/>
      <w:r>
        <w:rPr>
          <w:rFonts w:ascii="Times New Roman" w:hAnsi="Times New Roman"/>
          <w:color w:val="000000"/>
          <w:sz w:val="20"/>
          <w:szCs w:val="20"/>
        </w:rPr>
        <w:t xml:space="preserve">For example, in </w:t>
      </w:r>
      <w:r>
        <w:rPr>
          <w:rFonts w:ascii="Times New Roman" w:hAnsi="Times New Roman"/>
          <w:i/>
          <w:iCs/>
          <w:color w:val="000000"/>
          <w:sz w:val="20"/>
          <w:szCs w:val="20"/>
        </w:rPr>
        <w:t>State v. Bauer</w:t>
      </w:r>
      <w:r>
        <w:rPr>
          <w:rFonts w:ascii="Times New Roman" w:hAnsi="Times New Roman"/>
          <w:color w:val="000000"/>
          <w:sz w:val="20"/>
          <w:szCs w:val="20"/>
        </w:rPr>
        <w:t>, the defense attempted to call a psychologist to testify about “suggestive interview techniques” and how they can lead to false allegations by children.</w:t>
      </w:r>
      <w:bookmarkStart w:id="106" w:name="co_fnRef_F43507610219_ID0EZ6AG_1"/>
      <w:bookmarkEnd w:id="106"/>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"#co_footnote_F43507610219_1"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43</w:t>
      </w:r>
      <w:r>
        <w:rPr>
          <w:rFonts w:ascii="Times New Roman" w:hAnsi="Times New Roman"/>
          <w:color w:val="000000"/>
          <w:sz w:val="16"/>
          <w:szCs w:val="16"/>
        </w:rPr>
        <w:fldChar w:fldCharType="end"/>
      </w:r>
      <w:r>
        <w:rPr>
          <w:rFonts w:ascii="Times New Roman" w:hAnsi="Times New Roman"/>
          <w:color w:val="000000"/>
          <w:sz w:val="20"/>
          <w:szCs w:val="20"/>
        </w:rPr>
        <w:t xml:space="preserve"> The expert’s qualifications and the reliability of his principles and methods were not in dispute; rather, the court excluded the testimony under </w:t>
      </w:r>
      <w:r>
        <w:rPr>
          <w:rFonts w:ascii="Times New Roman" w:hAnsi="Times New Roman"/>
          <w:i/>
          <w:iCs/>
          <w:color w:val="000000"/>
          <w:sz w:val="20"/>
          <w:szCs w:val="20"/>
        </w:rPr>
        <w:t>Daubert</w:t>
      </w:r>
      <w:r>
        <w:rPr>
          <w:rFonts w:ascii="Times New Roman" w:hAnsi="Times New Roman"/>
          <w:color w:val="000000"/>
          <w:sz w:val="20"/>
          <w:szCs w:val="20"/>
        </w:rPr>
        <w:t>’s sixth prong, claiming the expert failed to “sufficiently connect his opinions to the facts of the case”</w:t>
      </w:r>
      <w:bookmarkStart w:id="107" w:name="co_fnRef_F44507610219_ID0EHABG_1"/>
      <w:bookmarkEnd w:id="107"/>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"#co_footnote_F44507610219_1"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44</w:t>
      </w:r>
      <w:r>
        <w:rPr>
          <w:rFonts w:ascii="Times New Roman" w:hAnsi="Times New Roman"/>
          <w:color w:val="000000"/>
          <w:sz w:val="16"/>
          <w:szCs w:val="16"/>
        </w:rPr>
        <w:fldChar w:fldCharType="end"/>
      </w:r>
      <w:r>
        <w:rPr>
          <w:rFonts w:ascii="Times New Roman" w:hAnsi="Times New Roman"/>
          <w:color w:val="000000"/>
          <w:sz w:val="20"/>
          <w:szCs w:val="20"/>
        </w:rPr>
        <w:t>--or, as the statute reads, to “appl[y] the principles and methods reliably to the facts of the case.”</w:t>
      </w:r>
      <w:bookmarkStart w:id="108" w:name="co_fnRef_F45507610219_ID0EUABG_1"/>
      <w:bookmarkEnd w:id="108"/>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"#co_footnote_F45507610219_1"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45</w:t>
      </w:r>
      <w:r>
        <w:rPr>
          <w:rFonts w:ascii="Times New Roman" w:hAnsi="Times New Roman"/>
          <w:color w:val="000000"/>
          <w:sz w:val="16"/>
          <w:szCs w:val="16"/>
        </w:rPr>
        <w:fldChar w:fldCharType="end"/>
      </w:r>
    </w:p>
    <w:p w14:paraId="57C15F9D"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07E00F3"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109" w:name="co_g_ID0E2ABG_1"/>
      <w:bookmarkEnd w:id="109"/>
      <w:r>
        <w:rPr>
          <w:rFonts w:ascii="Times New Roman" w:hAnsi="Times New Roman"/>
          <w:color w:val="000000"/>
          <w:sz w:val="20"/>
          <w:szCs w:val="20"/>
        </w:rPr>
        <w:t>The expert did identify suggestive interview techniques in the case at bar, such as “asking [the alleged] child victim to name body parts before the child ... made any allegations” of sexual abuse.</w:t>
      </w:r>
      <w:bookmarkStart w:id="110" w:name="co_fnRef_F46507610219_ID0EPBBG_1"/>
      <w:bookmarkEnd w:id="110"/>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"#co_footnote_F46507610219_1"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46</w:t>
      </w:r>
      <w:r>
        <w:rPr>
          <w:rFonts w:ascii="Times New Roman" w:hAnsi="Times New Roman"/>
          <w:color w:val="000000"/>
          <w:sz w:val="16"/>
          <w:szCs w:val="16"/>
        </w:rPr>
        <w:fldChar w:fldCharType="end"/>
      </w:r>
      <w:r>
        <w:rPr>
          <w:rFonts w:ascii="Times New Roman" w:hAnsi="Times New Roman"/>
          <w:color w:val="000000"/>
          <w:sz w:val="20"/>
          <w:szCs w:val="20"/>
        </w:rPr>
        <w:t xml:space="preserve"> But the court’s criticism was this: “notwithstanding this specific critique, [the expert] fail [ed] </w:t>
      </w:r>
      <w:r>
        <w:rPr>
          <w:rFonts w:ascii="Times New Roman" w:hAnsi="Times New Roman"/>
          <w:i/>
          <w:iCs/>
          <w:color w:val="000000"/>
          <w:sz w:val="20"/>
          <w:szCs w:val="20"/>
        </w:rPr>
        <w:t>to draw any conclusions</w:t>
      </w:r>
      <w:r>
        <w:rPr>
          <w:rFonts w:ascii="Times New Roman" w:hAnsi="Times New Roman"/>
          <w:color w:val="000000"/>
          <w:sz w:val="20"/>
          <w:szCs w:val="20"/>
        </w:rPr>
        <w:t xml:space="preserve"> about the reliability of the [alleged] victim’s accusations.”</w:t>
      </w:r>
      <w:bookmarkStart w:id="111" w:name="co_fnRef_F47507610219_ID0E6BBG_1"/>
      <w:bookmarkEnd w:id="111"/>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"#co_footnote_F47507610219_1"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47</w:t>
      </w:r>
      <w:r>
        <w:rPr>
          <w:rFonts w:ascii="Times New Roman" w:hAnsi="Times New Roman"/>
          <w:color w:val="000000"/>
          <w:sz w:val="16"/>
          <w:szCs w:val="16"/>
        </w:rPr>
        <w:fldChar w:fldCharType="end"/>
      </w:r>
      <w:r>
        <w:rPr>
          <w:rFonts w:ascii="Times New Roman" w:hAnsi="Times New Roman"/>
          <w:color w:val="000000"/>
          <w:sz w:val="20"/>
          <w:szCs w:val="20"/>
        </w:rPr>
        <w:t xml:space="preserve"> That is, he failed to conclude that the suggestive questioning had “</w:t>
      </w:r>
      <w:r>
        <w:rPr>
          <w:rFonts w:ascii="Times New Roman" w:hAnsi="Times New Roman"/>
          <w:i/>
          <w:iCs/>
          <w:color w:val="000000"/>
          <w:sz w:val="20"/>
          <w:szCs w:val="20"/>
        </w:rPr>
        <w:t>actual effects</w:t>
      </w:r>
      <w:r>
        <w:rPr>
          <w:rFonts w:ascii="Times New Roman" w:hAnsi="Times New Roman"/>
          <w:color w:val="000000"/>
          <w:sz w:val="20"/>
          <w:szCs w:val="20"/>
        </w:rPr>
        <w:t xml:space="preserve"> on the child or her statements” in which she accused the defendant.</w:t>
      </w:r>
      <w:bookmarkStart w:id="112" w:name="co_fnRef_F48507610219_ID0EGCBG_1"/>
      <w:bookmarkEnd w:id="112"/>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"#co_footnote_F48507610219_1"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48</w:t>
      </w:r>
      <w:r>
        <w:rPr>
          <w:rFonts w:ascii="Times New Roman" w:hAnsi="Times New Roman"/>
          <w:color w:val="000000"/>
          <w:sz w:val="16"/>
          <w:szCs w:val="16"/>
        </w:rPr>
        <w:fldChar w:fldCharType="end"/>
      </w:r>
      <w:r>
        <w:rPr>
          <w:rFonts w:ascii="Times New Roman" w:hAnsi="Times New Roman"/>
          <w:color w:val="000000"/>
          <w:sz w:val="20"/>
          <w:szCs w:val="20"/>
        </w:rPr>
        <w:t xml:space="preserve"> The court’s opinion is mind-boggling and flat-out wrong. It excluded the expert’s testimony because he did not provide an opinion that was impossible to form and, even if it could be formed, likely would have been inadmissible at trial.</w:t>
      </w:r>
      <w:bookmarkStart w:id="113" w:name="co_fnRef_F49507610219_ID0ENCBG_1"/>
      <w:bookmarkEnd w:id="113"/>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"#co_footnote_F49507610219_1"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49</w:t>
      </w:r>
      <w:r>
        <w:rPr>
          <w:rFonts w:ascii="Times New Roman" w:hAnsi="Times New Roman"/>
          <w:color w:val="000000"/>
          <w:sz w:val="16"/>
          <w:szCs w:val="16"/>
        </w:rPr>
        <w:fldChar w:fldCharType="end"/>
      </w:r>
    </w:p>
    <w:p w14:paraId="6CF727DE"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0C15553"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114" w:name="co_g_ID0EUCBG_1"/>
      <w:bookmarkStart w:id="115" w:name="co_pp_sp_233327_109_1"/>
      <w:bookmarkEnd w:id="114"/>
      <w:bookmarkEnd w:id="115"/>
      <w:r>
        <w:rPr>
          <w:rFonts w:ascii="Times New Roman" w:hAnsi="Times New Roman"/>
          <w:b/>
          <w:bCs/>
          <w:color w:val="000000"/>
          <w:sz w:val="20"/>
          <w:szCs w:val="20"/>
        </w:rPr>
        <w:t>*109</w:t>
      </w:r>
      <w:r>
        <w:rPr>
          <w:rFonts w:ascii="Times New Roman" w:hAnsi="Times New Roman"/>
          <w:color w:val="000000"/>
          <w:sz w:val="20"/>
          <w:szCs w:val="20"/>
        </w:rPr>
        <w:t xml:space="preserve"> What can defense counsel possibly do in light of an irrational ruling like this? One strategy is to provide less information by not even trying to apply the witness’s expertise to the facts of the case. But isn’t satisfying every prong of the </w:t>
      </w:r>
      <w:r>
        <w:rPr>
          <w:rFonts w:ascii="Times New Roman" w:hAnsi="Times New Roman"/>
          <w:i/>
          <w:iCs/>
          <w:color w:val="000000"/>
          <w:sz w:val="20"/>
          <w:szCs w:val="20"/>
        </w:rPr>
        <w:t>Daubert</w:t>
      </w:r>
      <w:r>
        <w:rPr>
          <w:rFonts w:ascii="Times New Roman" w:hAnsi="Times New Roman"/>
          <w:color w:val="000000"/>
          <w:sz w:val="20"/>
          <w:szCs w:val="20"/>
        </w:rPr>
        <w:t xml:space="preserve"> statute, including its application prong, a prerequisite to using an expert at trial? Under the plain language of the statute cited in Part I, the answer is yes. Despite that plain language, however, the real answer is often no. Defense counsel may be able to dispense with the application prong by disclosing less information and presenting the expert’s testimony as general or educational testimony--also known as exposition testimony. Many jurisdictions</w:t>
      </w:r>
      <w:bookmarkStart w:id="116" w:name="co_fnRef_F50507610219_ID0EWDBG_1"/>
      <w:bookmarkEnd w:id="116"/>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"#co_footnote_F50507610219_1"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50</w:t>
      </w:r>
      <w:r>
        <w:rPr>
          <w:rFonts w:ascii="Times New Roman" w:hAnsi="Times New Roman"/>
          <w:color w:val="000000"/>
          <w:sz w:val="16"/>
          <w:szCs w:val="16"/>
        </w:rPr>
        <w:fldChar w:fldCharType="end"/>
      </w:r>
      <w:r>
        <w:rPr>
          <w:rFonts w:ascii="Times New Roman" w:hAnsi="Times New Roman"/>
          <w:color w:val="000000"/>
          <w:sz w:val="20"/>
          <w:szCs w:val="20"/>
        </w:rPr>
        <w:t xml:space="preserve"> are aligned with the Supreme Court of Wisconsin, which held:</w:t>
      </w:r>
    </w:p>
    <w:p w14:paraId="73F33DB8" w14:textId="77777777" w:rsidR="004D1FA8" w:rsidRDefault="004D1FA8">
      <w:pPr>
        <w:widowControl w:val="0"/>
        <w:autoSpaceDE w:val="0"/>
        <w:autoSpaceDN w:val="0"/>
        <w:adjustRightInd w:val="0"/>
        <w:spacing w:before="200" w:after="0" w:line="240" w:lineRule="auto"/>
        <w:ind w:left="700" w:right="400"/>
        <w:jc w:val="both"/>
        <w:rPr>
          <w:rFonts w:ascii="Times New Roman" w:hAnsi="Times New Roman"/>
          <w:color w:val="000000"/>
          <w:sz w:val="16"/>
          <w:szCs w:val="16"/>
        </w:rPr>
      </w:pPr>
      <w:r>
        <w:rPr>
          <w:rFonts w:ascii="Times New Roman" w:hAnsi="Times New Roman"/>
          <w:color w:val="000000"/>
          <w:sz w:val="20"/>
          <w:szCs w:val="20"/>
        </w:rPr>
        <w:t xml:space="preserve">We conclude that </w:t>
      </w:r>
      <w:hyperlink r:id="rId28" w:history="1">
        <w:r>
          <w:rPr>
            <w:rFonts w:ascii="Times New Roman" w:hAnsi="Times New Roman"/>
            <w:color w:val="0000FF"/>
            <w:sz w:val="20"/>
            <w:szCs w:val="20"/>
          </w:rPr>
          <w:t>Wis. Stat. § 907.02(1)</w:t>
        </w:r>
      </w:hyperlink>
      <w:r>
        <w:rPr>
          <w:rFonts w:ascii="Times New Roman" w:hAnsi="Times New Roman"/>
          <w:color w:val="000000"/>
          <w:sz w:val="20"/>
          <w:szCs w:val="20"/>
        </w:rPr>
        <w:t xml:space="preserve"> continues to permit an expert witness to testify in the form of an opinion ‘or otherwise,’ including </w:t>
      </w:r>
      <w:r>
        <w:rPr>
          <w:rFonts w:ascii="Times New Roman" w:hAnsi="Times New Roman"/>
          <w:i/>
          <w:iCs/>
          <w:color w:val="000000"/>
          <w:sz w:val="20"/>
          <w:szCs w:val="20"/>
        </w:rPr>
        <w:t>exposition testimony on general principles without explicitly applying those principles to, or even having knowledge of, the specific facts of the case</w:t>
      </w:r>
      <w:r>
        <w:rPr>
          <w:rFonts w:ascii="Times New Roman" w:hAnsi="Times New Roman"/>
          <w:color w:val="000000"/>
          <w:sz w:val="20"/>
          <w:szCs w:val="20"/>
        </w:rPr>
        <w:t>. If an expert testifies in the form of an opinion, then the expert must apply the principles and methods reliably to the facts of the case.</w:t>
      </w:r>
      <w:bookmarkStart w:id="117" w:name="co_fnRef_F51507610219_ID0ETEBG_1"/>
      <w:bookmarkEnd w:id="117"/>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"#co_footnote_F51507610219_1"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51</w:t>
      </w:r>
      <w:r>
        <w:rPr>
          <w:rFonts w:ascii="Times New Roman" w:hAnsi="Times New Roman"/>
          <w:color w:val="000000"/>
          <w:sz w:val="16"/>
          <w:szCs w:val="16"/>
        </w:rPr>
        <w:fldChar w:fldCharType="end"/>
      </w:r>
    </w:p>
    <w:p w14:paraId="5593C39D"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0C43CF9"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363D541"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118" w:name="co_g_ID0E4EBG_1"/>
      <w:bookmarkEnd w:id="118"/>
      <w:r>
        <w:rPr>
          <w:rFonts w:ascii="Times New Roman" w:hAnsi="Times New Roman"/>
          <w:color w:val="000000"/>
          <w:sz w:val="20"/>
          <w:szCs w:val="20"/>
        </w:rPr>
        <w:t xml:space="preserve">For an example of exposition testimony, recall </w:t>
      </w:r>
      <w:r>
        <w:rPr>
          <w:rFonts w:ascii="Times New Roman" w:hAnsi="Times New Roman"/>
          <w:i/>
          <w:iCs/>
          <w:color w:val="000000"/>
          <w:sz w:val="20"/>
          <w:szCs w:val="20"/>
        </w:rPr>
        <w:t>State v. Smith</w:t>
      </w:r>
      <w:r>
        <w:rPr>
          <w:rFonts w:ascii="Times New Roman" w:hAnsi="Times New Roman"/>
          <w:color w:val="000000"/>
          <w:sz w:val="20"/>
          <w:szCs w:val="20"/>
        </w:rPr>
        <w:t xml:space="preserve"> and the state’s summary of expert testimony for its CSAAS witness, which began: “[The witness] would </w:t>
      </w:r>
      <w:r>
        <w:rPr>
          <w:rFonts w:ascii="Times New Roman" w:hAnsi="Times New Roman"/>
          <w:i/>
          <w:iCs/>
          <w:color w:val="000000"/>
          <w:sz w:val="20"/>
          <w:szCs w:val="20"/>
        </w:rPr>
        <w:t>not</w:t>
      </w:r>
      <w:r>
        <w:rPr>
          <w:rFonts w:ascii="Times New Roman" w:hAnsi="Times New Roman"/>
          <w:color w:val="000000"/>
          <w:sz w:val="20"/>
          <w:szCs w:val="20"/>
        </w:rPr>
        <w:t xml:space="preserve"> testify about specifics involving this case ...”</w:t>
      </w:r>
      <w:bookmarkStart w:id="119" w:name="co_fnRef_F52507610219_ID0E1FBG_1"/>
      <w:bookmarkEnd w:id="119"/>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"#co_footnote_F52507610219_1"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52</w:t>
      </w:r>
      <w:r>
        <w:rPr>
          <w:rFonts w:ascii="Times New Roman" w:hAnsi="Times New Roman"/>
          <w:color w:val="000000"/>
          <w:sz w:val="16"/>
          <w:szCs w:val="16"/>
        </w:rPr>
        <w:fldChar w:fldCharType="end"/>
      </w:r>
      <w:r>
        <w:rPr>
          <w:rFonts w:ascii="Times New Roman" w:hAnsi="Times New Roman"/>
          <w:color w:val="000000"/>
          <w:sz w:val="20"/>
          <w:szCs w:val="20"/>
        </w:rPr>
        <w:t xml:space="preserve"> The state was giving notice of exposition testimony, as the expert would instead testify in a general, educational format about “what, oftentimes, she sees victims of child sexual assault do.”</w:t>
      </w:r>
      <w:bookmarkStart w:id="120" w:name="co_fnRef_F53507610219_ID0EIGBG_1"/>
      <w:bookmarkEnd w:id="120"/>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"#co_footnote_F53507610219_1"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53</w:t>
      </w:r>
      <w:r>
        <w:rPr>
          <w:rFonts w:ascii="Times New Roman" w:hAnsi="Times New Roman"/>
          <w:color w:val="000000"/>
          <w:sz w:val="16"/>
          <w:szCs w:val="16"/>
        </w:rPr>
        <w:fldChar w:fldCharType="end"/>
      </w:r>
      <w:r>
        <w:rPr>
          <w:rFonts w:ascii="Times New Roman" w:hAnsi="Times New Roman"/>
          <w:color w:val="000000"/>
          <w:sz w:val="20"/>
          <w:szCs w:val="20"/>
        </w:rPr>
        <w:t xml:space="preserve"> Such an expert would not make any reference to, and probably wouldn’t know anything about, the specific child-accuser or the facts of the case at bar.</w:t>
      </w:r>
    </w:p>
    <w:p w14:paraId="47F8EC50"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38EA0C4"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121" w:name="co_g_ID0ERGBG_1"/>
      <w:bookmarkEnd w:id="121"/>
      <w:r>
        <w:rPr>
          <w:rFonts w:ascii="Times New Roman" w:hAnsi="Times New Roman"/>
          <w:color w:val="000000"/>
          <w:sz w:val="20"/>
          <w:szCs w:val="20"/>
        </w:rPr>
        <w:t xml:space="preserve">Instead of the CSAAS expert discussing the facts of the specific case, </w:t>
      </w:r>
      <w:r>
        <w:rPr>
          <w:rFonts w:ascii="Times New Roman" w:hAnsi="Times New Roman"/>
          <w:i/>
          <w:iCs/>
          <w:color w:val="000000"/>
          <w:sz w:val="20"/>
          <w:szCs w:val="20"/>
        </w:rPr>
        <w:t>the prosecutor</w:t>
      </w:r>
      <w:r>
        <w:rPr>
          <w:rFonts w:ascii="Times New Roman" w:hAnsi="Times New Roman"/>
          <w:color w:val="000000"/>
          <w:sz w:val="20"/>
          <w:szCs w:val="20"/>
        </w:rPr>
        <w:t xml:space="preserve"> connects the dots between (a) the expert’s general, exposition testimony about what is “common” and (b) the facts of the case. No doubt, these two things will match-up nicely; they nearly always do with vague commonality evidence which is malleable enough to fit most occasions. Then, after connecting the dots, the prosecutor will tell the jury what the expert didn’t explicitly say: the commonalities of CSAAS are present in the case at bar because the defendant actually assaulted the child, and the jury should therefore convict him.</w:t>
      </w:r>
    </w:p>
    <w:p w14:paraId="01BA41AB"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175F504"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122" w:name="co_g_ID0EFHBG_1"/>
      <w:bookmarkEnd w:id="122"/>
      <w:r>
        <w:rPr>
          <w:rFonts w:ascii="Times New Roman" w:hAnsi="Times New Roman"/>
          <w:color w:val="000000"/>
          <w:sz w:val="20"/>
          <w:szCs w:val="20"/>
        </w:rPr>
        <w:t xml:space="preserve">How could the defense use this type of less-is-more strategy? Continuing with </w:t>
      </w:r>
      <w:r>
        <w:rPr>
          <w:rFonts w:ascii="Times New Roman" w:hAnsi="Times New Roman"/>
          <w:i/>
          <w:iCs/>
          <w:color w:val="000000"/>
          <w:sz w:val="20"/>
          <w:szCs w:val="20"/>
        </w:rPr>
        <w:t>State v. Bauer</w:t>
      </w:r>
      <w:r>
        <w:rPr>
          <w:rFonts w:ascii="Times New Roman" w:hAnsi="Times New Roman"/>
          <w:color w:val="000000"/>
          <w:sz w:val="20"/>
          <w:szCs w:val="20"/>
        </w:rPr>
        <w:t xml:space="preserve">, which involved suggestive questioning of the child-accuser, </w:t>
      </w:r>
      <w:bookmarkStart w:id="123" w:name="co_pp_sp_233327_110_1"/>
      <w:bookmarkEnd w:id="123"/>
      <w:r>
        <w:rPr>
          <w:rFonts w:ascii="Times New Roman" w:hAnsi="Times New Roman"/>
          <w:b/>
          <w:bCs/>
          <w:color w:val="000000"/>
          <w:sz w:val="20"/>
          <w:szCs w:val="20"/>
        </w:rPr>
        <w:t>*110</w:t>
      </w:r>
      <w:r>
        <w:rPr>
          <w:rFonts w:ascii="Times New Roman" w:hAnsi="Times New Roman"/>
          <w:color w:val="000000"/>
          <w:sz w:val="20"/>
          <w:szCs w:val="20"/>
        </w:rPr>
        <w:t xml:space="preserve"> the expert in that case would have testified in two parts.</w:t>
      </w:r>
      <w:bookmarkStart w:id="124" w:name="co_fnRef_F54507610219_ID0E5HBG_1"/>
      <w:bookmarkEnd w:id="124"/>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"#co_footnote_F54507610219_1"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54</w:t>
      </w:r>
      <w:r>
        <w:rPr>
          <w:rFonts w:ascii="Times New Roman" w:hAnsi="Times New Roman"/>
          <w:color w:val="000000"/>
          <w:sz w:val="16"/>
          <w:szCs w:val="16"/>
        </w:rPr>
        <w:fldChar w:fldCharType="end"/>
      </w:r>
      <w:r>
        <w:rPr>
          <w:rFonts w:ascii="Times New Roman" w:hAnsi="Times New Roman"/>
          <w:color w:val="000000"/>
          <w:sz w:val="20"/>
          <w:szCs w:val="20"/>
        </w:rPr>
        <w:t xml:space="preserve"> First, for purposes of clarity, there would normally be general testimony designed to educate the jury and answer questions such as these: What are suggestive questions? Do they cause children to make false allegations? If yes, how and why does that happen? How do you know that? And second, the expert then intended to apply those principles to the facts of the case at bar by identifying actual suggestive questions asked by the child’s interviewer.</w:t>
      </w:r>
      <w:bookmarkStart w:id="125" w:name="co_fnRef_F55507610219_ID0EOIBG_1"/>
      <w:bookmarkEnd w:id="125"/>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"#co_footnote_F55507610219_1"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55</w:t>
      </w:r>
      <w:r>
        <w:rPr>
          <w:rFonts w:ascii="Times New Roman" w:hAnsi="Times New Roman"/>
          <w:color w:val="000000"/>
          <w:sz w:val="16"/>
          <w:szCs w:val="16"/>
        </w:rPr>
        <w:fldChar w:fldCharType="end"/>
      </w:r>
    </w:p>
    <w:p w14:paraId="054587A1"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770E88E"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126" w:name="co_g_ID0EVIBG_1"/>
      <w:bookmarkEnd w:id="126"/>
      <w:r>
        <w:rPr>
          <w:rFonts w:ascii="Times New Roman" w:hAnsi="Times New Roman"/>
          <w:color w:val="000000"/>
          <w:sz w:val="20"/>
          <w:szCs w:val="20"/>
        </w:rPr>
        <w:t xml:space="preserve">This second part of the testimony is what got the defense into trouble. Because the expert failed to conclude that the suggestive questions had actual effects on the child, the expert failed </w:t>
      </w:r>
      <w:r>
        <w:rPr>
          <w:rFonts w:ascii="Times New Roman" w:hAnsi="Times New Roman"/>
          <w:i/>
          <w:iCs/>
          <w:color w:val="000000"/>
          <w:sz w:val="20"/>
          <w:szCs w:val="20"/>
        </w:rPr>
        <w:t>Daubert</w:t>
      </w:r>
      <w:r>
        <w:rPr>
          <w:rFonts w:ascii="Times New Roman" w:hAnsi="Times New Roman"/>
          <w:color w:val="000000"/>
          <w:sz w:val="20"/>
          <w:szCs w:val="20"/>
        </w:rPr>
        <w:t>’s sixth prong.</w:t>
      </w:r>
      <w:bookmarkStart w:id="127" w:name="co_fnRef_F56507610219_ID0ECJBG_1"/>
      <w:bookmarkEnd w:id="127"/>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"#co_footnote_F56507610219_1"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56</w:t>
      </w:r>
      <w:r>
        <w:rPr>
          <w:rFonts w:ascii="Times New Roman" w:hAnsi="Times New Roman"/>
          <w:color w:val="000000"/>
          <w:sz w:val="16"/>
          <w:szCs w:val="16"/>
        </w:rPr>
        <w:fldChar w:fldCharType="end"/>
      </w:r>
      <w:r>
        <w:rPr>
          <w:rFonts w:ascii="Times New Roman" w:hAnsi="Times New Roman"/>
          <w:color w:val="000000"/>
          <w:sz w:val="20"/>
          <w:szCs w:val="20"/>
        </w:rPr>
        <w:t xml:space="preserve"> But had the defense simply </w:t>
      </w:r>
      <w:r>
        <w:rPr>
          <w:rFonts w:ascii="Times New Roman" w:hAnsi="Times New Roman"/>
          <w:color w:val="000000"/>
          <w:sz w:val="20"/>
          <w:szCs w:val="20"/>
        </w:rPr>
        <w:lastRenderedPageBreak/>
        <w:t>proffered the exposition portion of the testimony--the general, educational part--there would be no application for the court to criticize. Rather, the witness would have only provided “exposition testimony on general principles without explicitly applying those principles to, or even having knowledge of, the specific facts of the case.”</w:t>
      </w:r>
      <w:bookmarkStart w:id="128" w:name="co_fnRef_F57507610219_ID0ESJBG_1"/>
      <w:bookmarkEnd w:id="128"/>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"#co_footnote_F57507610219_1"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57</w:t>
      </w:r>
      <w:r>
        <w:rPr>
          <w:rFonts w:ascii="Times New Roman" w:hAnsi="Times New Roman"/>
          <w:color w:val="000000"/>
          <w:sz w:val="16"/>
          <w:szCs w:val="16"/>
        </w:rPr>
        <w:fldChar w:fldCharType="end"/>
      </w:r>
    </w:p>
    <w:p w14:paraId="21966ADA"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28DE9D0"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129" w:name="co_g_ID0EZJBG_1"/>
      <w:bookmarkEnd w:id="129"/>
      <w:r>
        <w:rPr>
          <w:rFonts w:ascii="Times New Roman" w:hAnsi="Times New Roman"/>
          <w:color w:val="000000"/>
          <w:sz w:val="20"/>
          <w:szCs w:val="20"/>
        </w:rPr>
        <w:t xml:space="preserve">Under this simplified approach, after defense counsel elicits exposition testimony from the expert, counsel does something similar to what the prosecutor did in </w:t>
      </w:r>
      <w:r>
        <w:rPr>
          <w:rFonts w:ascii="Times New Roman" w:hAnsi="Times New Roman"/>
          <w:i/>
          <w:iCs/>
          <w:color w:val="000000"/>
          <w:sz w:val="20"/>
          <w:szCs w:val="20"/>
        </w:rPr>
        <w:t>State v. Smith</w:t>
      </w:r>
      <w:r>
        <w:rPr>
          <w:rFonts w:ascii="Times New Roman" w:hAnsi="Times New Roman"/>
          <w:color w:val="000000"/>
          <w:sz w:val="20"/>
          <w:szCs w:val="20"/>
        </w:rPr>
        <w:t>: defense counsel connects the dots between (a) the experts’ general, exposition testimony about suggestive questions and false allegations and (b) the specific, suggestive questions the interviewer asked the child-accuser in the case at bar. In connecting those dots, defense counsel would be laying the foundation for the following closing argument: we know that suggestive questions lead to false allegations, as the expert told us how and why that happens; we know the interviewer asked suggestive questions of the child in this case; the interviewer’s suggestive questions led the child to falsely accuse the defendant; all of the other evidence or lack thereof also indicates this is a false allegation; and, finally, the state has not proven guilt beyond a reasonable doubt and the jury must find the defendant not guilty.</w:t>
      </w:r>
      <w:bookmarkStart w:id="130" w:name="co_fnRef_F58507610219_ID0EMKBG_1"/>
      <w:bookmarkEnd w:id="130"/>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"#co_footnote_F58507610219_1"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58</w:t>
      </w:r>
      <w:r>
        <w:rPr>
          <w:rFonts w:ascii="Times New Roman" w:hAnsi="Times New Roman"/>
          <w:color w:val="000000"/>
          <w:sz w:val="16"/>
          <w:szCs w:val="16"/>
        </w:rPr>
        <w:fldChar w:fldCharType="end"/>
      </w:r>
    </w:p>
    <w:p w14:paraId="394FA861"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FFB6695"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131" w:name="co_g_ID0ETKBG_1"/>
      <w:bookmarkEnd w:id="131"/>
      <w:r>
        <w:rPr>
          <w:rFonts w:ascii="Times New Roman" w:hAnsi="Times New Roman"/>
          <w:color w:val="000000"/>
          <w:sz w:val="20"/>
          <w:szCs w:val="20"/>
        </w:rPr>
        <w:t xml:space="preserve">This strategy may not be ideal in all cases, and, depending on numerous factors, may certainly not be as powerful as having </w:t>
      </w:r>
      <w:r>
        <w:rPr>
          <w:rFonts w:ascii="Times New Roman" w:hAnsi="Times New Roman"/>
          <w:i/>
          <w:iCs/>
          <w:color w:val="000000"/>
          <w:sz w:val="20"/>
          <w:szCs w:val="20"/>
        </w:rPr>
        <w:t>the expert</w:t>
      </w:r>
      <w:r>
        <w:rPr>
          <w:rFonts w:ascii="Times New Roman" w:hAnsi="Times New Roman"/>
          <w:color w:val="000000"/>
          <w:sz w:val="20"/>
          <w:szCs w:val="20"/>
        </w:rPr>
        <w:t xml:space="preserve"> apply the general, educational portion of the testimony to the facts of the case. For example, in cases with DNA evidence, the expert’s application of principles and methods to the </w:t>
      </w:r>
      <w:bookmarkStart w:id="132" w:name="co_pp_sp_233327_111_1"/>
      <w:bookmarkEnd w:id="132"/>
      <w:r>
        <w:rPr>
          <w:rFonts w:ascii="Times New Roman" w:hAnsi="Times New Roman"/>
          <w:b/>
          <w:bCs/>
          <w:color w:val="000000"/>
          <w:sz w:val="20"/>
          <w:szCs w:val="20"/>
        </w:rPr>
        <w:t>*111</w:t>
      </w:r>
      <w:r>
        <w:rPr>
          <w:rFonts w:ascii="Times New Roman" w:hAnsi="Times New Roman"/>
          <w:color w:val="000000"/>
          <w:sz w:val="20"/>
          <w:szCs w:val="20"/>
        </w:rPr>
        <w:t xml:space="preserve"> facts of the case, along with his or her ultimate opinion or conclusion, may be absolutely necessary. But with areas of expertise more accessible to the jury and presented in plain English--e.g., testimony about child interview techniques, eyewitness identifications, and false confessions--using exposition testimony might be nearly as effective.</w:t>
      </w:r>
    </w:p>
    <w:p w14:paraId="2A9B37B3"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FB49224"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133" w:name="co_g_ID0EMLBG_1"/>
      <w:bookmarkEnd w:id="133"/>
      <w:r>
        <w:rPr>
          <w:rFonts w:ascii="Times New Roman" w:hAnsi="Times New Roman"/>
          <w:color w:val="000000"/>
          <w:sz w:val="20"/>
          <w:szCs w:val="20"/>
        </w:rPr>
        <w:t xml:space="preserve">Opting for exposition testimony under this less-is-more strategy may actually offer two advantages. First, as discussed above, by eliminating one of </w:t>
      </w:r>
      <w:r>
        <w:rPr>
          <w:rFonts w:ascii="Times New Roman" w:hAnsi="Times New Roman"/>
          <w:i/>
          <w:iCs/>
          <w:color w:val="000000"/>
          <w:sz w:val="20"/>
          <w:szCs w:val="20"/>
        </w:rPr>
        <w:t>Daubert</w:t>
      </w:r>
      <w:r>
        <w:rPr>
          <w:rFonts w:ascii="Times New Roman" w:hAnsi="Times New Roman"/>
          <w:color w:val="000000"/>
          <w:sz w:val="20"/>
          <w:szCs w:val="20"/>
        </w:rPr>
        <w:t>’s prongs, the defense is (at least theoretically) increasing the odds of winning admission of the evidence. Admittedly, one author found that “[w]hen it comes to summarizational or educational expertise (also known as exposition testimony), prosecution witnesses almost always are allowed to testify, and defense witnesses are rejected in a majority of cases.”</w:t>
      </w:r>
      <w:bookmarkStart w:id="134" w:name="co_fnRef_F59507610219_ID0EFMBG_1"/>
      <w:bookmarkEnd w:id="134"/>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"#co_footnote_F59507610219_1"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59</w:t>
      </w:r>
      <w:r>
        <w:rPr>
          <w:rFonts w:ascii="Times New Roman" w:hAnsi="Times New Roman"/>
          <w:color w:val="000000"/>
          <w:sz w:val="16"/>
          <w:szCs w:val="16"/>
        </w:rPr>
        <w:fldChar w:fldCharType="end"/>
      </w:r>
      <w:r>
        <w:rPr>
          <w:rFonts w:ascii="Times New Roman" w:hAnsi="Times New Roman"/>
          <w:color w:val="000000"/>
          <w:sz w:val="20"/>
          <w:szCs w:val="20"/>
        </w:rPr>
        <w:t xml:space="preserve"> But it is unlikely such disparity is due to the form of the testimony; rather, it is likely attributable to its substance and the courts’ pro-state biases.</w:t>
      </w:r>
      <w:bookmarkStart w:id="135" w:name="co_fnRef_F60507610219_ID0EKMBG_1"/>
      <w:bookmarkEnd w:id="135"/>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"#co_footnote_F60507610219_1"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60</w:t>
      </w:r>
      <w:r>
        <w:rPr>
          <w:rFonts w:ascii="Times New Roman" w:hAnsi="Times New Roman"/>
          <w:color w:val="000000"/>
          <w:sz w:val="16"/>
          <w:szCs w:val="16"/>
        </w:rPr>
        <w:fldChar w:fldCharType="end"/>
      </w:r>
      <w:r>
        <w:rPr>
          <w:rFonts w:ascii="Times New Roman" w:hAnsi="Times New Roman"/>
          <w:color w:val="000000"/>
          <w:sz w:val="20"/>
          <w:szCs w:val="20"/>
        </w:rPr>
        <w:t xml:space="preserve"> In other words, proffering exposition testimony, particularly in states that have explicitly approved that form of evidence, would seem to increase the odds of admission by eliminating </w:t>
      </w:r>
      <w:r>
        <w:rPr>
          <w:rFonts w:ascii="Times New Roman" w:hAnsi="Times New Roman"/>
          <w:i/>
          <w:iCs/>
          <w:color w:val="000000"/>
          <w:sz w:val="20"/>
          <w:szCs w:val="20"/>
        </w:rPr>
        <w:t>Daubert</w:t>
      </w:r>
      <w:r>
        <w:rPr>
          <w:rFonts w:ascii="Times New Roman" w:hAnsi="Times New Roman"/>
          <w:color w:val="000000"/>
          <w:sz w:val="20"/>
          <w:szCs w:val="20"/>
        </w:rPr>
        <w:t>’s sixth prong and, consequently, giving the court less to criticize.</w:t>
      </w:r>
      <w:bookmarkStart w:id="136" w:name="co_fnRef_F61507610219_ID0EQMBG_1"/>
      <w:bookmarkEnd w:id="136"/>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"#co_footnote_F61507610219_1"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61</w:t>
      </w:r>
      <w:r>
        <w:rPr>
          <w:rFonts w:ascii="Times New Roman" w:hAnsi="Times New Roman"/>
          <w:color w:val="000000"/>
          <w:sz w:val="16"/>
          <w:szCs w:val="16"/>
        </w:rPr>
        <w:fldChar w:fldCharType="end"/>
      </w:r>
    </w:p>
    <w:p w14:paraId="6D5726D3"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3794BE3"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137" w:name="co_g_ID0EXMBG_1"/>
      <w:bookmarkEnd w:id="137"/>
      <w:r>
        <w:rPr>
          <w:rFonts w:ascii="Times New Roman" w:hAnsi="Times New Roman"/>
          <w:color w:val="000000"/>
          <w:sz w:val="20"/>
          <w:szCs w:val="20"/>
        </w:rPr>
        <w:t xml:space="preserve">Second, when the expert witness offers only exposition testimony, the jury may actually find the witness to be </w:t>
      </w:r>
      <w:r>
        <w:rPr>
          <w:rFonts w:ascii="Times New Roman" w:hAnsi="Times New Roman"/>
          <w:i/>
          <w:iCs/>
          <w:color w:val="000000"/>
          <w:sz w:val="20"/>
          <w:szCs w:val="20"/>
        </w:rPr>
        <w:t>more credible</w:t>
      </w:r>
      <w:r>
        <w:rPr>
          <w:rFonts w:ascii="Times New Roman" w:hAnsi="Times New Roman"/>
          <w:color w:val="000000"/>
          <w:sz w:val="20"/>
          <w:szCs w:val="20"/>
        </w:rPr>
        <w:t xml:space="preserve"> than if the witness were to apply his or her expertise to the facts of the case. Because the expert is not offering a pro-defendant opinion or conclusion, but instead is educating the jury about general principles, methods, and the findings of published studies, the tried-and-true prosecutorial tactic of branding the witness as a biased, bought-and-paid-for hired gun will be less effective.</w:t>
      </w:r>
    </w:p>
    <w:p w14:paraId="1F611836"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AEA93CD"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138" w:name="co_g_ID0EINBG_1"/>
      <w:bookmarkEnd w:id="138"/>
      <w:r>
        <w:rPr>
          <w:rFonts w:ascii="Times New Roman" w:hAnsi="Times New Roman"/>
          <w:color w:val="000000"/>
          <w:sz w:val="20"/>
          <w:szCs w:val="20"/>
        </w:rPr>
        <w:t xml:space="preserve">Defense counsel should therefore consider this less-is-more strategy in cases where the judge may cause trouble for the defense--whether legitimately, disingenuously, or simply out of ignorance--with regard to </w:t>
      </w:r>
      <w:r>
        <w:rPr>
          <w:rFonts w:ascii="Times New Roman" w:hAnsi="Times New Roman"/>
          <w:i/>
          <w:iCs/>
          <w:color w:val="000000"/>
          <w:sz w:val="20"/>
          <w:szCs w:val="20"/>
        </w:rPr>
        <w:t>Daubert</w:t>
      </w:r>
      <w:r>
        <w:rPr>
          <w:rFonts w:ascii="Times New Roman" w:hAnsi="Times New Roman"/>
          <w:color w:val="000000"/>
          <w:sz w:val="20"/>
          <w:szCs w:val="20"/>
        </w:rPr>
        <w:t xml:space="preserve">’s application prong. And in cases where the judge specifically finds the defense evidence admissible on all other prongs but excludes the expert’s testimony </w:t>
      </w:r>
      <w:r>
        <w:rPr>
          <w:rFonts w:ascii="Times New Roman" w:hAnsi="Times New Roman"/>
          <w:i/>
          <w:iCs/>
          <w:color w:val="000000"/>
          <w:sz w:val="20"/>
          <w:szCs w:val="20"/>
        </w:rPr>
        <w:t>only</w:t>
      </w:r>
      <w:r>
        <w:rPr>
          <w:rFonts w:ascii="Times New Roman" w:hAnsi="Times New Roman"/>
          <w:color w:val="000000"/>
          <w:sz w:val="20"/>
          <w:szCs w:val="20"/>
        </w:rPr>
        <w:t xml:space="preserve"> because he or she failed </w:t>
      </w:r>
      <w:r>
        <w:rPr>
          <w:rFonts w:ascii="Times New Roman" w:hAnsi="Times New Roman"/>
          <w:i/>
          <w:iCs/>
          <w:color w:val="000000"/>
          <w:sz w:val="20"/>
          <w:szCs w:val="20"/>
        </w:rPr>
        <w:t>Daubert</w:t>
      </w:r>
      <w:r>
        <w:rPr>
          <w:rFonts w:ascii="Times New Roman" w:hAnsi="Times New Roman"/>
          <w:color w:val="000000"/>
          <w:sz w:val="20"/>
          <w:szCs w:val="20"/>
        </w:rPr>
        <w:t>’s sixth, application prong, counsel can consider offering (or re-offering) the expert evidence in the form of exposition testimony.</w:t>
      </w:r>
      <w:bookmarkStart w:id="139" w:name="co_fnRef_F62507610219_ID0EYNBG_1"/>
      <w:bookmarkEnd w:id="139"/>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"#co_footnote_F62507610219_1"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62</w:t>
      </w:r>
      <w:r>
        <w:rPr>
          <w:rFonts w:ascii="Times New Roman" w:hAnsi="Times New Roman"/>
          <w:color w:val="000000"/>
          <w:sz w:val="16"/>
          <w:szCs w:val="16"/>
        </w:rPr>
        <w:fldChar w:fldCharType="end"/>
      </w:r>
    </w:p>
    <w:p w14:paraId="4435048D"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0FC7069" w14:textId="77777777" w:rsidR="004D1FA8" w:rsidRDefault="004D1FA8">
      <w:pPr>
        <w:widowControl w:val="0"/>
        <w:autoSpaceDE w:val="0"/>
        <w:autoSpaceDN w:val="0"/>
        <w:adjustRightInd w:val="0"/>
        <w:spacing w:before="200" w:after="200" w:line="240" w:lineRule="auto"/>
        <w:rPr>
          <w:rFonts w:ascii="Times New Roman" w:hAnsi="Times New Roman"/>
          <w:b/>
          <w:bCs/>
          <w:color w:val="000000"/>
          <w:sz w:val="20"/>
          <w:szCs w:val="20"/>
        </w:rPr>
      </w:pPr>
      <w:bookmarkStart w:id="140" w:name="co_g_ID0E6NBG_1"/>
      <w:bookmarkStart w:id="141" w:name="co_pp_sp_233327_112_1"/>
      <w:bookmarkEnd w:id="140"/>
      <w:bookmarkEnd w:id="141"/>
      <w:r>
        <w:rPr>
          <w:rFonts w:ascii="Times New Roman" w:hAnsi="Times New Roman"/>
          <w:b/>
          <w:bCs/>
          <w:color w:val="000000"/>
          <w:sz w:val="20"/>
          <w:szCs w:val="20"/>
        </w:rPr>
        <w:t>*112 CONCLUSION</w:t>
      </w:r>
    </w:p>
    <w:p w14:paraId="2F714828"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bookmarkStart w:id="142" w:name="co_g_ID0ENOBG_1"/>
      <w:bookmarkEnd w:id="142"/>
      <w:r>
        <w:rPr>
          <w:rFonts w:ascii="Times New Roman" w:hAnsi="Times New Roman"/>
          <w:color w:val="000000"/>
          <w:sz w:val="20"/>
          <w:szCs w:val="20"/>
        </w:rPr>
        <w:t xml:space="preserve">In determining the admissibility of expert testimony in criminal trials, many states have modeled their statute on the </w:t>
      </w:r>
      <w:r>
        <w:rPr>
          <w:rFonts w:ascii="Times New Roman" w:hAnsi="Times New Roman"/>
          <w:i/>
          <w:iCs/>
          <w:color w:val="000000"/>
          <w:sz w:val="20"/>
          <w:szCs w:val="20"/>
        </w:rPr>
        <w:t>Daubert</w:t>
      </w:r>
      <w:r>
        <w:rPr>
          <w:rFonts w:ascii="Times New Roman" w:hAnsi="Times New Roman"/>
          <w:color w:val="000000"/>
          <w:sz w:val="20"/>
          <w:szCs w:val="20"/>
        </w:rPr>
        <w:t xml:space="preserve"> reliability standard.</w:t>
      </w:r>
      <w:bookmarkStart w:id="143" w:name="co_fnRef_F63507610219_ID0E5OBG_1"/>
      <w:bookmarkEnd w:id="143"/>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"#co_footnote_F63507610219_1"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63</w:t>
      </w:r>
      <w:r>
        <w:rPr>
          <w:rFonts w:ascii="Times New Roman" w:hAnsi="Times New Roman"/>
          <w:color w:val="000000"/>
          <w:sz w:val="16"/>
          <w:szCs w:val="16"/>
        </w:rPr>
        <w:fldChar w:fldCharType="end"/>
      </w:r>
      <w:r>
        <w:rPr>
          <w:rFonts w:ascii="Times New Roman" w:hAnsi="Times New Roman"/>
          <w:color w:val="000000"/>
          <w:sz w:val="20"/>
          <w:szCs w:val="20"/>
        </w:rPr>
        <w:t xml:space="preserve"> Defense lawyers have long believed, and the evidence now objectively shows, that when ruling on </w:t>
      </w:r>
      <w:r>
        <w:rPr>
          <w:rFonts w:ascii="Times New Roman" w:hAnsi="Times New Roman"/>
          <w:i/>
          <w:iCs/>
          <w:color w:val="000000"/>
          <w:sz w:val="20"/>
          <w:szCs w:val="20"/>
        </w:rPr>
        <w:t>Daubert</w:t>
      </w:r>
      <w:r>
        <w:rPr>
          <w:rFonts w:ascii="Times New Roman" w:hAnsi="Times New Roman"/>
          <w:color w:val="000000"/>
          <w:sz w:val="20"/>
          <w:szCs w:val="20"/>
        </w:rPr>
        <w:t xml:space="preserve"> motions the courts employ a double standard: there is a lax, virtually nonexistent standard for the state’s experts and a strict, hyper-critical standard for defense experts.</w:t>
      </w:r>
      <w:bookmarkStart w:id="144" w:name="co_fnRef_F64507610219_ID0EMPBG_1"/>
      <w:bookmarkEnd w:id="144"/>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"#co_footnote_F64507610219_1"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64</w:t>
      </w:r>
      <w:r>
        <w:rPr>
          <w:rFonts w:ascii="Times New Roman" w:hAnsi="Times New Roman"/>
          <w:color w:val="000000"/>
          <w:sz w:val="16"/>
          <w:szCs w:val="16"/>
        </w:rPr>
        <w:fldChar w:fldCharType="end"/>
      </w:r>
      <w:r>
        <w:rPr>
          <w:rFonts w:ascii="Times New Roman" w:hAnsi="Times New Roman"/>
          <w:color w:val="000000"/>
          <w:sz w:val="20"/>
          <w:szCs w:val="20"/>
        </w:rPr>
        <w:t xml:space="preserve"> In light of this judicial bias, this Article presents two potential strategies for the defense when litigating </w:t>
      </w:r>
      <w:r>
        <w:rPr>
          <w:rFonts w:ascii="Times New Roman" w:hAnsi="Times New Roman"/>
          <w:i/>
          <w:iCs/>
          <w:color w:val="000000"/>
          <w:sz w:val="20"/>
          <w:szCs w:val="20"/>
        </w:rPr>
        <w:t>Daubert</w:t>
      </w:r>
      <w:r>
        <w:rPr>
          <w:rFonts w:ascii="Times New Roman" w:hAnsi="Times New Roman"/>
          <w:color w:val="000000"/>
          <w:sz w:val="20"/>
          <w:szCs w:val="20"/>
        </w:rPr>
        <w:t xml:space="preserve"> issues.</w:t>
      </w:r>
    </w:p>
    <w:p w14:paraId="27EA0278"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76D8A90"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145" w:name="co_g_ID0E5PBG_1"/>
      <w:bookmarkEnd w:id="145"/>
      <w:r>
        <w:rPr>
          <w:rFonts w:ascii="Times New Roman" w:hAnsi="Times New Roman"/>
          <w:color w:val="000000"/>
          <w:sz w:val="20"/>
          <w:szCs w:val="20"/>
        </w:rPr>
        <w:t>First, when moving to exclude a state’s expert, this Article provides a goose-and-the-gander strategy whereby defense counsel identifies relevant, instate cases in which courts have excluded defense experts, and then adapts that judicial reasoning to argue that the state’s expert must also be excluded.</w:t>
      </w:r>
      <w:bookmarkStart w:id="146" w:name="co_fnRef_F65507610219_ID0EGQBG_1"/>
      <w:bookmarkEnd w:id="146"/>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"#co_footnote_F65507610219_1"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65</w:t>
      </w:r>
      <w:r>
        <w:rPr>
          <w:rFonts w:ascii="Times New Roman" w:hAnsi="Times New Roman"/>
          <w:color w:val="000000"/>
          <w:sz w:val="16"/>
          <w:szCs w:val="16"/>
        </w:rPr>
        <w:fldChar w:fldCharType="end"/>
      </w:r>
      <w:r>
        <w:rPr>
          <w:rFonts w:ascii="Times New Roman" w:hAnsi="Times New Roman"/>
          <w:color w:val="000000"/>
          <w:sz w:val="20"/>
          <w:szCs w:val="20"/>
        </w:rPr>
        <w:t xml:space="preserve"> More significantly, this Article illustrates this strategy through a sample motion to exclude a state’s expert witness on Child Sexual Abuse Accommodation Syndrome, a form of </w:t>
      </w:r>
      <w:r>
        <w:rPr>
          <w:rFonts w:ascii="Times New Roman" w:hAnsi="Times New Roman"/>
          <w:color w:val="000000"/>
          <w:sz w:val="20"/>
          <w:szCs w:val="20"/>
        </w:rPr>
        <w:lastRenderedPageBreak/>
        <w:t>“commonality evidence” often used by prosecutors to bolster their star witness’s testimony and explain away any weaknesses in the state’s case.</w:t>
      </w:r>
      <w:bookmarkStart w:id="147" w:name="co_fnRef_F66507610219_ID0EKQBG_1"/>
      <w:bookmarkEnd w:id="147"/>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"#co_footnote_F66507610219_1"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66</w:t>
      </w:r>
      <w:r>
        <w:rPr>
          <w:rFonts w:ascii="Times New Roman" w:hAnsi="Times New Roman"/>
          <w:color w:val="000000"/>
          <w:sz w:val="16"/>
          <w:szCs w:val="16"/>
        </w:rPr>
        <w:fldChar w:fldCharType="end"/>
      </w:r>
    </w:p>
    <w:p w14:paraId="20698F68"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CAF3B23" w14:textId="77777777" w:rsidR="004D1FA8" w:rsidRDefault="004D1FA8">
      <w:pPr>
        <w:widowControl w:val="0"/>
        <w:autoSpaceDE w:val="0"/>
        <w:autoSpaceDN w:val="0"/>
        <w:adjustRightInd w:val="0"/>
        <w:spacing w:after="0" w:line="240" w:lineRule="auto"/>
        <w:jc w:val="both"/>
        <w:rPr>
          <w:rFonts w:ascii="Times New Roman" w:hAnsi="Times New Roman"/>
          <w:color w:val="000000"/>
          <w:sz w:val="16"/>
          <w:szCs w:val="16"/>
        </w:rPr>
      </w:pPr>
      <w:bookmarkStart w:id="148" w:name="co_g_ID0ERQBG_1"/>
      <w:bookmarkEnd w:id="148"/>
      <w:r>
        <w:rPr>
          <w:rFonts w:ascii="Times New Roman" w:hAnsi="Times New Roman"/>
          <w:color w:val="000000"/>
          <w:sz w:val="20"/>
          <w:szCs w:val="20"/>
        </w:rPr>
        <w:t>Second, when attempting to admit a defense expert, this Article provides a less-is-more strategy whereby the defense proffers “exposition testimony,” rather than having the defense expert apply his or her expertise to the facts of the particular case.</w:t>
      </w:r>
      <w:bookmarkStart w:id="149" w:name="co_fnRef_F67507610219_ID0EZQBG_1"/>
      <w:bookmarkEnd w:id="149"/>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"#co_footnote_F67507610219_1"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67</w:t>
      </w:r>
      <w:r>
        <w:rPr>
          <w:rFonts w:ascii="Times New Roman" w:hAnsi="Times New Roman"/>
          <w:color w:val="000000"/>
          <w:sz w:val="16"/>
          <w:szCs w:val="16"/>
        </w:rPr>
        <w:fldChar w:fldCharType="end"/>
      </w:r>
      <w:r>
        <w:rPr>
          <w:rFonts w:ascii="Times New Roman" w:hAnsi="Times New Roman"/>
          <w:color w:val="000000"/>
          <w:sz w:val="20"/>
          <w:szCs w:val="20"/>
        </w:rPr>
        <w:t xml:space="preserve"> Using this form of testimony, which has been explicitly approved in many jurisdictions, eliminates one of </w:t>
      </w:r>
      <w:r>
        <w:rPr>
          <w:rFonts w:ascii="Times New Roman" w:hAnsi="Times New Roman"/>
          <w:i/>
          <w:iCs/>
          <w:color w:val="000000"/>
          <w:sz w:val="20"/>
          <w:szCs w:val="20"/>
        </w:rPr>
        <w:t>Daubert</w:t>
      </w:r>
      <w:r>
        <w:rPr>
          <w:rFonts w:ascii="Times New Roman" w:hAnsi="Times New Roman"/>
          <w:color w:val="000000"/>
          <w:sz w:val="20"/>
          <w:szCs w:val="20"/>
        </w:rPr>
        <w:t>’s multiple prongs (thereby increasing the defendant’s odds of gaining admission of the evidence), and may even increase the witness’s credibility in the eyes of the jury.</w:t>
      </w:r>
      <w:bookmarkStart w:id="150" w:name="co_fnRef_F68507610219_ID0E6QBG_1"/>
      <w:bookmarkEnd w:id="150"/>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"#co_footnote_F68507610219_1" </w:instrText>
      </w:r>
      <w:r w:rsidR="002F2E69">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68</w:t>
      </w:r>
      <w:r>
        <w:rPr>
          <w:rFonts w:ascii="Times New Roman" w:hAnsi="Times New Roman"/>
          <w:color w:val="000000"/>
          <w:sz w:val="16"/>
          <w:szCs w:val="16"/>
        </w:rPr>
        <w:fldChar w:fldCharType="end"/>
      </w:r>
    </w:p>
    <w:p w14:paraId="397C6397"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600"/>
        <w:gridCol w:w="9480"/>
      </w:tblGrid>
      <w:tr w:rsidR="004D1FA8" w:rsidRPr="00B86758" w14:paraId="7276701E" w14:textId="77777777">
        <w:tblPrEx>
          <w:tblCellMar>
            <w:top w:w="0" w:type="dxa"/>
            <w:left w:w="0" w:type="dxa"/>
            <w:bottom w:w="0" w:type="dxa"/>
            <w:right w:w="0" w:type="dxa"/>
          </w:tblCellMar>
        </w:tblPrEx>
        <w:tc>
          <w:tcPr>
            <w:tcW w:w="10080" w:type="dxa"/>
            <w:gridSpan w:val="2"/>
            <w:tcBorders>
              <w:top w:val="nil"/>
              <w:left w:val="nil"/>
              <w:bottom w:val="nil"/>
              <w:right w:val="nil"/>
            </w:tcBorders>
            <w:tcMar>
              <w:bottom w:w="400" w:type="dxa"/>
            </w:tcMar>
          </w:tcPr>
          <w:p w14:paraId="74056255" w14:textId="77777777" w:rsidR="004D1FA8" w:rsidRPr="00B86758" w:rsidRDefault="004D1FA8">
            <w:pPr>
              <w:widowControl w:val="0"/>
              <w:autoSpaceDE w:val="0"/>
              <w:autoSpaceDN w:val="0"/>
              <w:adjustRightInd w:val="0"/>
              <w:spacing w:after="0" w:line="240" w:lineRule="auto"/>
              <w:jc w:val="center"/>
              <w:rPr>
                <w:rFonts w:ascii="Times New Roman" w:hAnsi="Times New Roman"/>
                <w:b/>
                <w:bCs/>
                <w:color w:val="000000"/>
              </w:rPr>
            </w:pPr>
            <w:r w:rsidRPr="00B86758">
              <w:rPr>
                <w:rFonts w:ascii="Times New Roman" w:hAnsi="Times New Roman"/>
                <w:b/>
                <w:bCs/>
                <w:color w:val="000000"/>
              </w:rPr>
              <w:t>Footnotes</w:t>
            </w:r>
          </w:p>
          <w:p w14:paraId="0D9A45DA" w14:textId="77777777" w:rsidR="004D1FA8" w:rsidRPr="00B86758" w:rsidRDefault="004D1FA8">
            <w:pPr>
              <w:widowControl w:val="0"/>
              <w:autoSpaceDE w:val="0"/>
              <w:autoSpaceDN w:val="0"/>
              <w:adjustRightInd w:val="0"/>
              <w:spacing w:after="0" w:line="240" w:lineRule="auto"/>
              <w:jc w:val="center"/>
              <w:rPr>
                <w:rFonts w:ascii="Times New Roman" w:hAnsi="Times New Roman"/>
                <w:b/>
                <w:bCs/>
                <w:color w:val="000000"/>
              </w:rPr>
            </w:pPr>
          </w:p>
        </w:tc>
      </w:tr>
      <w:bookmarkStart w:id="151" w:name="co_footnote_Fa1507610219_1"/>
      <w:bookmarkEnd w:id="151"/>
      <w:tr w:rsidR="004D1FA8" w:rsidRPr="00B86758" w14:paraId="145138AE" w14:textId="77777777">
        <w:tblPrEx>
          <w:tblCellMar>
            <w:top w:w="0" w:type="dxa"/>
            <w:left w:w="0" w:type="dxa"/>
            <w:bottom w:w="0" w:type="dxa"/>
            <w:right w:w="0" w:type="dxa"/>
          </w:tblCellMar>
        </w:tblPrEx>
        <w:tc>
          <w:tcPr>
            <w:tcW w:w="600" w:type="dxa"/>
            <w:tcBorders>
              <w:top w:val="nil"/>
              <w:left w:val="nil"/>
              <w:bottom w:val="nil"/>
              <w:right w:val="nil"/>
            </w:tcBorders>
          </w:tcPr>
          <w:p w14:paraId="44B82A6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"#co_fnRef_Fa1507610219_ID0E3HAC_1"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a1</w:t>
            </w:r>
            <w:r w:rsidRPr="00B86758">
              <w:rPr>
                <w:rFonts w:ascii="Times New Roman" w:hAnsi="Times New Roman"/>
                <w:color w:val="000000"/>
                <w:sz w:val="20"/>
                <w:szCs w:val="20"/>
              </w:rPr>
              <w:fldChar w:fldCharType="end"/>
            </w:r>
          </w:p>
          <w:p w14:paraId="683EB243"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4849AB2D"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Criminal Defense Lawyer, Cicchini Law Office LLC, Kenosha, Wisconsin. J.D., </w:t>
            </w:r>
            <w:r w:rsidRPr="00B86758">
              <w:rPr>
                <w:rFonts w:ascii="Times New Roman" w:hAnsi="Times New Roman"/>
                <w:i/>
                <w:iCs/>
                <w:color w:val="000000"/>
                <w:sz w:val="20"/>
                <w:szCs w:val="20"/>
              </w:rPr>
              <w:t>summa cum laude</w:t>
            </w:r>
            <w:r w:rsidRPr="00B86758">
              <w:rPr>
                <w:rFonts w:ascii="Times New Roman" w:hAnsi="Times New Roman"/>
                <w:color w:val="000000"/>
                <w:sz w:val="20"/>
                <w:szCs w:val="20"/>
              </w:rPr>
              <w:t xml:space="preserve">, Marquette University Law School (1999); C.P.A., University of Illinois Board of Examiners (1997); M.B.A., Marquette University Graduate School (1994); B.S., University of Wisconsin--Parkside (1990). Thanks to Attorney Bernardo Cueto for his valuable comments on </w:t>
            </w:r>
            <w:r w:rsidRPr="00B86758">
              <w:rPr>
                <w:rFonts w:ascii="Times New Roman" w:hAnsi="Times New Roman"/>
                <w:i/>
                <w:iCs/>
                <w:color w:val="000000"/>
                <w:sz w:val="20"/>
                <w:szCs w:val="20"/>
              </w:rPr>
              <w:t>Daubert</w:t>
            </w:r>
            <w:r w:rsidRPr="00B86758">
              <w:rPr>
                <w:rFonts w:ascii="Times New Roman" w:hAnsi="Times New Roman"/>
                <w:color w:val="000000"/>
                <w:sz w:val="20"/>
                <w:szCs w:val="20"/>
              </w:rPr>
              <w:t xml:space="preserve"> litigation.</w:t>
            </w:r>
          </w:p>
          <w:p w14:paraId="4D38BA55"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52" w:name="co_footnote_F1507610219_1"/>
      <w:bookmarkEnd w:id="152"/>
      <w:tr w:rsidR="004D1FA8" w:rsidRPr="00B86758" w14:paraId="688E524A" w14:textId="77777777">
        <w:tblPrEx>
          <w:tblCellMar>
            <w:top w:w="0" w:type="dxa"/>
            <w:left w:w="0" w:type="dxa"/>
            <w:bottom w:w="0" w:type="dxa"/>
            <w:right w:w="0" w:type="dxa"/>
          </w:tblCellMar>
        </w:tblPrEx>
        <w:tc>
          <w:tcPr>
            <w:tcW w:w="600" w:type="dxa"/>
            <w:tcBorders>
              <w:top w:val="nil"/>
              <w:left w:val="nil"/>
              <w:bottom w:val="nil"/>
              <w:right w:val="nil"/>
            </w:tcBorders>
          </w:tcPr>
          <w:p w14:paraId="0AF830F9"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"#co_fnRef_F1507610219_ID0EMJAC_1"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1</w:t>
            </w:r>
            <w:r w:rsidRPr="00B86758">
              <w:rPr>
                <w:rFonts w:ascii="Times New Roman" w:hAnsi="Times New Roman"/>
                <w:color w:val="000000"/>
                <w:sz w:val="20"/>
                <w:szCs w:val="20"/>
              </w:rPr>
              <w:fldChar w:fldCharType="end"/>
            </w:r>
          </w:p>
          <w:p w14:paraId="6E7B780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11B98263"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 infra</w:t>
            </w:r>
            <w:r w:rsidRPr="00B86758">
              <w:rPr>
                <w:rFonts w:ascii="Times New Roman" w:hAnsi="Times New Roman"/>
                <w:color w:val="000000"/>
                <w:sz w:val="20"/>
                <w:szCs w:val="20"/>
              </w:rPr>
              <w:t xml:space="preserve"> Part I.</w:t>
            </w:r>
          </w:p>
          <w:p w14:paraId="14CBC697"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53" w:name="co_footnote_F2507610219_1"/>
      <w:bookmarkEnd w:id="153"/>
      <w:tr w:rsidR="004D1FA8" w:rsidRPr="00B86758" w14:paraId="09A174C6" w14:textId="77777777">
        <w:tblPrEx>
          <w:tblCellMar>
            <w:top w:w="0" w:type="dxa"/>
            <w:left w:w="0" w:type="dxa"/>
            <w:bottom w:w="0" w:type="dxa"/>
            <w:right w:w="0" w:type="dxa"/>
          </w:tblCellMar>
        </w:tblPrEx>
        <w:tc>
          <w:tcPr>
            <w:tcW w:w="600" w:type="dxa"/>
            <w:tcBorders>
              <w:top w:val="nil"/>
              <w:left w:val="nil"/>
              <w:bottom w:val="nil"/>
              <w:right w:val="nil"/>
            </w:tcBorders>
          </w:tcPr>
          <w:p w14:paraId="36F7CD0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"#co_fnRef_F2507610219_ID0ETJAC_1"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2</w:t>
            </w:r>
            <w:r w:rsidRPr="00B86758">
              <w:rPr>
                <w:rFonts w:ascii="Times New Roman" w:hAnsi="Times New Roman"/>
                <w:color w:val="000000"/>
                <w:sz w:val="20"/>
                <w:szCs w:val="20"/>
              </w:rPr>
              <w:fldChar w:fldCharType="end"/>
            </w:r>
          </w:p>
          <w:p w14:paraId="5B807D52"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6B54AA72"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See id.</w:t>
            </w:r>
          </w:p>
          <w:p w14:paraId="2A1BDAB1"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154" w:name="co_footnote_F3507610219_1"/>
      <w:bookmarkEnd w:id="154"/>
      <w:tr w:rsidR="004D1FA8" w:rsidRPr="00B86758" w14:paraId="0B243D03" w14:textId="77777777">
        <w:tblPrEx>
          <w:tblCellMar>
            <w:top w:w="0" w:type="dxa"/>
            <w:left w:w="0" w:type="dxa"/>
            <w:bottom w:w="0" w:type="dxa"/>
            <w:right w:w="0" w:type="dxa"/>
          </w:tblCellMar>
        </w:tblPrEx>
        <w:tc>
          <w:tcPr>
            <w:tcW w:w="600" w:type="dxa"/>
            <w:tcBorders>
              <w:top w:val="nil"/>
              <w:left w:val="nil"/>
              <w:bottom w:val="nil"/>
              <w:right w:val="nil"/>
            </w:tcBorders>
          </w:tcPr>
          <w:p w14:paraId="12097373"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"#co_fnRef_F3507610219_ID0EUKAC_1"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3</w:t>
            </w:r>
            <w:r w:rsidRPr="00B86758">
              <w:rPr>
                <w:rFonts w:ascii="Times New Roman" w:hAnsi="Times New Roman"/>
                <w:color w:val="000000"/>
                <w:sz w:val="20"/>
                <w:szCs w:val="20"/>
              </w:rPr>
              <w:fldChar w:fldCharType="end"/>
            </w:r>
          </w:p>
          <w:p w14:paraId="0F9EBA0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575266D1"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 infra</w:t>
            </w:r>
            <w:r w:rsidRPr="00B86758">
              <w:rPr>
                <w:rFonts w:ascii="Times New Roman" w:hAnsi="Times New Roman"/>
                <w:color w:val="000000"/>
                <w:sz w:val="20"/>
                <w:szCs w:val="20"/>
              </w:rPr>
              <w:t xml:space="preserve"> Part II.</w:t>
            </w:r>
          </w:p>
          <w:p w14:paraId="0F3F517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55" w:name="co_footnote_F4507610219_1"/>
      <w:bookmarkEnd w:id="155"/>
      <w:tr w:rsidR="004D1FA8" w:rsidRPr="00B86758" w14:paraId="28601D32" w14:textId="77777777">
        <w:tblPrEx>
          <w:tblCellMar>
            <w:top w:w="0" w:type="dxa"/>
            <w:left w:w="0" w:type="dxa"/>
            <w:bottom w:w="0" w:type="dxa"/>
            <w:right w:w="0" w:type="dxa"/>
          </w:tblCellMar>
        </w:tblPrEx>
        <w:tc>
          <w:tcPr>
            <w:tcW w:w="600" w:type="dxa"/>
            <w:tcBorders>
              <w:top w:val="nil"/>
              <w:left w:val="nil"/>
              <w:bottom w:val="nil"/>
              <w:right w:val="nil"/>
            </w:tcBorders>
          </w:tcPr>
          <w:p w14:paraId="08455138"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"#co_fnRef_F4507610219_ID0EYKAC_1"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4</w:t>
            </w:r>
            <w:r w:rsidRPr="00B86758">
              <w:rPr>
                <w:rFonts w:ascii="Times New Roman" w:hAnsi="Times New Roman"/>
                <w:color w:val="000000"/>
                <w:sz w:val="20"/>
                <w:szCs w:val="20"/>
              </w:rPr>
              <w:fldChar w:fldCharType="end"/>
            </w:r>
          </w:p>
          <w:p w14:paraId="66497C80"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2C3A2C51"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See id.</w:t>
            </w:r>
          </w:p>
          <w:p w14:paraId="4EC2F5E4"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156" w:name="co_footnote_F5507610219_1"/>
      <w:bookmarkEnd w:id="156"/>
      <w:tr w:rsidR="004D1FA8" w:rsidRPr="00B86758" w14:paraId="5512D8EF" w14:textId="77777777">
        <w:tblPrEx>
          <w:tblCellMar>
            <w:top w:w="0" w:type="dxa"/>
            <w:left w:w="0" w:type="dxa"/>
            <w:bottom w:w="0" w:type="dxa"/>
            <w:right w:w="0" w:type="dxa"/>
          </w:tblCellMar>
        </w:tblPrEx>
        <w:tc>
          <w:tcPr>
            <w:tcW w:w="600" w:type="dxa"/>
            <w:tcBorders>
              <w:top w:val="nil"/>
              <w:left w:val="nil"/>
              <w:bottom w:val="nil"/>
              <w:right w:val="nil"/>
            </w:tcBorders>
          </w:tcPr>
          <w:p w14:paraId="0A4CDA30"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"#co_fnRef_F5507610219_ID0EPLAC_1"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5</w:t>
            </w:r>
            <w:r w:rsidRPr="00B86758">
              <w:rPr>
                <w:rFonts w:ascii="Times New Roman" w:hAnsi="Times New Roman"/>
                <w:color w:val="000000"/>
                <w:sz w:val="20"/>
                <w:szCs w:val="20"/>
              </w:rPr>
              <w:fldChar w:fldCharType="end"/>
            </w:r>
          </w:p>
          <w:p w14:paraId="415B20C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60064F9B"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 infra</w:t>
            </w:r>
            <w:r w:rsidRPr="00B86758">
              <w:rPr>
                <w:rFonts w:ascii="Times New Roman" w:hAnsi="Times New Roman"/>
                <w:color w:val="000000"/>
                <w:sz w:val="20"/>
                <w:szCs w:val="20"/>
              </w:rPr>
              <w:t xml:space="preserve"> Part III.</w:t>
            </w:r>
          </w:p>
          <w:p w14:paraId="6D28E62A"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57" w:name="co_footnote_F6507610219_1"/>
      <w:bookmarkEnd w:id="157"/>
      <w:tr w:rsidR="004D1FA8" w:rsidRPr="00B86758" w14:paraId="40EA1AE7" w14:textId="77777777">
        <w:tblPrEx>
          <w:tblCellMar>
            <w:top w:w="0" w:type="dxa"/>
            <w:left w:w="0" w:type="dxa"/>
            <w:bottom w:w="0" w:type="dxa"/>
            <w:right w:w="0" w:type="dxa"/>
          </w:tblCellMar>
        </w:tblPrEx>
        <w:tc>
          <w:tcPr>
            <w:tcW w:w="600" w:type="dxa"/>
            <w:tcBorders>
              <w:top w:val="nil"/>
              <w:left w:val="nil"/>
              <w:bottom w:val="nil"/>
              <w:right w:val="nil"/>
            </w:tcBorders>
          </w:tcPr>
          <w:p w14:paraId="4F193672"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"#co_fnRef_F6507610219_ID0EVLAC_1"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6</w:t>
            </w:r>
            <w:r w:rsidRPr="00B86758">
              <w:rPr>
                <w:rFonts w:ascii="Times New Roman" w:hAnsi="Times New Roman"/>
                <w:color w:val="000000"/>
                <w:sz w:val="20"/>
                <w:szCs w:val="20"/>
              </w:rPr>
              <w:fldChar w:fldCharType="end"/>
            </w:r>
          </w:p>
          <w:p w14:paraId="154A834A"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669B797C"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See id.</w:t>
            </w:r>
          </w:p>
          <w:p w14:paraId="75906E73"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158" w:name="co_footnote_F7507610219_1"/>
      <w:bookmarkEnd w:id="158"/>
      <w:tr w:rsidR="004D1FA8" w:rsidRPr="00B86758" w14:paraId="6E9FBA7D" w14:textId="77777777">
        <w:tblPrEx>
          <w:tblCellMar>
            <w:top w:w="0" w:type="dxa"/>
            <w:left w:w="0" w:type="dxa"/>
            <w:bottom w:w="0" w:type="dxa"/>
            <w:right w:w="0" w:type="dxa"/>
          </w:tblCellMar>
        </w:tblPrEx>
        <w:tc>
          <w:tcPr>
            <w:tcW w:w="600" w:type="dxa"/>
            <w:tcBorders>
              <w:top w:val="nil"/>
              <w:left w:val="nil"/>
              <w:bottom w:val="nil"/>
              <w:right w:val="nil"/>
            </w:tcBorders>
          </w:tcPr>
          <w:p w14:paraId="7016E3C3"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"#co_fnRef_F7507610219_ID0EONAC_1"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7</w:t>
            </w:r>
            <w:r w:rsidRPr="00B86758">
              <w:rPr>
                <w:rFonts w:ascii="Times New Roman" w:hAnsi="Times New Roman"/>
                <w:color w:val="000000"/>
                <w:sz w:val="20"/>
                <w:szCs w:val="20"/>
              </w:rPr>
              <w:fldChar w:fldCharType="end"/>
            </w:r>
          </w:p>
          <w:p w14:paraId="392C937F"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7E233916"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w:t>
            </w:r>
            <w:r w:rsidRPr="00B86758">
              <w:rPr>
                <w:rFonts w:ascii="Times New Roman" w:hAnsi="Times New Roman"/>
                <w:color w:val="000000"/>
                <w:sz w:val="20"/>
                <w:szCs w:val="20"/>
              </w:rPr>
              <w:t xml:space="preserve"> </w:t>
            </w:r>
            <w:hyperlink r:id="rId29" w:history="1">
              <w:r w:rsidRPr="00B86758">
                <w:rPr>
                  <w:rFonts w:ascii="Times New Roman" w:hAnsi="Times New Roman"/>
                  <w:color w:val="0000FF"/>
                  <w:sz w:val="20"/>
                  <w:szCs w:val="20"/>
                </w:rPr>
                <w:t>Daubert v. Merrell Dow Pharm., Inc., 509 U.S. 579, 597 (1993)</w:t>
              </w:r>
            </w:hyperlink>
            <w:r w:rsidRPr="00B86758">
              <w:rPr>
                <w:rFonts w:ascii="Times New Roman" w:hAnsi="Times New Roman"/>
                <w:color w:val="000000"/>
                <w:sz w:val="20"/>
                <w:szCs w:val="20"/>
              </w:rPr>
              <w:t xml:space="preserve">. For the so-called </w:t>
            </w:r>
            <w:r w:rsidRPr="00B86758">
              <w:rPr>
                <w:rFonts w:ascii="Times New Roman" w:hAnsi="Times New Roman"/>
                <w:i/>
                <w:iCs/>
                <w:color w:val="000000"/>
                <w:sz w:val="20"/>
                <w:szCs w:val="20"/>
              </w:rPr>
              <w:t>Daubert</w:t>
            </w:r>
            <w:r w:rsidRPr="00B86758">
              <w:rPr>
                <w:rFonts w:ascii="Times New Roman" w:hAnsi="Times New Roman"/>
                <w:color w:val="000000"/>
                <w:sz w:val="20"/>
                <w:szCs w:val="20"/>
              </w:rPr>
              <w:t xml:space="preserve"> trilogy of cases, see also </w:t>
            </w:r>
            <w:hyperlink r:id="rId30" w:history="1">
              <w:r w:rsidRPr="00B86758">
                <w:rPr>
                  <w:rFonts w:ascii="Times New Roman" w:hAnsi="Times New Roman"/>
                  <w:color w:val="0000FF"/>
                  <w:sz w:val="20"/>
                  <w:szCs w:val="20"/>
                </w:rPr>
                <w:t>General Electric Co. v. Joiner, 522 U.S. 136 (1997)</w:t>
              </w:r>
            </w:hyperlink>
            <w:r w:rsidRPr="00B86758">
              <w:rPr>
                <w:rFonts w:ascii="Times New Roman" w:hAnsi="Times New Roman"/>
                <w:color w:val="000000"/>
                <w:sz w:val="20"/>
                <w:szCs w:val="20"/>
              </w:rPr>
              <w:t xml:space="preserve"> and </w:t>
            </w:r>
            <w:hyperlink r:id="rId31" w:history="1">
              <w:r w:rsidRPr="00B86758">
                <w:rPr>
                  <w:rFonts w:ascii="Times New Roman" w:hAnsi="Times New Roman"/>
                  <w:color w:val="0000FF"/>
                  <w:sz w:val="20"/>
                  <w:szCs w:val="20"/>
                </w:rPr>
                <w:t>Kumho Tire Co. v. Carmichael, 526 U.S. 137 (1999)</w:t>
              </w:r>
            </w:hyperlink>
            <w:r w:rsidRPr="00B86758">
              <w:rPr>
                <w:rFonts w:ascii="Times New Roman" w:hAnsi="Times New Roman"/>
                <w:color w:val="000000"/>
                <w:sz w:val="20"/>
                <w:szCs w:val="20"/>
              </w:rPr>
              <w:t xml:space="preserve">. Many state court decisions, however, will turn on the language of the state’s statute, and state court decisions interpreting it, without even mentioning </w:t>
            </w:r>
            <w:r w:rsidRPr="00B86758">
              <w:rPr>
                <w:rFonts w:ascii="Times New Roman" w:hAnsi="Times New Roman"/>
                <w:i/>
                <w:iCs/>
                <w:color w:val="000000"/>
                <w:sz w:val="20"/>
                <w:szCs w:val="20"/>
              </w:rPr>
              <w:t>Daubert</w:t>
            </w:r>
            <w:r w:rsidRPr="00B86758">
              <w:rPr>
                <w:rFonts w:ascii="Times New Roman" w:hAnsi="Times New Roman"/>
                <w:color w:val="000000"/>
                <w:sz w:val="20"/>
                <w:szCs w:val="20"/>
              </w:rPr>
              <w:t xml:space="preserve"> or the </w:t>
            </w:r>
            <w:r w:rsidRPr="00B86758">
              <w:rPr>
                <w:rFonts w:ascii="Times New Roman" w:hAnsi="Times New Roman"/>
                <w:i/>
                <w:iCs/>
                <w:color w:val="000000"/>
                <w:sz w:val="20"/>
                <w:szCs w:val="20"/>
              </w:rPr>
              <w:t>Daubert</w:t>
            </w:r>
            <w:r w:rsidRPr="00B86758">
              <w:rPr>
                <w:rFonts w:ascii="Times New Roman" w:hAnsi="Times New Roman"/>
                <w:color w:val="000000"/>
                <w:sz w:val="20"/>
                <w:szCs w:val="20"/>
              </w:rPr>
              <w:t xml:space="preserve"> trilogy.</w:t>
            </w:r>
          </w:p>
          <w:p w14:paraId="28520BE9"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59" w:name="co_footnote_F8507610219_1"/>
      <w:bookmarkEnd w:id="159"/>
      <w:tr w:rsidR="004D1FA8" w:rsidRPr="00B86758" w14:paraId="0D7C0EA7" w14:textId="77777777">
        <w:tblPrEx>
          <w:tblCellMar>
            <w:top w:w="0" w:type="dxa"/>
            <w:left w:w="0" w:type="dxa"/>
            <w:bottom w:w="0" w:type="dxa"/>
            <w:right w:w="0" w:type="dxa"/>
          </w:tblCellMar>
        </w:tblPrEx>
        <w:tc>
          <w:tcPr>
            <w:tcW w:w="600" w:type="dxa"/>
            <w:tcBorders>
              <w:top w:val="nil"/>
              <w:left w:val="nil"/>
              <w:bottom w:val="nil"/>
              <w:right w:val="nil"/>
            </w:tcBorders>
          </w:tcPr>
          <w:p w14:paraId="00C24D3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"#co_fnRef_F8507610219_ID0EBOAC_1"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8</w:t>
            </w:r>
            <w:r w:rsidRPr="00B86758">
              <w:rPr>
                <w:rFonts w:ascii="Times New Roman" w:hAnsi="Times New Roman"/>
                <w:color w:val="000000"/>
                <w:sz w:val="20"/>
                <w:szCs w:val="20"/>
              </w:rPr>
              <w:fldChar w:fldCharType="end"/>
            </w:r>
          </w:p>
          <w:p w14:paraId="3919F28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3379146F"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32" w:history="1">
              <w:r w:rsidRPr="00B86758">
                <w:rPr>
                  <w:rFonts w:ascii="Times New Roman" w:hAnsi="Times New Roman"/>
                  <w:color w:val="0000FF"/>
                  <w:sz w:val="20"/>
                  <w:szCs w:val="20"/>
                </w:rPr>
                <w:t>WIS. STAT. § 907.02</w:t>
              </w:r>
            </w:hyperlink>
            <w:r w:rsidRPr="00B86758">
              <w:rPr>
                <w:rFonts w:ascii="Times New Roman" w:hAnsi="Times New Roman"/>
                <w:color w:val="000000"/>
                <w:sz w:val="20"/>
                <w:szCs w:val="20"/>
              </w:rPr>
              <w:t xml:space="preserve"> (2020) (parenthetical numbers added) (adopting and codifying </w:t>
            </w:r>
            <w:r w:rsidRPr="00B86758">
              <w:rPr>
                <w:rFonts w:ascii="Times New Roman" w:hAnsi="Times New Roman"/>
                <w:i/>
                <w:iCs/>
                <w:color w:val="000000"/>
                <w:sz w:val="20"/>
                <w:szCs w:val="20"/>
              </w:rPr>
              <w:t>Daubert</w:t>
            </w:r>
            <w:r w:rsidRPr="00B86758">
              <w:rPr>
                <w:rFonts w:ascii="Times New Roman" w:hAnsi="Times New Roman"/>
                <w:color w:val="000000"/>
                <w:sz w:val="20"/>
                <w:szCs w:val="20"/>
              </w:rPr>
              <w:t xml:space="preserve">). These three elements are not unique to </w:t>
            </w:r>
            <w:r w:rsidRPr="00B86758">
              <w:rPr>
                <w:rFonts w:ascii="Times New Roman" w:hAnsi="Times New Roman"/>
                <w:i/>
                <w:iCs/>
                <w:color w:val="000000"/>
                <w:sz w:val="20"/>
                <w:szCs w:val="20"/>
              </w:rPr>
              <w:t>Daubert</w:t>
            </w:r>
            <w:r w:rsidRPr="00B86758">
              <w:rPr>
                <w:rFonts w:ascii="Times New Roman" w:hAnsi="Times New Roman"/>
                <w:color w:val="000000"/>
                <w:sz w:val="20"/>
                <w:szCs w:val="20"/>
              </w:rPr>
              <w:t xml:space="preserve">; there are often elements of other, lower standards of admissibility. </w:t>
            </w:r>
            <w:r w:rsidRPr="00B86758">
              <w:rPr>
                <w:rFonts w:ascii="Times New Roman" w:hAnsi="Times New Roman"/>
                <w:i/>
                <w:iCs/>
                <w:color w:val="000000"/>
                <w:sz w:val="20"/>
                <w:szCs w:val="20"/>
              </w:rPr>
              <w:t>See, e.g.</w:t>
            </w:r>
            <w:r w:rsidRPr="00B86758">
              <w:rPr>
                <w:rFonts w:ascii="Times New Roman" w:hAnsi="Times New Roman"/>
                <w:color w:val="000000"/>
                <w:sz w:val="20"/>
                <w:szCs w:val="20"/>
              </w:rPr>
              <w:t xml:space="preserve">, </w:t>
            </w:r>
            <w:hyperlink r:id="rId33" w:history="1">
              <w:r w:rsidRPr="00B86758">
                <w:rPr>
                  <w:rFonts w:ascii="Times New Roman" w:hAnsi="Times New Roman"/>
                  <w:color w:val="0000FF"/>
                  <w:sz w:val="20"/>
                  <w:szCs w:val="20"/>
                </w:rPr>
                <w:t>N.J.R. EVID. 702</w:t>
              </w:r>
            </w:hyperlink>
            <w:r w:rsidRPr="00B86758">
              <w:rPr>
                <w:rFonts w:ascii="Times New Roman" w:hAnsi="Times New Roman"/>
                <w:color w:val="000000"/>
                <w:sz w:val="20"/>
                <w:szCs w:val="20"/>
              </w:rPr>
              <w:t xml:space="preserve"> (2020).</w:t>
            </w:r>
          </w:p>
          <w:p w14:paraId="4711B5E6"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60" w:name="co_footnote_F9507610219_1"/>
      <w:bookmarkEnd w:id="160"/>
      <w:tr w:rsidR="004D1FA8" w:rsidRPr="00B86758" w14:paraId="66AE8113" w14:textId="77777777">
        <w:tblPrEx>
          <w:tblCellMar>
            <w:top w:w="0" w:type="dxa"/>
            <w:left w:w="0" w:type="dxa"/>
            <w:bottom w:w="0" w:type="dxa"/>
            <w:right w:w="0" w:type="dxa"/>
          </w:tblCellMar>
        </w:tblPrEx>
        <w:tc>
          <w:tcPr>
            <w:tcW w:w="600" w:type="dxa"/>
            <w:tcBorders>
              <w:top w:val="nil"/>
              <w:left w:val="nil"/>
              <w:bottom w:val="nil"/>
              <w:right w:val="nil"/>
            </w:tcBorders>
          </w:tcPr>
          <w:p w14:paraId="6B4AC4D4"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"#co_fnRef_F9507610219_ID0EGPAC_1"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9</w:t>
            </w:r>
            <w:r w:rsidRPr="00B86758">
              <w:rPr>
                <w:rFonts w:ascii="Times New Roman" w:hAnsi="Times New Roman"/>
                <w:color w:val="000000"/>
                <w:sz w:val="20"/>
                <w:szCs w:val="20"/>
              </w:rPr>
              <w:fldChar w:fldCharType="end"/>
            </w:r>
          </w:p>
          <w:p w14:paraId="2E6DE0A5"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484FD58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Before adopting and codifying </w:t>
            </w:r>
            <w:r w:rsidRPr="00B86758">
              <w:rPr>
                <w:rFonts w:ascii="Times New Roman" w:hAnsi="Times New Roman"/>
                <w:i/>
                <w:iCs/>
                <w:color w:val="000000"/>
                <w:sz w:val="20"/>
                <w:szCs w:val="20"/>
              </w:rPr>
              <w:t>Daubert</w:t>
            </w:r>
            <w:r w:rsidRPr="00B86758">
              <w:rPr>
                <w:rFonts w:ascii="Times New Roman" w:hAnsi="Times New Roman"/>
                <w:color w:val="000000"/>
                <w:sz w:val="20"/>
                <w:szCs w:val="20"/>
              </w:rPr>
              <w:t xml:space="preserve">, Wisconsin, for example, used a mere relevancy standard for the admissibility of expert testimony: “the trial judge merely require[d] the evidence to be an aid to the jury or reliable enough to be probative. Simply stated, this [was] a relevancy test.” </w:t>
            </w:r>
            <w:hyperlink r:id="rId34" w:history="1">
              <w:r w:rsidRPr="00B86758">
                <w:rPr>
                  <w:rFonts w:ascii="Times New Roman" w:hAnsi="Times New Roman"/>
                  <w:color w:val="0000FF"/>
                  <w:sz w:val="20"/>
                  <w:szCs w:val="20"/>
                </w:rPr>
                <w:t>State v. Jones, 791 N.W.2d 390, 396 (Wis. Ct. App. 2011)</w:t>
              </w:r>
            </w:hyperlink>
            <w:r w:rsidRPr="00B86758">
              <w:rPr>
                <w:rFonts w:ascii="Times New Roman" w:hAnsi="Times New Roman"/>
                <w:color w:val="000000"/>
                <w:sz w:val="20"/>
                <w:szCs w:val="20"/>
              </w:rPr>
              <w:t xml:space="preserve"> (internal punctuation and citations omitted).</w:t>
            </w:r>
          </w:p>
          <w:p w14:paraId="39BEC594"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61" w:name="co_footnote_F10507610219_1"/>
      <w:bookmarkEnd w:id="161"/>
      <w:tr w:rsidR="004D1FA8" w:rsidRPr="00B86758" w14:paraId="6C02BF9E" w14:textId="77777777">
        <w:tblPrEx>
          <w:tblCellMar>
            <w:top w:w="0" w:type="dxa"/>
            <w:left w:w="0" w:type="dxa"/>
            <w:bottom w:w="0" w:type="dxa"/>
            <w:right w:w="0" w:type="dxa"/>
          </w:tblCellMar>
        </w:tblPrEx>
        <w:tc>
          <w:tcPr>
            <w:tcW w:w="600" w:type="dxa"/>
            <w:tcBorders>
              <w:top w:val="nil"/>
              <w:left w:val="nil"/>
              <w:bottom w:val="nil"/>
              <w:right w:val="nil"/>
            </w:tcBorders>
          </w:tcPr>
          <w:p w14:paraId="4F9AAC97"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"#co_fnRef_F10507610219_ID0EUPAC_1"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10</w:t>
            </w:r>
            <w:r w:rsidRPr="00B86758">
              <w:rPr>
                <w:rFonts w:ascii="Times New Roman" w:hAnsi="Times New Roman"/>
                <w:color w:val="000000"/>
                <w:sz w:val="20"/>
                <w:szCs w:val="20"/>
              </w:rPr>
              <w:fldChar w:fldCharType="end"/>
            </w:r>
          </w:p>
          <w:p w14:paraId="7BDBEBE7"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3EF5EEF6"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35" w:history="1">
              <w:r w:rsidRPr="00B86758">
                <w:rPr>
                  <w:rFonts w:ascii="Times New Roman" w:hAnsi="Times New Roman"/>
                  <w:color w:val="0000FF"/>
                  <w:sz w:val="20"/>
                  <w:szCs w:val="20"/>
                </w:rPr>
                <w:t>Frye v. United States, 293 F. 1013, 1014 (D.C. Cir. 1923)</w:t>
              </w:r>
            </w:hyperlink>
            <w:r w:rsidRPr="00B86758">
              <w:rPr>
                <w:rFonts w:ascii="Times New Roman" w:hAnsi="Times New Roman"/>
                <w:color w:val="000000"/>
                <w:sz w:val="20"/>
                <w:szCs w:val="20"/>
              </w:rPr>
              <w:t xml:space="preserve"> (requiring that the science about which the expert would </w:t>
            </w:r>
            <w:r w:rsidRPr="00B86758">
              <w:rPr>
                <w:rFonts w:ascii="Times New Roman" w:hAnsi="Times New Roman"/>
                <w:color w:val="000000"/>
                <w:sz w:val="20"/>
                <w:szCs w:val="20"/>
              </w:rPr>
              <w:lastRenderedPageBreak/>
              <w:t>testify has “gained general acceptance in the particular field in which it belongs”).</w:t>
            </w:r>
          </w:p>
          <w:p w14:paraId="7BDD1886"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62" w:name="co_footnote_F11507610219_1"/>
      <w:bookmarkEnd w:id="162"/>
      <w:tr w:rsidR="004D1FA8" w:rsidRPr="00B86758" w14:paraId="0FDF56BC" w14:textId="77777777">
        <w:tblPrEx>
          <w:tblCellMar>
            <w:top w:w="0" w:type="dxa"/>
            <w:left w:w="0" w:type="dxa"/>
            <w:bottom w:w="0" w:type="dxa"/>
            <w:right w:w="0" w:type="dxa"/>
          </w:tblCellMar>
        </w:tblPrEx>
        <w:tc>
          <w:tcPr>
            <w:tcW w:w="600" w:type="dxa"/>
            <w:tcBorders>
              <w:top w:val="nil"/>
              <w:left w:val="nil"/>
              <w:bottom w:val="nil"/>
              <w:right w:val="nil"/>
            </w:tcBorders>
          </w:tcPr>
          <w:p w14:paraId="407E02D0"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lastRenderedPageBreak/>
              <w:fldChar w:fldCharType="begin"/>
            </w:r>
            <w:r w:rsidRPr="00B86758">
              <w:rPr>
                <w:rFonts w:ascii="Times New Roman" w:hAnsi="Times New Roman"/>
                <w:color w:val="000000"/>
                <w:sz w:val="20"/>
                <w:szCs w:val="20"/>
              </w:rPr>
              <w:instrText xml:space="preserve">HYPERLINK "#co_fnRef_F11507610219_ID0EHAAE_1"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11</w:t>
            </w:r>
            <w:r w:rsidRPr="00B86758">
              <w:rPr>
                <w:rFonts w:ascii="Times New Roman" w:hAnsi="Times New Roman"/>
                <w:color w:val="000000"/>
                <w:sz w:val="20"/>
                <w:szCs w:val="20"/>
              </w:rPr>
              <w:fldChar w:fldCharType="end"/>
            </w:r>
          </w:p>
          <w:p w14:paraId="3D3ECD7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2D5E0BC7"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36" w:history="1">
              <w:r w:rsidRPr="00B86758">
                <w:rPr>
                  <w:rFonts w:ascii="Times New Roman" w:hAnsi="Times New Roman"/>
                  <w:color w:val="0000FF"/>
                  <w:sz w:val="20"/>
                  <w:szCs w:val="20"/>
                </w:rPr>
                <w:t>WIS. STAT. § 907.02</w:t>
              </w:r>
            </w:hyperlink>
            <w:r w:rsidRPr="00B86758">
              <w:rPr>
                <w:rFonts w:ascii="Times New Roman" w:hAnsi="Times New Roman"/>
                <w:color w:val="000000"/>
                <w:sz w:val="20"/>
                <w:szCs w:val="20"/>
              </w:rPr>
              <w:t xml:space="preserve"> (2020); </w:t>
            </w:r>
            <w:r w:rsidRPr="00B86758">
              <w:rPr>
                <w:rFonts w:ascii="Times New Roman" w:hAnsi="Times New Roman"/>
                <w:i/>
                <w:iCs/>
                <w:color w:val="000000"/>
                <w:sz w:val="20"/>
                <w:szCs w:val="20"/>
              </w:rPr>
              <w:t>see also</w:t>
            </w:r>
            <w:r w:rsidRPr="00B86758">
              <w:rPr>
                <w:rFonts w:ascii="Times New Roman" w:hAnsi="Times New Roman"/>
                <w:color w:val="000000"/>
                <w:sz w:val="20"/>
                <w:szCs w:val="20"/>
              </w:rPr>
              <w:t xml:space="preserve"> </w:t>
            </w:r>
            <w:hyperlink r:id="rId37" w:history="1">
              <w:r w:rsidRPr="00B86758">
                <w:rPr>
                  <w:rFonts w:ascii="Times New Roman" w:hAnsi="Times New Roman"/>
                  <w:color w:val="0000FF"/>
                  <w:sz w:val="20"/>
                  <w:szCs w:val="20"/>
                </w:rPr>
                <w:t>FED. R. EVID. 702</w:t>
              </w:r>
            </w:hyperlink>
            <w:r w:rsidRPr="00B86758">
              <w:rPr>
                <w:rFonts w:ascii="Times New Roman" w:hAnsi="Times New Roman"/>
                <w:color w:val="000000"/>
                <w:sz w:val="20"/>
                <w:szCs w:val="20"/>
              </w:rPr>
              <w:t>.</w:t>
            </w:r>
          </w:p>
          <w:p w14:paraId="0BF6A331"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63" w:name="co_footnote_F12507610219_1"/>
      <w:bookmarkEnd w:id="163"/>
      <w:tr w:rsidR="004D1FA8" w:rsidRPr="00B86758" w14:paraId="4C07CE31" w14:textId="77777777">
        <w:tblPrEx>
          <w:tblCellMar>
            <w:top w:w="0" w:type="dxa"/>
            <w:left w:w="0" w:type="dxa"/>
            <w:bottom w:w="0" w:type="dxa"/>
            <w:right w:w="0" w:type="dxa"/>
          </w:tblCellMar>
        </w:tblPrEx>
        <w:tc>
          <w:tcPr>
            <w:tcW w:w="600" w:type="dxa"/>
            <w:tcBorders>
              <w:top w:val="nil"/>
              <w:left w:val="nil"/>
              <w:bottom w:val="nil"/>
              <w:right w:val="nil"/>
            </w:tcBorders>
          </w:tcPr>
          <w:p w14:paraId="060F2C2A"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"#co_fnRef_F12507610219_ID0EVBAE_1"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12</w:t>
            </w:r>
            <w:r w:rsidRPr="00B86758">
              <w:rPr>
                <w:rFonts w:ascii="Times New Roman" w:hAnsi="Times New Roman"/>
                <w:color w:val="000000"/>
                <w:sz w:val="20"/>
                <w:szCs w:val="20"/>
              </w:rPr>
              <w:fldChar w:fldCharType="end"/>
            </w:r>
          </w:p>
          <w:p w14:paraId="0F1DEDC6"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0A378658"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38" w:history="1">
              <w:r w:rsidRPr="00B86758">
                <w:rPr>
                  <w:rFonts w:ascii="Times New Roman" w:hAnsi="Times New Roman"/>
                  <w:color w:val="0000FF"/>
                  <w:sz w:val="20"/>
                  <w:szCs w:val="20"/>
                </w:rPr>
                <w:t>WIS. STAT. § 971.23 (1) (e), (2m) (am)</w:t>
              </w:r>
            </w:hyperlink>
            <w:r w:rsidRPr="00B86758">
              <w:rPr>
                <w:rFonts w:ascii="Times New Roman" w:hAnsi="Times New Roman"/>
                <w:color w:val="000000"/>
                <w:sz w:val="20"/>
                <w:szCs w:val="20"/>
              </w:rPr>
              <w:t xml:space="preserve"> (2020).</w:t>
            </w:r>
          </w:p>
          <w:p w14:paraId="0F29A767"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64" w:name="co_footnote_F13507610219_1"/>
      <w:bookmarkEnd w:id="164"/>
      <w:tr w:rsidR="004D1FA8" w:rsidRPr="00B86758" w14:paraId="3408C9A3" w14:textId="77777777">
        <w:tblPrEx>
          <w:tblCellMar>
            <w:top w:w="0" w:type="dxa"/>
            <w:left w:w="0" w:type="dxa"/>
            <w:bottom w:w="0" w:type="dxa"/>
            <w:right w:w="0" w:type="dxa"/>
          </w:tblCellMar>
        </w:tblPrEx>
        <w:tc>
          <w:tcPr>
            <w:tcW w:w="600" w:type="dxa"/>
            <w:tcBorders>
              <w:top w:val="nil"/>
              <w:left w:val="nil"/>
              <w:bottom w:val="nil"/>
              <w:right w:val="nil"/>
            </w:tcBorders>
          </w:tcPr>
          <w:p w14:paraId="627E1B58"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"#co_fnRef_F13507610219_ID0ERCAE_1"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13</w:t>
            </w:r>
            <w:r w:rsidRPr="00B86758">
              <w:rPr>
                <w:rFonts w:ascii="Times New Roman" w:hAnsi="Times New Roman"/>
                <w:color w:val="000000"/>
                <w:sz w:val="20"/>
                <w:szCs w:val="20"/>
              </w:rPr>
              <w:fldChar w:fldCharType="end"/>
            </w:r>
          </w:p>
          <w:p w14:paraId="1AEBEE3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681F69E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w:t>
            </w:r>
            <w:r w:rsidRPr="00B86758">
              <w:rPr>
                <w:rFonts w:ascii="Times New Roman" w:hAnsi="Times New Roman"/>
                <w:color w:val="000000"/>
                <w:sz w:val="20"/>
                <w:szCs w:val="20"/>
              </w:rPr>
              <w:t xml:space="preserve"> Daniel D. Blinka, </w:t>
            </w:r>
            <w:r w:rsidRPr="00B86758">
              <w:rPr>
                <w:rFonts w:ascii="Times New Roman" w:hAnsi="Times New Roman"/>
                <w:i/>
                <w:iCs/>
                <w:color w:val="000000"/>
                <w:sz w:val="20"/>
                <w:szCs w:val="20"/>
              </w:rPr>
              <w:t>The</w:t>
            </w:r>
            <w:r w:rsidRPr="00B86758">
              <w:rPr>
                <w:rFonts w:ascii="Times New Roman" w:hAnsi="Times New Roman"/>
                <w:color w:val="000000"/>
                <w:sz w:val="20"/>
                <w:szCs w:val="20"/>
              </w:rPr>
              <w:t xml:space="preserve"> Daubert </w:t>
            </w:r>
            <w:r w:rsidRPr="00B86758">
              <w:rPr>
                <w:rFonts w:ascii="Times New Roman" w:hAnsi="Times New Roman"/>
                <w:i/>
                <w:iCs/>
                <w:color w:val="000000"/>
                <w:sz w:val="20"/>
                <w:szCs w:val="20"/>
              </w:rPr>
              <w:t>Standard in Wisconsin: A Primer</w:t>
            </w:r>
            <w:r w:rsidRPr="00B86758">
              <w:rPr>
                <w:rFonts w:ascii="Times New Roman" w:hAnsi="Times New Roman"/>
                <w:color w:val="000000"/>
                <w:sz w:val="20"/>
                <w:szCs w:val="20"/>
              </w:rPr>
              <w:t>, WIS. LAW. (Mar. 1, 2011), https://www.wisbar.org/newspublications/wisconsinlawyer/pages/Article.aspx?Volume=84&amp;Issue=3&amp;ArticleID=2348 [https://perma.cc/8K6G-L3P3] (noting that with regard to determining the reliability of the principles and methods, there is a list of ten sub-factors which is “neither exclusive nor dispositive”).</w:t>
            </w:r>
          </w:p>
          <w:p w14:paraId="182DE72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65" w:name="co_footnote_F14507610219_1"/>
      <w:bookmarkEnd w:id="165"/>
      <w:tr w:rsidR="004D1FA8" w:rsidRPr="00B86758" w14:paraId="040C80CA" w14:textId="77777777">
        <w:tblPrEx>
          <w:tblCellMar>
            <w:top w:w="0" w:type="dxa"/>
            <w:left w:w="0" w:type="dxa"/>
            <w:bottom w:w="0" w:type="dxa"/>
            <w:right w:w="0" w:type="dxa"/>
          </w:tblCellMar>
        </w:tblPrEx>
        <w:tc>
          <w:tcPr>
            <w:tcW w:w="600" w:type="dxa"/>
            <w:tcBorders>
              <w:top w:val="nil"/>
              <w:left w:val="nil"/>
              <w:bottom w:val="nil"/>
              <w:right w:val="nil"/>
            </w:tcBorders>
          </w:tcPr>
          <w:p w14:paraId="502C343A"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"#co_fnRef_F14507610219_ID0EBDAE_1"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14</w:t>
            </w:r>
            <w:r w:rsidRPr="00B86758">
              <w:rPr>
                <w:rFonts w:ascii="Times New Roman" w:hAnsi="Times New Roman"/>
                <w:color w:val="000000"/>
                <w:sz w:val="20"/>
                <w:szCs w:val="20"/>
              </w:rPr>
              <w:fldChar w:fldCharType="end"/>
            </w:r>
          </w:p>
          <w:p w14:paraId="4ADC6FE2"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05BD10A4"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Brandon L. Garret &amp; Chris Fabricant, </w:t>
            </w:r>
            <w:hyperlink r:id="rId39" w:history="1">
              <w:r w:rsidRPr="00B86758">
                <w:rPr>
                  <w:rFonts w:ascii="Times New Roman" w:hAnsi="Times New Roman"/>
                  <w:i/>
                  <w:iCs/>
                  <w:color w:val="0000FF"/>
                  <w:sz w:val="20"/>
                  <w:szCs w:val="20"/>
                </w:rPr>
                <w:t>The Myth of the Reliability Test</w:t>
              </w:r>
              <w:r w:rsidRPr="00B86758">
                <w:rPr>
                  <w:rFonts w:ascii="Times New Roman" w:hAnsi="Times New Roman"/>
                  <w:color w:val="0000FF"/>
                  <w:sz w:val="20"/>
                  <w:szCs w:val="20"/>
                </w:rPr>
                <w:t>, 86 FORDHAM L. REV. 1559, 1577 (2018)</w:t>
              </w:r>
            </w:hyperlink>
            <w:r w:rsidRPr="00B86758">
              <w:rPr>
                <w:rFonts w:ascii="Times New Roman" w:hAnsi="Times New Roman"/>
                <w:color w:val="000000"/>
                <w:sz w:val="20"/>
                <w:szCs w:val="20"/>
              </w:rPr>
              <w:t>.</w:t>
            </w:r>
          </w:p>
          <w:p w14:paraId="41340765"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66" w:name="co_footnote_F15507610219_1"/>
      <w:bookmarkEnd w:id="166"/>
      <w:tr w:rsidR="004D1FA8" w:rsidRPr="00B86758" w14:paraId="71403238" w14:textId="77777777">
        <w:tblPrEx>
          <w:tblCellMar>
            <w:top w:w="0" w:type="dxa"/>
            <w:left w:w="0" w:type="dxa"/>
            <w:bottom w:w="0" w:type="dxa"/>
            <w:right w:w="0" w:type="dxa"/>
          </w:tblCellMar>
        </w:tblPrEx>
        <w:tc>
          <w:tcPr>
            <w:tcW w:w="600" w:type="dxa"/>
            <w:tcBorders>
              <w:top w:val="nil"/>
              <w:left w:val="nil"/>
              <w:bottom w:val="nil"/>
              <w:right w:val="nil"/>
            </w:tcBorders>
          </w:tcPr>
          <w:p w14:paraId="6EB589B7"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"#co_fnRef_F15507610219_ID0EZDAE_1"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15</w:t>
            </w:r>
            <w:r w:rsidRPr="00B86758">
              <w:rPr>
                <w:rFonts w:ascii="Times New Roman" w:hAnsi="Times New Roman"/>
                <w:color w:val="000000"/>
                <w:sz w:val="20"/>
                <w:szCs w:val="20"/>
              </w:rPr>
              <w:fldChar w:fldCharType="end"/>
            </w:r>
          </w:p>
          <w:p w14:paraId="4571247F"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2091EF16"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Julie A. Seaman, </w:t>
            </w:r>
            <w:hyperlink r:id="rId40" w:history="1">
              <w:r w:rsidRPr="00B86758">
                <w:rPr>
                  <w:rFonts w:ascii="Times New Roman" w:hAnsi="Times New Roman"/>
                  <w:i/>
                  <w:iCs/>
                  <w:color w:val="0000FF"/>
                  <w:sz w:val="20"/>
                  <w:szCs w:val="20"/>
                </w:rPr>
                <w:t>A Tale of Two</w:t>
              </w:r>
              <w:r w:rsidRPr="00B86758">
                <w:rPr>
                  <w:rFonts w:ascii="Times New Roman" w:hAnsi="Times New Roman"/>
                  <w:color w:val="0000FF"/>
                  <w:sz w:val="20"/>
                  <w:szCs w:val="20"/>
                </w:rPr>
                <w:t xml:space="preserve"> Dauberts, 47 GA. L. REV. 889, 894-95 (2013)</w:t>
              </w:r>
            </w:hyperlink>
            <w:r w:rsidRPr="00B86758">
              <w:rPr>
                <w:rFonts w:ascii="Times New Roman" w:hAnsi="Times New Roman"/>
                <w:color w:val="000000"/>
                <w:sz w:val="20"/>
                <w:szCs w:val="20"/>
              </w:rPr>
              <w:t xml:space="preserve"> (internal citations omitted).</w:t>
            </w:r>
          </w:p>
          <w:p w14:paraId="198DD565"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67" w:name="co_footnote_F16507610219_1"/>
      <w:bookmarkEnd w:id="167"/>
      <w:tr w:rsidR="004D1FA8" w:rsidRPr="00B86758" w14:paraId="1E2F5BFE" w14:textId="77777777">
        <w:tblPrEx>
          <w:tblCellMar>
            <w:top w:w="0" w:type="dxa"/>
            <w:left w:w="0" w:type="dxa"/>
            <w:bottom w:w="0" w:type="dxa"/>
            <w:right w:w="0" w:type="dxa"/>
          </w:tblCellMar>
        </w:tblPrEx>
        <w:tc>
          <w:tcPr>
            <w:tcW w:w="600" w:type="dxa"/>
            <w:tcBorders>
              <w:top w:val="nil"/>
              <w:left w:val="nil"/>
              <w:bottom w:val="nil"/>
              <w:right w:val="nil"/>
            </w:tcBorders>
          </w:tcPr>
          <w:p w14:paraId="46D386D4"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"#co_fnRef_F16507610219_ID0EQEAE_1"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16</w:t>
            </w:r>
            <w:r w:rsidRPr="00B86758">
              <w:rPr>
                <w:rFonts w:ascii="Times New Roman" w:hAnsi="Times New Roman"/>
                <w:color w:val="000000"/>
                <w:sz w:val="20"/>
                <w:szCs w:val="20"/>
              </w:rPr>
              <w:fldChar w:fldCharType="end"/>
            </w:r>
          </w:p>
          <w:p w14:paraId="3BE84FDA"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5A4C3A0E"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Id.</w:t>
            </w:r>
          </w:p>
          <w:p w14:paraId="395C1F73"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168" w:name="co_footnote_F17507610219_1"/>
      <w:bookmarkEnd w:id="168"/>
      <w:tr w:rsidR="004D1FA8" w:rsidRPr="00B86758" w14:paraId="27A2CA12" w14:textId="77777777">
        <w:tblPrEx>
          <w:tblCellMar>
            <w:top w:w="0" w:type="dxa"/>
            <w:left w:w="0" w:type="dxa"/>
            <w:bottom w:w="0" w:type="dxa"/>
            <w:right w:w="0" w:type="dxa"/>
          </w:tblCellMar>
        </w:tblPrEx>
        <w:tc>
          <w:tcPr>
            <w:tcW w:w="600" w:type="dxa"/>
            <w:tcBorders>
              <w:top w:val="nil"/>
              <w:left w:val="nil"/>
              <w:bottom w:val="nil"/>
              <w:right w:val="nil"/>
            </w:tcBorders>
          </w:tcPr>
          <w:p w14:paraId="19E8D14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"#co_fnRef_F17507610219_ID0E5EAE_1"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17</w:t>
            </w:r>
            <w:r w:rsidRPr="00B86758">
              <w:rPr>
                <w:rFonts w:ascii="Times New Roman" w:hAnsi="Times New Roman"/>
                <w:color w:val="000000"/>
                <w:sz w:val="20"/>
                <w:szCs w:val="20"/>
              </w:rPr>
              <w:fldChar w:fldCharType="end"/>
            </w:r>
          </w:p>
          <w:p w14:paraId="13B06403"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70F97FCF"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Id.</w:t>
            </w:r>
          </w:p>
          <w:p w14:paraId="2EA9154C"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169" w:name="co_footnote_F18507610219_1"/>
      <w:bookmarkEnd w:id="169"/>
      <w:tr w:rsidR="004D1FA8" w:rsidRPr="00B86758" w14:paraId="230342EB" w14:textId="77777777">
        <w:tblPrEx>
          <w:tblCellMar>
            <w:top w:w="0" w:type="dxa"/>
            <w:left w:w="0" w:type="dxa"/>
            <w:bottom w:w="0" w:type="dxa"/>
            <w:right w:w="0" w:type="dxa"/>
          </w:tblCellMar>
        </w:tblPrEx>
        <w:tc>
          <w:tcPr>
            <w:tcW w:w="600" w:type="dxa"/>
            <w:tcBorders>
              <w:top w:val="nil"/>
              <w:left w:val="nil"/>
              <w:bottom w:val="nil"/>
              <w:right w:val="nil"/>
            </w:tcBorders>
          </w:tcPr>
          <w:p w14:paraId="2B2ED6A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"#co_fnRef_F18507610219_ID0ENFAE_1"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18</w:t>
            </w:r>
            <w:r w:rsidRPr="00B86758">
              <w:rPr>
                <w:rFonts w:ascii="Times New Roman" w:hAnsi="Times New Roman"/>
                <w:color w:val="000000"/>
                <w:sz w:val="20"/>
                <w:szCs w:val="20"/>
              </w:rPr>
              <w:fldChar w:fldCharType="end"/>
            </w:r>
          </w:p>
          <w:p w14:paraId="3EEC99E8"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15D934B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Garret &amp; Fabricant, </w:t>
            </w:r>
            <w:r w:rsidRPr="00B86758">
              <w:rPr>
                <w:rFonts w:ascii="Times New Roman" w:hAnsi="Times New Roman"/>
                <w:i/>
                <w:iCs/>
                <w:color w:val="000000"/>
                <w:sz w:val="20"/>
                <w:szCs w:val="20"/>
              </w:rPr>
              <w:t>supra</w:t>
            </w:r>
            <w:r w:rsidRPr="00B86758">
              <w:rPr>
                <w:rFonts w:ascii="Times New Roman" w:hAnsi="Times New Roman"/>
                <w:color w:val="000000"/>
                <w:sz w:val="20"/>
                <w:szCs w:val="20"/>
              </w:rPr>
              <w:t xml:space="preserve"> note 14, at 1571 (emphasis added).</w:t>
            </w:r>
          </w:p>
          <w:p w14:paraId="48C75B38"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70" w:name="co_footnote_F19507610219_1"/>
      <w:bookmarkEnd w:id="170"/>
      <w:tr w:rsidR="004D1FA8" w:rsidRPr="00B86758" w14:paraId="5A511F55" w14:textId="77777777">
        <w:tblPrEx>
          <w:tblCellMar>
            <w:top w:w="0" w:type="dxa"/>
            <w:left w:w="0" w:type="dxa"/>
            <w:bottom w:w="0" w:type="dxa"/>
            <w:right w:w="0" w:type="dxa"/>
          </w:tblCellMar>
        </w:tblPrEx>
        <w:tc>
          <w:tcPr>
            <w:tcW w:w="600" w:type="dxa"/>
            <w:tcBorders>
              <w:top w:val="nil"/>
              <w:left w:val="nil"/>
              <w:bottom w:val="nil"/>
              <w:right w:val="nil"/>
            </w:tcBorders>
          </w:tcPr>
          <w:p w14:paraId="4F2B0777"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"#co_fnRef_F19507610219_ID0ERGAE_1"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19</w:t>
            </w:r>
            <w:r w:rsidRPr="00B86758">
              <w:rPr>
                <w:rFonts w:ascii="Times New Roman" w:hAnsi="Times New Roman"/>
                <w:color w:val="000000"/>
                <w:sz w:val="20"/>
                <w:szCs w:val="20"/>
              </w:rPr>
              <w:fldChar w:fldCharType="end"/>
            </w:r>
          </w:p>
          <w:p w14:paraId="40CA2EC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277089BE"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D. Michael Risinger, </w:t>
            </w:r>
            <w:hyperlink r:id="rId41" w:history="1">
              <w:r w:rsidRPr="00B86758">
                <w:rPr>
                  <w:rFonts w:ascii="Times New Roman" w:hAnsi="Times New Roman"/>
                  <w:i/>
                  <w:iCs/>
                  <w:color w:val="0000FF"/>
                  <w:sz w:val="20"/>
                  <w:szCs w:val="20"/>
                </w:rPr>
                <w:t>Navigating Expert Reliability: Are Criminal Standards of Certainty Being Left on the Dock?</w:t>
              </w:r>
              <w:r w:rsidRPr="00B86758">
                <w:rPr>
                  <w:rFonts w:ascii="Times New Roman" w:hAnsi="Times New Roman"/>
                  <w:color w:val="0000FF"/>
                  <w:sz w:val="20"/>
                  <w:szCs w:val="20"/>
                </w:rPr>
                <w:t>, 64 ALB. L. REV. 99, 105 (2000)</w:t>
              </w:r>
            </w:hyperlink>
            <w:r w:rsidRPr="00B86758">
              <w:rPr>
                <w:rFonts w:ascii="Times New Roman" w:hAnsi="Times New Roman"/>
                <w:color w:val="000000"/>
                <w:sz w:val="20"/>
                <w:szCs w:val="20"/>
              </w:rPr>
              <w:t>.</w:t>
            </w:r>
          </w:p>
          <w:p w14:paraId="2360F985"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71" w:name="co_footnote_F20507610219_1"/>
      <w:bookmarkEnd w:id="171"/>
      <w:tr w:rsidR="004D1FA8" w:rsidRPr="00B86758" w14:paraId="3BF5582A" w14:textId="77777777">
        <w:tblPrEx>
          <w:tblCellMar>
            <w:top w:w="0" w:type="dxa"/>
            <w:left w:w="0" w:type="dxa"/>
            <w:bottom w:w="0" w:type="dxa"/>
            <w:right w:w="0" w:type="dxa"/>
          </w:tblCellMar>
        </w:tblPrEx>
        <w:tc>
          <w:tcPr>
            <w:tcW w:w="600" w:type="dxa"/>
            <w:tcBorders>
              <w:top w:val="nil"/>
              <w:left w:val="nil"/>
              <w:bottom w:val="nil"/>
              <w:right w:val="nil"/>
            </w:tcBorders>
          </w:tcPr>
          <w:p w14:paraId="752BECAC"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"#co_fnRef_F20507610219_ID0EWGAE_1"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20</w:t>
            </w:r>
            <w:r w:rsidRPr="00B86758">
              <w:rPr>
                <w:rFonts w:ascii="Times New Roman" w:hAnsi="Times New Roman"/>
                <w:color w:val="000000"/>
                <w:sz w:val="20"/>
                <w:szCs w:val="20"/>
              </w:rPr>
              <w:fldChar w:fldCharType="end"/>
            </w:r>
          </w:p>
          <w:p w14:paraId="312378CC"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38DDFCC2"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Id.</w:t>
            </w:r>
          </w:p>
          <w:p w14:paraId="37365F5E"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172" w:name="co_footnote_F21507610219_1"/>
      <w:bookmarkEnd w:id="172"/>
      <w:tr w:rsidR="004D1FA8" w:rsidRPr="00B86758" w14:paraId="45FDA4B9" w14:textId="77777777">
        <w:tblPrEx>
          <w:tblCellMar>
            <w:top w:w="0" w:type="dxa"/>
            <w:left w:w="0" w:type="dxa"/>
            <w:bottom w:w="0" w:type="dxa"/>
            <w:right w:w="0" w:type="dxa"/>
          </w:tblCellMar>
        </w:tblPrEx>
        <w:tc>
          <w:tcPr>
            <w:tcW w:w="600" w:type="dxa"/>
            <w:tcBorders>
              <w:top w:val="nil"/>
              <w:left w:val="nil"/>
              <w:bottom w:val="nil"/>
              <w:right w:val="nil"/>
            </w:tcBorders>
          </w:tcPr>
          <w:p w14:paraId="4E4413E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"#co_fnRef_F21507610219_ID0ENHAE_1"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21</w:t>
            </w:r>
            <w:r w:rsidRPr="00B86758">
              <w:rPr>
                <w:rFonts w:ascii="Times New Roman" w:hAnsi="Times New Roman"/>
                <w:color w:val="000000"/>
                <w:sz w:val="20"/>
                <w:szCs w:val="20"/>
              </w:rPr>
              <w:fldChar w:fldCharType="end"/>
            </w:r>
          </w:p>
          <w:p w14:paraId="24BB89AA"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499CF9F3"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42" w:history="1">
              <w:r w:rsidRPr="00B86758">
                <w:rPr>
                  <w:rFonts w:ascii="Times New Roman" w:hAnsi="Times New Roman"/>
                  <w:i/>
                  <w:iCs/>
                  <w:color w:val="0000FF"/>
                  <w:sz w:val="20"/>
                  <w:szCs w:val="20"/>
                </w:rPr>
                <w:t>Id.</w:t>
              </w:r>
              <w:r w:rsidRPr="00B86758">
                <w:rPr>
                  <w:rFonts w:ascii="Times New Roman" w:hAnsi="Times New Roman"/>
                  <w:color w:val="0000FF"/>
                  <w:sz w:val="20"/>
                  <w:szCs w:val="20"/>
                </w:rPr>
                <w:t xml:space="preserve"> at 106</w:t>
              </w:r>
            </w:hyperlink>
            <w:r w:rsidRPr="00B86758">
              <w:rPr>
                <w:rFonts w:ascii="Times New Roman" w:hAnsi="Times New Roman"/>
                <w:color w:val="000000"/>
                <w:sz w:val="20"/>
                <w:szCs w:val="20"/>
              </w:rPr>
              <w:t>.</w:t>
            </w:r>
          </w:p>
          <w:p w14:paraId="262DCC26"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73" w:name="co_footnote_F22507610219_1"/>
      <w:bookmarkEnd w:id="173"/>
      <w:tr w:rsidR="004D1FA8" w:rsidRPr="00B86758" w14:paraId="3FDF2368" w14:textId="77777777">
        <w:tblPrEx>
          <w:tblCellMar>
            <w:top w:w="0" w:type="dxa"/>
            <w:left w:w="0" w:type="dxa"/>
            <w:bottom w:w="0" w:type="dxa"/>
            <w:right w:w="0" w:type="dxa"/>
          </w:tblCellMar>
        </w:tblPrEx>
        <w:tc>
          <w:tcPr>
            <w:tcW w:w="600" w:type="dxa"/>
            <w:tcBorders>
              <w:top w:val="nil"/>
              <w:left w:val="nil"/>
              <w:bottom w:val="nil"/>
              <w:right w:val="nil"/>
            </w:tcBorders>
          </w:tcPr>
          <w:p w14:paraId="2EA51BA9"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"#co_fnRef_F22507610219_ID0ESHAE_1"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22</w:t>
            </w:r>
            <w:r w:rsidRPr="00B86758">
              <w:rPr>
                <w:rFonts w:ascii="Times New Roman" w:hAnsi="Times New Roman"/>
                <w:color w:val="000000"/>
                <w:sz w:val="20"/>
                <w:szCs w:val="20"/>
              </w:rPr>
              <w:fldChar w:fldCharType="end"/>
            </w:r>
          </w:p>
          <w:p w14:paraId="0F22DCB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477931EA"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Id.</w:t>
            </w:r>
          </w:p>
          <w:p w14:paraId="0F7CC004"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174" w:name="co_footnote_F23507610219_1"/>
      <w:bookmarkEnd w:id="174"/>
      <w:tr w:rsidR="004D1FA8" w:rsidRPr="00B86758" w14:paraId="4A3A872A" w14:textId="77777777">
        <w:tblPrEx>
          <w:tblCellMar>
            <w:top w:w="0" w:type="dxa"/>
            <w:left w:w="0" w:type="dxa"/>
            <w:bottom w:w="0" w:type="dxa"/>
            <w:right w:w="0" w:type="dxa"/>
          </w:tblCellMar>
        </w:tblPrEx>
        <w:tc>
          <w:tcPr>
            <w:tcW w:w="600" w:type="dxa"/>
            <w:tcBorders>
              <w:top w:val="nil"/>
              <w:left w:val="nil"/>
              <w:bottom w:val="nil"/>
              <w:right w:val="nil"/>
            </w:tcBorders>
          </w:tcPr>
          <w:p w14:paraId="6E5E3155"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"#co_fnRef_F23507610219_ID0EAIAE_1"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23</w:t>
            </w:r>
            <w:r w:rsidRPr="00B86758">
              <w:rPr>
                <w:rFonts w:ascii="Times New Roman" w:hAnsi="Times New Roman"/>
                <w:color w:val="000000"/>
                <w:sz w:val="20"/>
                <w:szCs w:val="20"/>
              </w:rPr>
              <w:fldChar w:fldCharType="end"/>
            </w:r>
          </w:p>
          <w:p w14:paraId="2E9780F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053A6928"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Id.</w:t>
            </w:r>
            <w:r w:rsidRPr="00B86758">
              <w:rPr>
                <w:rFonts w:ascii="Times New Roman" w:hAnsi="Times New Roman"/>
                <w:color w:val="000000"/>
                <w:sz w:val="20"/>
                <w:szCs w:val="20"/>
              </w:rPr>
              <w:t xml:space="preserve"> at 106-07.</w:t>
            </w:r>
          </w:p>
          <w:p w14:paraId="2CE0E193"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75" w:name="co_footnote_F24507610219_1"/>
      <w:bookmarkEnd w:id="175"/>
      <w:tr w:rsidR="004D1FA8" w:rsidRPr="00B86758" w14:paraId="52F17D4B" w14:textId="77777777">
        <w:tblPrEx>
          <w:tblCellMar>
            <w:top w:w="0" w:type="dxa"/>
            <w:left w:w="0" w:type="dxa"/>
            <w:bottom w:w="0" w:type="dxa"/>
            <w:right w:w="0" w:type="dxa"/>
          </w:tblCellMar>
        </w:tblPrEx>
        <w:tc>
          <w:tcPr>
            <w:tcW w:w="600" w:type="dxa"/>
            <w:tcBorders>
              <w:top w:val="nil"/>
              <w:left w:val="nil"/>
              <w:bottom w:val="nil"/>
              <w:right w:val="nil"/>
            </w:tcBorders>
          </w:tcPr>
          <w:p w14:paraId="42602A07"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"#co_fnRef_F24507610219_ID0E6IAE_1"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24</w:t>
            </w:r>
            <w:r w:rsidRPr="00B86758">
              <w:rPr>
                <w:rFonts w:ascii="Times New Roman" w:hAnsi="Times New Roman"/>
                <w:color w:val="000000"/>
                <w:sz w:val="20"/>
                <w:szCs w:val="20"/>
              </w:rPr>
              <w:fldChar w:fldCharType="end"/>
            </w:r>
          </w:p>
          <w:p w14:paraId="7E392B3A"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723C445B"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w:t>
            </w:r>
            <w:r w:rsidRPr="00B86758">
              <w:rPr>
                <w:rFonts w:ascii="Times New Roman" w:hAnsi="Times New Roman"/>
                <w:color w:val="000000"/>
                <w:sz w:val="20"/>
                <w:szCs w:val="20"/>
              </w:rPr>
              <w:t xml:space="preserve"> Michael D. Cicchini, </w:t>
            </w:r>
            <w:r w:rsidRPr="00B86758">
              <w:rPr>
                <w:rFonts w:ascii="Times New Roman" w:hAnsi="Times New Roman"/>
                <w:i/>
                <w:iCs/>
                <w:color w:val="000000"/>
                <w:sz w:val="20"/>
                <w:szCs w:val="20"/>
              </w:rPr>
              <w:t>The</w:t>
            </w:r>
            <w:r w:rsidRPr="00B86758">
              <w:rPr>
                <w:rFonts w:ascii="Times New Roman" w:hAnsi="Times New Roman"/>
                <w:color w:val="000000"/>
                <w:sz w:val="20"/>
                <w:szCs w:val="20"/>
              </w:rPr>
              <w:t xml:space="preserve"> Daubert </w:t>
            </w:r>
            <w:r w:rsidRPr="00B86758">
              <w:rPr>
                <w:rFonts w:ascii="Times New Roman" w:hAnsi="Times New Roman"/>
                <w:i/>
                <w:iCs/>
                <w:color w:val="000000"/>
                <w:sz w:val="20"/>
                <w:szCs w:val="20"/>
              </w:rPr>
              <w:t>Double Standard</w:t>
            </w:r>
            <w:r w:rsidRPr="00B86758">
              <w:rPr>
                <w:rFonts w:ascii="Times New Roman" w:hAnsi="Times New Roman"/>
                <w:color w:val="000000"/>
                <w:sz w:val="20"/>
                <w:szCs w:val="20"/>
              </w:rPr>
              <w:t>, 2021 MICH. ST. L. REV. (forthcoming 2021) (manuscript at 8-12), https://papers.ssrn.com/sol3/papers.cfm?abstract_id=3787772.</w:t>
            </w:r>
          </w:p>
          <w:p w14:paraId="0D1753AB"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76" w:name="co_footnote_F25507610219_1"/>
      <w:bookmarkEnd w:id="176"/>
      <w:tr w:rsidR="004D1FA8" w:rsidRPr="00B86758" w14:paraId="58523948" w14:textId="77777777">
        <w:tblPrEx>
          <w:tblCellMar>
            <w:top w:w="0" w:type="dxa"/>
            <w:left w:w="0" w:type="dxa"/>
            <w:bottom w:w="0" w:type="dxa"/>
            <w:right w:w="0" w:type="dxa"/>
          </w:tblCellMar>
        </w:tblPrEx>
        <w:tc>
          <w:tcPr>
            <w:tcW w:w="600" w:type="dxa"/>
            <w:tcBorders>
              <w:top w:val="nil"/>
              <w:left w:val="nil"/>
              <w:bottom w:val="nil"/>
              <w:right w:val="nil"/>
            </w:tcBorders>
          </w:tcPr>
          <w:p w14:paraId="15608C9A"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"#co_fnRef_F25507610219_ID0EEJAE_1"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25</w:t>
            </w:r>
            <w:r w:rsidRPr="00B86758">
              <w:rPr>
                <w:rFonts w:ascii="Times New Roman" w:hAnsi="Times New Roman"/>
                <w:color w:val="000000"/>
                <w:sz w:val="20"/>
                <w:szCs w:val="20"/>
              </w:rPr>
              <w:fldChar w:fldCharType="end"/>
            </w:r>
          </w:p>
          <w:p w14:paraId="33FEA81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4B826FE3"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Id.</w:t>
            </w:r>
          </w:p>
          <w:p w14:paraId="660B3DE4"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177" w:name="co_footnote_F26507610219_1"/>
      <w:bookmarkEnd w:id="177"/>
      <w:tr w:rsidR="004D1FA8" w:rsidRPr="00B86758" w14:paraId="461E52D0" w14:textId="77777777">
        <w:tblPrEx>
          <w:tblCellMar>
            <w:top w:w="0" w:type="dxa"/>
            <w:left w:w="0" w:type="dxa"/>
            <w:bottom w:w="0" w:type="dxa"/>
            <w:right w:w="0" w:type="dxa"/>
          </w:tblCellMar>
        </w:tblPrEx>
        <w:tc>
          <w:tcPr>
            <w:tcW w:w="600" w:type="dxa"/>
            <w:tcBorders>
              <w:top w:val="nil"/>
              <w:left w:val="nil"/>
              <w:bottom w:val="nil"/>
              <w:right w:val="nil"/>
            </w:tcBorders>
          </w:tcPr>
          <w:p w14:paraId="656C56BF"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"#co_fnRef_F26507610219_ID0ERJAE_1"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26</w:t>
            </w:r>
            <w:r w:rsidRPr="00B86758">
              <w:rPr>
                <w:rFonts w:ascii="Times New Roman" w:hAnsi="Times New Roman"/>
                <w:color w:val="000000"/>
                <w:sz w:val="20"/>
                <w:szCs w:val="20"/>
              </w:rPr>
              <w:fldChar w:fldCharType="end"/>
            </w:r>
          </w:p>
          <w:p w14:paraId="0848C43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6A9B475E"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Id.</w:t>
            </w:r>
            <w:r w:rsidRPr="00B86758">
              <w:rPr>
                <w:rFonts w:ascii="Times New Roman" w:hAnsi="Times New Roman"/>
                <w:color w:val="000000"/>
                <w:sz w:val="20"/>
                <w:szCs w:val="20"/>
              </w:rPr>
              <w:t xml:space="preserve"> In order to rule out possible innocent explanations for the state’s 134-0 record, I also dove into the murky details of the cases. I found that, with regard to three categories of expert testimony--blood alcohol level, child interview protocols, and firearms evidence--courts </w:t>
            </w:r>
            <w:r w:rsidRPr="00B86758">
              <w:rPr>
                <w:rFonts w:ascii="Times New Roman" w:hAnsi="Times New Roman"/>
                <w:i/>
                <w:iCs/>
                <w:color w:val="000000"/>
                <w:sz w:val="20"/>
                <w:szCs w:val="20"/>
              </w:rPr>
              <w:t>allowed</w:t>
            </w:r>
            <w:r w:rsidRPr="00B86758">
              <w:rPr>
                <w:rFonts w:ascii="Times New Roman" w:hAnsi="Times New Roman"/>
                <w:color w:val="000000"/>
                <w:sz w:val="20"/>
                <w:szCs w:val="20"/>
              </w:rPr>
              <w:t xml:space="preserve"> the state’s experts but </w:t>
            </w:r>
            <w:r w:rsidRPr="00B86758">
              <w:rPr>
                <w:rFonts w:ascii="Times New Roman" w:hAnsi="Times New Roman"/>
                <w:i/>
                <w:iCs/>
                <w:color w:val="000000"/>
                <w:sz w:val="20"/>
                <w:szCs w:val="20"/>
              </w:rPr>
              <w:t>excluded</w:t>
            </w:r>
            <w:r w:rsidRPr="00B86758">
              <w:rPr>
                <w:rFonts w:ascii="Times New Roman" w:hAnsi="Times New Roman"/>
                <w:color w:val="000000"/>
                <w:sz w:val="20"/>
                <w:szCs w:val="20"/>
              </w:rPr>
              <w:t xml:space="preserve"> the defendants’ experts. </w:t>
            </w:r>
            <w:r w:rsidRPr="00B86758">
              <w:rPr>
                <w:rFonts w:ascii="Times New Roman" w:hAnsi="Times New Roman"/>
                <w:i/>
                <w:iCs/>
                <w:color w:val="000000"/>
                <w:sz w:val="20"/>
                <w:szCs w:val="20"/>
              </w:rPr>
              <w:t>Id.</w:t>
            </w:r>
            <w:r w:rsidRPr="00B86758">
              <w:rPr>
                <w:rFonts w:ascii="Times New Roman" w:hAnsi="Times New Roman"/>
                <w:color w:val="000000"/>
                <w:sz w:val="20"/>
                <w:szCs w:val="20"/>
              </w:rPr>
              <w:t xml:space="preserve"> at 13. </w:t>
            </w:r>
            <w:r w:rsidRPr="00B86758">
              <w:rPr>
                <w:rFonts w:ascii="Times New Roman" w:hAnsi="Times New Roman"/>
                <w:color w:val="000000"/>
                <w:sz w:val="20"/>
                <w:szCs w:val="20"/>
              </w:rPr>
              <w:lastRenderedPageBreak/>
              <w:t xml:space="preserve">And with regard to all cases and types of experts, I identified eight pro-state tactics that judges used to help prosecutors build their unblemished record. </w:t>
            </w:r>
            <w:r w:rsidRPr="00B86758">
              <w:rPr>
                <w:rFonts w:ascii="Times New Roman" w:hAnsi="Times New Roman"/>
                <w:i/>
                <w:iCs/>
                <w:color w:val="000000"/>
                <w:sz w:val="20"/>
                <w:szCs w:val="20"/>
              </w:rPr>
              <w:t>Id.</w:t>
            </w:r>
            <w:r w:rsidRPr="00B86758">
              <w:rPr>
                <w:rFonts w:ascii="Times New Roman" w:hAnsi="Times New Roman"/>
                <w:color w:val="000000"/>
                <w:sz w:val="20"/>
                <w:szCs w:val="20"/>
              </w:rPr>
              <w:t xml:space="preserve"> at 13-26.</w:t>
            </w:r>
          </w:p>
          <w:p w14:paraId="620DCA7F"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78" w:name="co_footnote_F27507610219_1"/>
      <w:bookmarkEnd w:id="178"/>
      <w:tr w:rsidR="004D1FA8" w:rsidRPr="00B86758" w14:paraId="2E503AED" w14:textId="77777777">
        <w:tblPrEx>
          <w:tblCellMar>
            <w:top w:w="0" w:type="dxa"/>
            <w:left w:w="0" w:type="dxa"/>
            <w:bottom w:w="0" w:type="dxa"/>
            <w:right w:w="0" w:type="dxa"/>
          </w:tblCellMar>
        </w:tblPrEx>
        <w:tc>
          <w:tcPr>
            <w:tcW w:w="600" w:type="dxa"/>
            <w:tcBorders>
              <w:top w:val="nil"/>
              <w:left w:val="nil"/>
              <w:bottom w:val="nil"/>
              <w:right w:val="nil"/>
            </w:tcBorders>
          </w:tcPr>
          <w:p w14:paraId="145BC5E3"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lastRenderedPageBreak/>
              <w:fldChar w:fldCharType="begin"/>
            </w:r>
            <w:r w:rsidRPr="00B86758">
              <w:rPr>
                <w:rFonts w:ascii="Times New Roman" w:hAnsi="Times New Roman"/>
                <w:color w:val="000000"/>
                <w:sz w:val="20"/>
                <w:szCs w:val="20"/>
              </w:rPr>
              <w:instrText xml:space="preserve">HYPERLINK "#co_fnRef_F27507610219_ID0EJKAE_1"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27</w:t>
            </w:r>
            <w:r w:rsidRPr="00B86758">
              <w:rPr>
                <w:rFonts w:ascii="Times New Roman" w:hAnsi="Times New Roman"/>
                <w:color w:val="000000"/>
                <w:sz w:val="20"/>
                <w:szCs w:val="20"/>
              </w:rPr>
              <w:fldChar w:fldCharType="end"/>
            </w:r>
          </w:p>
          <w:p w14:paraId="1FC36484"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25F3E7A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The practicing criminal defense lawyer must often make decisions about how to allocate his or her limited time among numerous competing demands, even within a single case. This is true despite the best advanced planning and ongoing time management, as unexpected issues often surface before and during trial. In this regard, the saying about “the best-laid plans of mice and men” is certainly on point.</w:t>
            </w:r>
          </w:p>
          <w:p w14:paraId="1909F6DD"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79" w:name="co_footnote_F28507610219_1"/>
      <w:bookmarkEnd w:id="179"/>
      <w:tr w:rsidR="004D1FA8" w:rsidRPr="00B86758" w14:paraId="3DBA5198" w14:textId="77777777">
        <w:tblPrEx>
          <w:tblCellMar>
            <w:top w:w="0" w:type="dxa"/>
            <w:left w:w="0" w:type="dxa"/>
            <w:bottom w:w="0" w:type="dxa"/>
            <w:right w:w="0" w:type="dxa"/>
          </w:tblCellMar>
        </w:tblPrEx>
        <w:tc>
          <w:tcPr>
            <w:tcW w:w="600" w:type="dxa"/>
            <w:tcBorders>
              <w:top w:val="nil"/>
              <w:left w:val="nil"/>
              <w:bottom w:val="nil"/>
              <w:right w:val="nil"/>
            </w:tcBorders>
          </w:tcPr>
          <w:p w14:paraId="56F16A3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"#co_fnRef_F28507610219_ID0E1KAE_1"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28</w:t>
            </w:r>
            <w:r w:rsidRPr="00B86758">
              <w:rPr>
                <w:rFonts w:ascii="Times New Roman" w:hAnsi="Times New Roman"/>
                <w:color w:val="000000"/>
                <w:sz w:val="20"/>
                <w:szCs w:val="20"/>
              </w:rPr>
              <w:fldChar w:fldCharType="end"/>
            </w:r>
          </w:p>
          <w:p w14:paraId="0685A5B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5032309F"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 e.g.</w:t>
            </w:r>
            <w:r w:rsidRPr="00B86758">
              <w:rPr>
                <w:rFonts w:ascii="Times New Roman" w:hAnsi="Times New Roman"/>
                <w:color w:val="000000"/>
                <w:sz w:val="20"/>
                <w:szCs w:val="20"/>
              </w:rPr>
              <w:t xml:space="preserve">, </w:t>
            </w:r>
            <w:hyperlink r:id="rId43" w:history="1">
              <w:r w:rsidRPr="00B86758">
                <w:rPr>
                  <w:rFonts w:ascii="Times New Roman" w:hAnsi="Times New Roman"/>
                  <w:color w:val="0000FF"/>
                  <w:sz w:val="20"/>
                  <w:szCs w:val="20"/>
                </w:rPr>
                <w:t>United States v. Vargas, 471 F.3d 255, 261-62 (1st Cir. 2006)</w:t>
              </w:r>
            </w:hyperlink>
            <w:r w:rsidRPr="00B86758">
              <w:rPr>
                <w:rFonts w:ascii="Times New Roman" w:hAnsi="Times New Roman"/>
                <w:color w:val="000000"/>
                <w:sz w:val="20"/>
                <w:szCs w:val="20"/>
              </w:rPr>
              <w:t>.</w:t>
            </w:r>
          </w:p>
          <w:p w14:paraId="30801BE1"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80" w:name="co_footnote_F29507610219_1"/>
      <w:bookmarkEnd w:id="180"/>
      <w:tr w:rsidR="004D1FA8" w:rsidRPr="00B86758" w14:paraId="0A87C8BC" w14:textId="77777777">
        <w:tblPrEx>
          <w:tblCellMar>
            <w:top w:w="0" w:type="dxa"/>
            <w:left w:w="0" w:type="dxa"/>
            <w:bottom w:w="0" w:type="dxa"/>
            <w:right w:w="0" w:type="dxa"/>
          </w:tblCellMar>
        </w:tblPrEx>
        <w:tc>
          <w:tcPr>
            <w:tcW w:w="600" w:type="dxa"/>
            <w:tcBorders>
              <w:top w:val="nil"/>
              <w:left w:val="nil"/>
              <w:bottom w:val="nil"/>
              <w:right w:val="nil"/>
            </w:tcBorders>
          </w:tcPr>
          <w:p w14:paraId="2FD8F94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"#co_fnRef_F29507610219_ID0E3LAE_1"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29</w:t>
            </w:r>
            <w:r w:rsidRPr="00B86758">
              <w:rPr>
                <w:rFonts w:ascii="Times New Roman" w:hAnsi="Times New Roman"/>
                <w:color w:val="000000"/>
                <w:sz w:val="20"/>
                <w:szCs w:val="20"/>
              </w:rPr>
              <w:fldChar w:fldCharType="end"/>
            </w:r>
          </w:p>
          <w:p w14:paraId="31E0EAF2"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1CA215F1"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Being accused of ineffective assistance of counsel (IAC) can be very time consuming, if not harmful, for defense (trial) counsel. </w:t>
            </w:r>
            <w:r w:rsidRPr="00B86758">
              <w:rPr>
                <w:rFonts w:ascii="Times New Roman" w:hAnsi="Times New Roman"/>
                <w:i/>
                <w:iCs/>
                <w:color w:val="000000"/>
                <w:sz w:val="20"/>
                <w:szCs w:val="20"/>
              </w:rPr>
              <w:t>See</w:t>
            </w:r>
            <w:r w:rsidRPr="00B86758">
              <w:rPr>
                <w:rFonts w:ascii="Times New Roman" w:hAnsi="Times New Roman"/>
                <w:color w:val="000000"/>
                <w:sz w:val="20"/>
                <w:szCs w:val="20"/>
              </w:rPr>
              <w:t xml:space="preserve"> Michael D. Cicchini, </w:t>
            </w:r>
            <w:hyperlink r:id="rId44" w:history="1">
              <w:r w:rsidRPr="00B86758">
                <w:rPr>
                  <w:rFonts w:ascii="Times New Roman" w:hAnsi="Times New Roman"/>
                  <w:i/>
                  <w:iCs/>
                  <w:color w:val="0000FF"/>
                  <w:sz w:val="20"/>
                  <w:szCs w:val="20"/>
                </w:rPr>
                <w:t>Constraining</w:t>
              </w:r>
              <w:r w:rsidRPr="00B86758">
                <w:rPr>
                  <w:rFonts w:ascii="Times New Roman" w:hAnsi="Times New Roman"/>
                  <w:color w:val="0000FF"/>
                  <w:sz w:val="20"/>
                  <w:szCs w:val="20"/>
                </w:rPr>
                <w:t xml:space="preserve"> Strickland, 7 TEX. A&amp;M L. REV. 351, 367-70 (2020)</w:t>
              </w:r>
            </w:hyperlink>
            <w:r w:rsidRPr="00B86758">
              <w:rPr>
                <w:rFonts w:ascii="Times New Roman" w:hAnsi="Times New Roman"/>
                <w:color w:val="000000"/>
                <w:sz w:val="20"/>
                <w:szCs w:val="20"/>
              </w:rPr>
              <w:t xml:space="preserve">. Further, when post-conviction counsel for the defendant uses the IAC framework instead of directly attacking the trial judge’s decision, this can also harm the defendant’s chances of prevailing on post-conviction motion or appeal. </w:t>
            </w:r>
            <w:r w:rsidRPr="00B86758">
              <w:rPr>
                <w:rFonts w:ascii="Times New Roman" w:hAnsi="Times New Roman"/>
                <w:i/>
                <w:iCs/>
                <w:color w:val="000000"/>
                <w:sz w:val="20"/>
                <w:szCs w:val="20"/>
              </w:rPr>
              <w:t xml:space="preserve">See </w:t>
            </w:r>
            <w:hyperlink r:id="rId45" w:history="1">
              <w:r w:rsidRPr="00B86758">
                <w:rPr>
                  <w:rFonts w:ascii="Times New Roman" w:hAnsi="Times New Roman"/>
                  <w:i/>
                  <w:iCs/>
                  <w:color w:val="0000FF"/>
                  <w:sz w:val="20"/>
                  <w:szCs w:val="20"/>
                </w:rPr>
                <w:t>id.</w:t>
              </w:r>
              <w:r w:rsidRPr="00B86758">
                <w:rPr>
                  <w:rFonts w:ascii="Times New Roman" w:hAnsi="Times New Roman"/>
                  <w:color w:val="0000FF"/>
                  <w:sz w:val="20"/>
                  <w:szCs w:val="20"/>
                </w:rPr>
                <w:t xml:space="preserve"> at 364-67</w:t>
              </w:r>
            </w:hyperlink>
            <w:r w:rsidRPr="00B86758">
              <w:rPr>
                <w:rFonts w:ascii="Times New Roman" w:hAnsi="Times New Roman"/>
                <w:color w:val="000000"/>
                <w:sz w:val="20"/>
                <w:szCs w:val="20"/>
              </w:rPr>
              <w:t>.</w:t>
            </w:r>
          </w:p>
          <w:p w14:paraId="113071BB"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81" w:name="co_footnote_F30507610219_1"/>
      <w:bookmarkEnd w:id="181"/>
      <w:tr w:rsidR="004D1FA8" w:rsidRPr="00B86758" w14:paraId="1B83DA77" w14:textId="77777777">
        <w:tblPrEx>
          <w:tblCellMar>
            <w:top w:w="0" w:type="dxa"/>
            <w:left w:w="0" w:type="dxa"/>
            <w:bottom w:w="0" w:type="dxa"/>
            <w:right w:w="0" w:type="dxa"/>
          </w:tblCellMar>
        </w:tblPrEx>
        <w:tc>
          <w:tcPr>
            <w:tcW w:w="600" w:type="dxa"/>
            <w:tcBorders>
              <w:top w:val="nil"/>
              <w:left w:val="nil"/>
              <w:bottom w:val="nil"/>
              <w:right w:val="nil"/>
            </w:tcBorders>
          </w:tcPr>
          <w:p w14:paraId="162C97CF"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"#co_fnRef_F30507610219_ID0ENOAE_1"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30</w:t>
            </w:r>
            <w:r w:rsidRPr="00B86758">
              <w:rPr>
                <w:rFonts w:ascii="Times New Roman" w:hAnsi="Times New Roman"/>
                <w:color w:val="000000"/>
                <w:sz w:val="20"/>
                <w:szCs w:val="20"/>
              </w:rPr>
              <w:fldChar w:fldCharType="end"/>
            </w:r>
          </w:p>
          <w:p w14:paraId="47C8ACE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789ED9EF"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w:t>
            </w:r>
            <w:r w:rsidRPr="00B86758">
              <w:rPr>
                <w:rFonts w:ascii="Times New Roman" w:hAnsi="Times New Roman"/>
                <w:color w:val="000000"/>
                <w:sz w:val="20"/>
                <w:szCs w:val="20"/>
              </w:rPr>
              <w:t xml:space="preserve"> Cicchini, </w:t>
            </w:r>
            <w:r w:rsidRPr="00B86758">
              <w:rPr>
                <w:rFonts w:ascii="Times New Roman" w:hAnsi="Times New Roman"/>
                <w:i/>
                <w:iCs/>
                <w:color w:val="000000"/>
                <w:sz w:val="20"/>
                <w:szCs w:val="20"/>
              </w:rPr>
              <w:t>supra</w:t>
            </w:r>
            <w:r w:rsidRPr="00B86758">
              <w:rPr>
                <w:rFonts w:ascii="Times New Roman" w:hAnsi="Times New Roman"/>
                <w:color w:val="000000"/>
                <w:sz w:val="20"/>
                <w:szCs w:val="20"/>
              </w:rPr>
              <w:t xml:space="preserve"> note 24, at 11.</w:t>
            </w:r>
          </w:p>
          <w:p w14:paraId="011B9DDD"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82" w:name="co_footnote_F31507610219_1"/>
      <w:bookmarkEnd w:id="182"/>
      <w:tr w:rsidR="004D1FA8" w:rsidRPr="00B86758" w14:paraId="7747BB11" w14:textId="77777777">
        <w:tblPrEx>
          <w:tblCellMar>
            <w:top w:w="0" w:type="dxa"/>
            <w:left w:w="0" w:type="dxa"/>
            <w:bottom w:w="0" w:type="dxa"/>
            <w:right w:w="0" w:type="dxa"/>
          </w:tblCellMar>
        </w:tblPrEx>
        <w:tc>
          <w:tcPr>
            <w:tcW w:w="600" w:type="dxa"/>
            <w:tcBorders>
              <w:top w:val="nil"/>
              <w:left w:val="nil"/>
              <w:bottom w:val="nil"/>
              <w:right w:val="nil"/>
            </w:tcBorders>
          </w:tcPr>
          <w:p w14:paraId="2C60BD08"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"#co_fnRef_F31507610219_ID0EROAE_1"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31</w:t>
            </w:r>
            <w:r w:rsidRPr="00B86758">
              <w:rPr>
                <w:rFonts w:ascii="Times New Roman" w:hAnsi="Times New Roman"/>
                <w:color w:val="000000"/>
                <w:sz w:val="20"/>
                <w:szCs w:val="20"/>
              </w:rPr>
              <w:fldChar w:fldCharType="end"/>
            </w:r>
          </w:p>
          <w:p w14:paraId="1640AAEC"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49E9D4BF"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In cases where the defense fails to exclude the state’s expert, for strategies that use defense experts in rebuttal, see generally Edward J. Imwinkelried, </w:t>
            </w:r>
            <w:hyperlink r:id="rId46" w:history="1">
              <w:r w:rsidRPr="00B86758">
                <w:rPr>
                  <w:rFonts w:ascii="Times New Roman" w:hAnsi="Times New Roman"/>
                  <w:i/>
                  <w:iCs/>
                  <w:color w:val="0000FF"/>
                  <w:sz w:val="20"/>
                  <w:szCs w:val="20"/>
                </w:rPr>
                <w:t>Defense Attacks on Prosecution Scientific Evidence: The Standard for Defense Rebuttal Evidence is</w:t>
              </w:r>
              <w:r w:rsidRPr="00B86758">
                <w:rPr>
                  <w:rFonts w:ascii="Times New Roman" w:hAnsi="Times New Roman"/>
                  <w:color w:val="0000FF"/>
                  <w:sz w:val="20"/>
                  <w:szCs w:val="20"/>
                </w:rPr>
                <w:t xml:space="preserve"> Already </w:t>
              </w:r>
              <w:r w:rsidRPr="00B86758">
                <w:rPr>
                  <w:rFonts w:ascii="Times New Roman" w:hAnsi="Times New Roman"/>
                  <w:i/>
                  <w:iCs/>
                  <w:color w:val="0000FF"/>
                  <w:sz w:val="20"/>
                  <w:szCs w:val="20"/>
                </w:rPr>
                <w:t>Lower than the Standard for Prosecution Evidence</w:t>
              </w:r>
              <w:r w:rsidRPr="00B86758">
                <w:rPr>
                  <w:rFonts w:ascii="Times New Roman" w:hAnsi="Times New Roman"/>
                  <w:color w:val="0000FF"/>
                  <w:sz w:val="20"/>
                  <w:szCs w:val="20"/>
                </w:rPr>
                <w:t>, 93 TEMP. L. REV. 55 (2020)</w:t>
              </w:r>
            </w:hyperlink>
            <w:r w:rsidRPr="00B86758">
              <w:rPr>
                <w:rFonts w:ascii="Times New Roman" w:hAnsi="Times New Roman"/>
                <w:color w:val="000000"/>
                <w:sz w:val="20"/>
                <w:szCs w:val="20"/>
              </w:rPr>
              <w:t>.</w:t>
            </w:r>
          </w:p>
          <w:p w14:paraId="2A937DA4"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83" w:name="co_footnote_F32507610219_1"/>
      <w:bookmarkEnd w:id="183"/>
      <w:tr w:rsidR="004D1FA8" w:rsidRPr="00B86758" w14:paraId="3D8CF56A" w14:textId="77777777">
        <w:tblPrEx>
          <w:tblCellMar>
            <w:top w:w="0" w:type="dxa"/>
            <w:left w:w="0" w:type="dxa"/>
            <w:bottom w:w="0" w:type="dxa"/>
            <w:right w:w="0" w:type="dxa"/>
          </w:tblCellMar>
        </w:tblPrEx>
        <w:tc>
          <w:tcPr>
            <w:tcW w:w="600" w:type="dxa"/>
            <w:tcBorders>
              <w:top w:val="nil"/>
              <w:left w:val="nil"/>
              <w:bottom w:val="nil"/>
              <w:right w:val="nil"/>
            </w:tcBorders>
          </w:tcPr>
          <w:p w14:paraId="15E067C0"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"#co_fnRef_F32507610219_ID0EAPAE_1"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32</w:t>
            </w:r>
            <w:r w:rsidRPr="00B86758">
              <w:rPr>
                <w:rFonts w:ascii="Times New Roman" w:hAnsi="Times New Roman"/>
                <w:color w:val="000000"/>
                <w:sz w:val="20"/>
                <w:szCs w:val="20"/>
              </w:rPr>
              <w:fldChar w:fldCharType="end"/>
            </w:r>
          </w:p>
          <w:p w14:paraId="5CF8EBD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547D898D"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w:t>
            </w:r>
            <w:r w:rsidRPr="00B86758">
              <w:rPr>
                <w:rFonts w:ascii="Times New Roman" w:hAnsi="Times New Roman"/>
                <w:color w:val="000000"/>
                <w:sz w:val="20"/>
                <w:szCs w:val="20"/>
              </w:rPr>
              <w:t xml:space="preserve"> Risinger, </w:t>
            </w:r>
            <w:r w:rsidRPr="00B86758">
              <w:rPr>
                <w:rFonts w:ascii="Times New Roman" w:hAnsi="Times New Roman"/>
                <w:i/>
                <w:iCs/>
                <w:color w:val="000000"/>
                <w:sz w:val="20"/>
                <w:szCs w:val="20"/>
              </w:rPr>
              <w:t>supra</w:t>
            </w:r>
            <w:r w:rsidRPr="00B86758">
              <w:rPr>
                <w:rFonts w:ascii="Times New Roman" w:hAnsi="Times New Roman"/>
                <w:color w:val="000000"/>
                <w:sz w:val="20"/>
                <w:szCs w:val="20"/>
              </w:rPr>
              <w:t xml:space="preserve"> note 19, at 112-15.</w:t>
            </w:r>
          </w:p>
          <w:p w14:paraId="6F12C14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84" w:name="co_footnote_F33507610219_1"/>
      <w:bookmarkEnd w:id="184"/>
      <w:tr w:rsidR="004D1FA8" w:rsidRPr="00B86758" w14:paraId="07927B05" w14:textId="77777777">
        <w:tblPrEx>
          <w:tblCellMar>
            <w:top w:w="0" w:type="dxa"/>
            <w:left w:w="0" w:type="dxa"/>
            <w:bottom w:w="0" w:type="dxa"/>
            <w:right w:w="0" w:type="dxa"/>
          </w:tblCellMar>
        </w:tblPrEx>
        <w:tc>
          <w:tcPr>
            <w:tcW w:w="600" w:type="dxa"/>
            <w:tcBorders>
              <w:top w:val="nil"/>
              <w:left w:val="nil"/>
              <w:bottom w:val="nil"/>
              <w:right w:val="nil"/>
            </w:tcBorders>
          </w:tcPr>
          <w:p w14:paraId="63AFC7D6"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"#co_fnRef_F33507610219_ID0EDRAE_1"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33</w:t>
            </w:r>
            <w:r w:rsidRPr="00B86758">
              <w:rPr>
                <w:rFonts w:ascii="Times New Roman" w:hAnsi="Times New Roman"/>
                <w:color w:val="000000"/>
                <w:sz w:val="20"/>
                <w:szCs w:val="20"/>
              </w:rPr>
              <w:fldChar w:fldCharType="end"/>
            </w:r>
          </w:p>
          <w:p w14:paraId="69923EE5"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2A83D57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MICHAEL D. CICCHINI, ANATOMY OF A FALSE CONFESSION: THE INTERROGATION AND CONVICTION OF BRENDAN DASSEY 181 (2018). Unlike </w:t>
            </w:r>
            <w:r w:rsidRPr="00B86758">
              <w:rPr>
                <w:rFonts w:ascii="Times New Roman" w:hAnsi="Times New Roman"/>
                <w:i/>
                <w:iCs/>
                <w:color w:val="000000"/>
                <w:sz w:val="20"/>
                <w:szCs w:val="20"/>
              </w:rPr>
              <w:t>post</w:t>
            </w:r>
            <w:r w:rsidRPr="00B86758">
              <w:rPr>
                <w:rFonts w:ascii="Times New Roman" w:hAnsi="Times New Roman"/>
                <w:color w:val="000000"/>
                <w:sz w:val="20"/>
                <w:szCs w:val="20"/>
              </w:rPr>
              <w:t xml:space="preserve">-Miranda silence, </w:t>
            </w:r>
            <w:r w:rsidRPr="00B86758">
              <w:rPr>
                <w:rFonts w:ascii="Times New Roman" w:hAnsi="Times New Roman"/>
                <w:i/>
                <w:iCs/>
                <w:color w:val="000000"/>
                <w:sz w:val="20"/>
                <w:szCs w:val="20"/>
              </w:rPr>
              <w:t>pre</w:t>
            </w:r>
            <w:r w:rsidRPr="00B86758">
              <w:rPr>
                <w:rFonts w:ascii="Times New Roman" w:hAnsi="Times New Roman"/>
                <w:color w:val="000000"/>
                <w:sz w:val="20"/>
                <w:szCs w:val="20"/>
              </w:rPr>
              <w:t xml:space="preserve">-Miranda silence is often used against defendants. </w:t>
            </w:r>
            <w:r w:rsidRPr="00B86758">
              <w:rPr>
                <w:rFonts w:ascii="Times New Roman" w:hAnsi="Times New Roman"/>
                <w:i/>
                <w:iCs/>
                <w:color w:val="000000"/>
                <w:sz w:val="20"/>
                <w:szCs w:val="20"/>
              </w:rPr>
              <w:t>See, e.g.</w:t>
            </w:r>
            <w:r w:rsidRPr="00B86758">
              <w:rPr>
                <w:rFonts w:ascii="Times New Roman" w:hAnsi="Times New Roman"/>
                <w:color w:val="000000"/>
                <w:sz w:val="20"/>
                <w:szCs w:val="20"/>
              </w:rPr>
              <w:t xml:space="preserve">, </w:t>
            </w:r>
            <w:hyperlink r:id="rId47" w:history="1">
              <w:r w:rsidRPr="00B86758">
                <w:rPr>
                  <w:rFonts w:ascii="Times New Roman" w:hAnsi="Times New Roman"/>
                  <w:color w:val="0000FF"/>
                  <w:sz w:val="20"/>
                  <w:szCs w:val="20"/>
                </w:rPr>
                <w:t>State v. Mayo, 734 N.W.2d 115 (Wis. 2007)</w:t>
              </w:r>
            </w:hyperlink>
            <w:r w:rsidRPr="00B86758">
              <w:rPr>
                <w:rFonts w:ascii="Times New Roman" w:hAnsi="Times New Roman"/>
                <w:color w:val="000000"/>
                <w:sz w:val="20"/>
                <w:szCs w:val="20"/>
              </w:rPr>
              <w:t>.</w:t>
            </w:r>
          </w:p>
          <w:p w14:paraId="1EA052BA"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85" w:name="co_footnote_F34507610219_1"/>
      <w:bookmarkEnd w:id="185"/>
      <w:tr w:rsidR="004D1FA8" w:rsidRPr="00B86758" w14:paraId="462173B1" w14:textId="77777777">
        <w:tblPrEx>
          <w:tblCellMar>
            <w:top w:w="0" w:type="dxa"/>
            <w:left w:w="0" w:type="dxa"/>
            <w:bottom w:w="0" w:type="dxa"/>
            <w:right w:w="0" w:type="dxa"/>
          </w:tblCellMar>
        </w:tblPrEx>
        <w:tc>
          <w:tcPr>
            <w:tcW w:w="600" w:type="dxa"/>
            <w:tcBorders>
              <w:top w:val="nil"/>
              <w:left w:val="nil"/>
              <w:bottom w:val="nil"/>
              <w:right w:val="nil"/>
            </w:tcBorders>
          </w:tcPr>
          <w:p w14:paraId="1986334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"#co_fnRef_F34507610219_ID0E6RAE_1"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34</w:t>
            </w:r>
            <w:r w:rsidRPr="00B86758">
              <w:rPr>
                <w:rFonts w:ascii="Times New Roman" w:hAnsi="Times New Roman"/>
                <w:color w:val="000000"/>
                <w:sz w:val="20"/>
                <w:szCs w:val="20"/>
              </w:rPr>
              <w:fldChar w:fldCharType="end"/>
            </w:r>
          </w:p>
          <w:p w14:paraId="4C6AEB8F"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3CDBBDF1"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48" w:history="1">
              <w:r w:rsidRPr="00B86758">
                <w:rPr>
                  <w:rFonts w:ascii="Times New Roman" w:hAnsi="Times New Roman"/>
                  <w:color w:val="0000FF"/>
                  <w:sz w:val="20"/>
                  <w:szCs w:val="20"/>
                </w:rPr>
                <w:t>874 N.W.2d 610 (Wis. Ct. App. 2015)</w:t>
              </w:r>
            </w:hyperlink>
            <w:r w:rsidRPr="00B86758">
              <w:rPr>
                <w:rFonts w:ascii="Times New Roman" w:hAnsi="Times New Roman"/>
                <w:color w:val="000000"/>
                <w:sz w:val="20"/>
                <w:szCs w:val="20"/>
              </w:rPr>
              <w:t>.</w:t>
            </w:r>
          </w:p>
          <w:p w14:paraId="55129D18"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86" w:name="co_footnote_F35507610219_1"/>
      <w:bookmarkEnd w:id="186"/>
      <w:tr w:rsidR="004D1FA8" w:rsidRPr="00B86758" w14:paraId="7958EB36" w14:textId="77777777">
        <w:tblPrEx>
          <w:tblCellMar>
            <w:top w:w="0" w:type="dxa"/>
            <w:left w:w="0" w:type="dxa"/>
            <w:bottom w:w="0" w:type="dxa"/>
            <w:right w:w="0" w:type="dxa"/>
          </w:tblCellMar>
        </w:tblPrEx>
        <w:tc>
          <w:tcPr>
            <w:tcW w:w="600" w:type="dxa"/>
            <w:tcBorders>
              <w:top w:val="nil"/>
              <w:left w:val="nil"/>
              <w:bottom w:val="nil"/>
              <w:right w:val="nil"/>
            </w:tcBorders>
          </w:tcPr>
          <w:p w14:paraId="0C601C34"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"#co_fnRef_F35507610219_ID0EETAE_1"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35</w:t>
            </w:r>
            <w:r w:rsidRPr="00B86758">
              <w:rPr>
                <w:rFonts w:ascii="Times New Roman" w:hAnsi="Times New Roman"/>
                <w:color w:val="000000"/>
                <w:sz w:val="20"/>
                <w:szCs w:val="20"/>
              </w:rPr>
              <w:fldChar w:fldCharType="end"/>
            </w:r>
          </w:p>
          <w:p w14:paraId="5E26B4A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0DEC781B"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49" w:history="1">
              <w:r w:rsidRPr="00B86758">
                <w:rPr>
                  <w:rFonts w:ascii="Times New Roman" w:hAnsi="Times New Roman"/>
                  <w:i/>
                  <w:iCs/>
                  <w:color w:val="0000FF"/>
                  <w:sz w:val="20"/>
                  <w:szCs w:val="20"/>
                </w:rPr>
                <w:t>Id.</w:t>
              </w:r>
              <w:r w:rsidRPr="00B86758">
                <w:rPr>
                  <w:rFonts w:ascii="Times New Roman" w:hAnsi="Times New Roman"/>
                  <w:color w:val="0000FF"/>
                  <w:sz w:val="20"/>
                  <w:szCs w:val="20"/>
                </w:rPr>
                <w:t xml:space="preserve"> at 614</w:t>
              </w:r>
            </w:hyperlink>
            <w:r w:rsidRPr="00B86758">
              <w:rPr>
                <w:rFonts w:ascii="Times New Roman" w:hAnsi="Times New Roman"/>
                <w:color w:val="000000"/>
                <w:sz w:val="20"/>
                <w:szCs w:val="20"/>
              </w:rPr>
              <w:t>.</w:t>
            </w:r>
          </w:p>
          <w:p w14:paraId="43C861B3"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87" w:name="co_footnote_F36507610219_1"/>
      <w:bookmarkEnd w:id="187"/>
      <w:tr w:rsidR="004D1FA8" w:rsidRPr="00B86758" w14:paraId="6A8033D7" w14:textId="77777777">
        <w:tblPrEx>
          <w:tblCellMar>
            <w:top w:w="0" w:type="dxa"/>
            <w:left w:w="0" w:type="dxa"/>
            <w:bottom w:w="0" w:type="dxa"/>
            <w:right w:w="0" w:type="dxa"/>
          </w:tblCellMar>
        </w:tblPrEx>
        <w:tc>
          <w:tcPr>
            <w:tcW w:w="600" w:type="dxa"/>
            <w:tcBorders>
              <w:top w:val="nil"/>
              <w:left w:val="nil"/>
              <w:bottom w:val="nil"/>
              <w:right w:val="nil"/>
            </w:tcBorders>
          </w:tcPr>
          <w:p w14:paraId="634478F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"#co_fnRef_F36507610219_ID0ESUAE_1"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36</w:t>
            </w:r>
            <w:r w:rsidRPr="00B86758">
              <w:rPr>
                <w:rFonts w:ascii="Times New Roman" w:hAnsi="Times New Roman"/>
                <w:color w:val="000000"/>
                <w:sz w:val="20"/>
                <w:szCs w:val="20"/>
              </w:rPr>
              <w:fldChar w:fldCharType="end"/>
            </w:r>
          </w:p>
          <w:p w14:paraId="54E28436"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10F6E097"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50" w:history="1">
              <w:r w:rsidRPr="00B86758">
                <w:rPr>
                  <w:rFonts w:ascii="Times New Roman" w:hAnsi="Times New Roman"/>
                  <w:i/>
                  <w:iCs/>
                  <w:color w:val="0000FF"/>
                  <w:sz w:val="20"/>
                  <w:szCs w:val="20"/>
                </w:rPr>
                <w:t>Id.</w:t>
              </w:r>
              <w:r w:rsidRPr="00B86758">
                <w:rPr>
                  <w:rFonts w:ascii="Times New Roman" w:hAnsi="Times New Roman"/>
                  <w:color w:val="0000FF"/>
                  <w:sz w:val="20"/>
                  <w:szCs w:val="20"/>
                </w:rPr>
                <w:t xml:space="preserve"> at 613</w:t>
              </w:r>
            </w:hyperlink>
            <w:r w:rsidRPr="00B86758">
              <w:rPr>
                <w:rFonts w:ascii="Times New Roman" w:hAnsi="Times New Roman"/>
                <w:color w:val="000000"/>
                <w:sz w:val="20"/>
                <w:szCs w:val="20"/>
              </w:rPr>
              <w:t xml:space="preserve"> (emphasis added).</w:t>
            </w:r>
          </w:p>
          <w:p w14:paraId="6A12B394"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88" w:name="co_footnote_F37507610219_1"/>
      <w:bookmarkEnd w:id="188"/>
      <w:tr w:rsidR="004D1FA8" w:rsidRPr="00B86758" w14:paraId="57854A01" w14:textId="77777777">
        <w:tblPrEx>
          <w:tblCellMar>
            <w:top w:w="0" w:type="dxa"/>
            <w:left w:w="0" w:type="dxa"/>
            <w:bottom w:w="0" w:type="dxa"/>
            <w:right w:w="0" w:type="dxa"/>
          </w:tblCellMar>
        </w:tblPrEx>
        <w:tc>
          <w:tcPr>
            <w:tcW w:w="600" w:type="dxa"/>
            <w:tcBorders>
              <w:top w:val="nil"/>
              <w:left w:val="nil"/>
              <w:bottom w:val="nil"/>
              <w:right w:val="nil"/>
            </w:tcBorders>
          </w:tcPr>
          <w:p w14:paraId="5351C1B4"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"#co_fnRef_F37507610219_ID0EXXAE_1"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37</w:t>
            </w:r>
            <w:r w:rsidRPr="00B86758">
              <w:rPr>
                <w:rFonts w:ascii="Times New Roman" w:hAnsi="Times New Roman"/>
                <w:color w:val="000000"/>
                <w:sz w:val="20"/>
                <w:szCs w:val="20"/>
              </w:rPr>
              <w:fldChar w:fldCharType="end"/>
            </w:r>
          </w:p>
          <w:p w14:paraId="0281073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2AFF5167"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51" w:history="1">
              <w:r w:rsidRPr="00B86758">
                <w:rPr>
                  <w:rFonts w:ascii="Times New Roman" w:hAnsi="Times New Roman"/>
                  <w:color w:val="0000FF"/>
                  <w:sz w:val="20"/>
                  <w:szCs w:val="20"/>
                </w:rPr>
                <w:t>No. 2017AP1559-CR, 2018 WL 3954208 (Wis. Ct. App. Aug. 16, 2018)</w:t>
              </w:r>
            </w:hyperlink>
            <w:r w:rsidRPr="00B86758">
              <w:rPr>
                <w:rFonts w:ascii="Times New Roman" w:hAnsi="Times New Roman"/>
                <w:color w:val="000000"/>
                <w:sz w:val="20"/>
                <w:szCs w:val="20"/>
              </w:rPr>
              <w:t>.</w:t>
            </w:r>
          </w:p>
          <w:p w14:paraId="1FE2B6A3"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89" w:name="co_footnote_F38507610219_1"/>
      <w:bookmarkEnd w:id="189"/>
      <w:tr w:rsidR="004D1FA8" w:rsidRPr="00B86758" w14:paraId="7F6071BD" w14:textId="77777777">
        <w:tblPrEx>
          <w:tblCellMar>
            <w:top w:w="0" w:type="dxa"/>
            <w:left w:w="0" w:type="dxa"/>
            <w:bottom w:w="0" w:type="dxa"/>
            <w:right w:w="0" w:type="dxa"/>
          </w:tblCellMar>
        </w:tblPrEx>
        <w:tc>
          <w:tcPr>
            <w:tcW w:w="600" w:type="dxa"/>
            <w:tcBorders>
              <w:top w:val="nil"/>
              <w:left w:val="nil"/>
              <w:bottom w:val="nil"/>
              <w:right w:val="nil"/>
            </w:tcBorders>
          </w:tcPr>
          <w:p w14:paraId="2F74EA72"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"#co_fnRef_F38507610219_ID0E3XAE_1"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38</w:t>
            </w:r>
            <w:r w:rsidRPr="00B86758">
              <w:rPr>
                <w:rFonts w:ascii="Times New Roman" w:hAnsi="Times New Roman"/>
                <w:color w:val="000000"/>
                <w:sz w:val="20"/>
                <w:szCs w:val="20"/>
              </w:rPr>
              <w:fldChar w:fldCharType="end"/>
            </w:r>
          </w:p>
          <w:p w14:paraId="3352E856"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0EA80BAE"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See id.</w:t>
            </w:r>
          </w:p>
          <w:p w14:paraId="5FD4BCEB"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190" w:name="co_footnote_F39507610219_1"/>
      <w:bookmarkEnd w:id="190"/>
      <w:tr w:rsidR="004D1FA8" w:rsidRPr="00B86758" w14:paraId="1C2D8470" w14:textId="77777777">
        <w:tblPrEx>
          <w:tblCellMar>
            <w:top w:w="0" w:type="dxa"/>
            <w:left w:w="0" w:type="dxa"/>
            <w:bottom w:w="0" w:type="dxa"/>
            <w:right w:w="0" w:type="dxa"/>
          </w:tblCellMar>
        </w:tblPrEx>
        <w:tc>
          <w:tcPr>
            <w:tcW w:w="600" w:type="dxa"/>
            <w:tcBorders>
              <w:top w:val="nil"/>
              <w:left w:val="nil"/>
              <w:bottom w:val="nil"/>
              <w:right w:val="nil"/>
            </w:tcBorders>
          </w:tcPr>
          <w:p w14:paraId="31F84EDB"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"#co_fnRef_F39507610219_ID0EPKAG_1"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39</w:t>
            </w:r>
            <w:r w:rsidRPr="00B86758">
              <w:rPr>
                <w:rFonts w:ascii="Times New Roman" w:hAnsi="Times New Roman"/>
                <w:color w:val="000000"/>
                <w:sz w:val="20"/>
                <w:szCs w:val="20"/>
              </w:rPr>
              <w:fldChar w:fldCharType="end"/>
            </w:r>
          </w:p>
          <w:p w14:paraId="1DF5F05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7F111536"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The witness’s qualifications were set forth in the defendant’s appellate brief, which counsel may wish to cite in footnote form if not in the body of the motion. </w:t>
            </w:r>
            <w:r w:rsidRPr="00B86758">
              <w:rPr>
                <w:rFonts w:ascii="Times New Roman" w:hAnsi="Times New Roman"/>
                <w:i/>
                <w:iCs/>
                <w:color w:val="000000"/>
                <w:sz w:val="20"/>
                <w:szCs w:val="20"/>
              </w:rPr>
              <w:t>See</w:t>
            </w:r>
            <w:r w:rsidRPr="00B86758">
              <w:rPr>
                <w:rFonts w:ascii="Times New Roman" w:hAnsi="Times New Roman"/>
                <w:color w:val="000000"/>
                <w:sz w:val="20"/>
                <w:szCs w:val="20"/>
              </w:rPr>
              <w:t xml:space="preserve"> Brief of Defendant-Appellant at 17-18, </w:t>
            </w:r>
            <w:hyperlink r:id="rId52" w:history="1">
              <w:r w:rsidRPr="00B86758">
                <w:rPr>
                  <w:rFonts w:ascii="Times New Roman" w:hAnsi="Times New Roman"/>
                  <w:color w:val="0000FF"/>
                  <w:sz w:val="20"/>
                  <w:szCs w:val="20"/>
                </w:rPr>
                <w:t>State v. Murphy, No. 2017AP001559-CR (Wis. Ct. App. Aug. 16, 2018), 2017 WL 5890839</w:t>
              </w:r>
            </w:hyperlink>
            <w:r w:rsidRPr="00B86758">
              <w:rPr>
                <w:rFonts w:ascii="Times New Roman" w:hAnsi="Times New Roman"/>
                <w:color w:val="000000"/>
                <w:sz w:val="20"/>
                <w:szCs w:val="20"/>
              </w:rPr>
              <w:t xml:space="preserve">. </w:t>
            </w:r>
            <w:r w:rsidRPr="00B86758">
              <w:rPr>
                <w:rFonts w:ascii="Times New Roman" w:hAnsi="Times New Roman"/>
                <w:i/>
                <w:iCs/>
                <w:color w:val="000000"/>
                <w:sz w:val="20"/>
                <w:szCs w:val="20"/>
              </w:rPr>
              <w:t>Murphy</w:t>
            </w:r>
            <w:r w:rsidRPr="00B86758">
              <w:rPr>
                <w:rFonts w:ascii="Times New Roman" w:hAnsi="Times New Roman"/>
                <w:color w:val="000000"/>
                <w:sz w:val="20"/>
                <w:szCs w:val="20"/>
              </w:rPr>
              <w:t xml:space="preserve"> is unpublished, and not all such cases may be cited as binding, or even persuasive, authority. For the rule in Wisconsin, see </w:t>
            </w:r>
            <w:hyperlink r:id="rId53" w:history="1">
              <w:r w:rsidRPr="00B86758">
                <w:rPr>
                  <w:rFonts w:ascii="Times New Roman" w:hAnsi="Times New Roman"/>
                  <w:color w:val="0000FF"/>
                  <w:sz w:val="20"/>
                  <w:szCs w:val="20"/>
                </w:rPr>
                <w:t>WIS. STAT. § 809.23(3)(b)</w:t>
              </w:r>
            </w:hyperlink>
            <w:r w:rsidRPr="00B86758">
              <w:rPr>
                <w:rFonts w:ascii="Times New Roman" w:hAnsi="Times New Roman"/>
                <w:color w:val="000000"/>
                <w:sz w:val="20"/>
                <w:szCs w:val="20"/>
              </w:rPr>
              <w:t xml:space="preserve"> </w:t>
            </w:r>
            <w:r w:rsidRPr="00B86758">
              <w:rPr>
                <w:rFonts w:ascii="Times New Roman" w:hAnsi="Times New Roman"/>
                <w:color w:val="000000"/>
                <w:sz w:val="20"/>
                <w:szCs w:val="20"/>
              </w:rPr>
              <w:lastRenderedPageBreak/>
              <w:t xml:space="preserve">(2020) (“[A]n unpublished opinion issued on or after July 1, 2009, that is authored by a member of a three-judge panel or by a single judge under s. 752.31 (2) may be cited for its persuasive value. A per curiam opinion, memorandum opinion, summary disposition order, or other order is not an authored opinion for purposes of this subsection. Because an unpublished opinion cited for its persuasive value is not precedent, it is not binding on any court of this state.”). Further, Wisconsin litigants should provide a copy of the unpublished cases cited as persuasive authority. </w:t>
            </w:r>
            <w:r w:rsidRPr="00B86758">
              <w:rPr>
                <w:rFonts w:ascii="Times New Roman" w:hAnsi="Times New Roman"/>
                <w:i/>
                <w:iCs/>
                <w:color w:val="000000"/>
                <w:sz w:val="20"/>
                <w:szCs w:val="20"/>
              </w:rPr>
              <w:t>See</w:t>
            </w:r>
            <w:r w:rsidRPr="00B86758">
              <w:rPr>
                <w:rFonts w:ascii="Times New Roman" w:hAnsi="Times New Roman"/>
                <w:color w:val="000000"/>
                <w:sz w:val="20"/>
                <w:szCs w:val="20"/>
              </w:rPr>
              <w:t xml:space="preserve"> </w:t>
            </w:r>
            <w:hyperlink r:id="rId54" w:history="1">
              <w:r w:rsidRPr="00B86758">
                <w:rPr>
                  <w:rFonts w:ascii="Times New Roman" w:hAnsi="Times New Roman"/>
                  <w:color w:val="0000FF"/>
                  <w:sz w:val="20"/>
                  <w:szCs w:val="20"/>
                </w:rPr>
                <w:t>WIS. STAT. § 809.23(3)(c)</w:t>
              </w:r>
            </w:hyperlink>
            <w:r w:rsidRPr="00B86758">
              <w:rPr>
                <w:rFonts w:ascii="Times New Roman" w:hAnsi="Times New Roman"/>
                <w:color w:val="000000"/>
                <w:sz w:val="20"/>
                <w:szCs w:val="20"/>
              </w:rPr>
              <w:t xml:space="preserve"> (2020) (“A party citing an unpublished opinion shall file and serve a copy of the opinion with the brief or other paper in which the opinion is cited.”).</w:t>
            </w:r>
          </w:p>
          <w:p w14:paraId="4D67A4E3"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91" w:name="co_footnote_F40507610219_1"/>
      <w:bookmarkEnd w:id="191"/>
      <w:tr w:rsidR="004D1FA8" w:rsidRPr="00B86758" w14:paraId="430F4E93" w14:textId="77777777">
        <w:tblPrEx>
          <w:tblCellMar>
            <w:top w:w="0" w:type="dxa"/>
            <w:left w:w="0" w:type="dxa"/>
            <w:bottom w:w="0" w:type="dxa"/>
            <w:right w:w="0" w:type="dxa"/>
          </w:tblCellMar>
        </w:tblPrEx>
        <w:tc>
          <w:tcPr>
            <w:tcW w:w="600" w:type="dxa"/>
            <w:tcBorders>
              <w:top w:val="nil"/>
              <w:left w:val="nil"/>
              <w:bottom w:val="nil"/>
              <w:right w:val="nil"/>
            </w:tcBorders>
          </w:tcPr>
          <w:p w14:paraId="193E8CB7"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lastRenderedPageBreak/>
              <w:fldChar w:fldCharType="begin"/>
            </w:r>
            <w:r w:rsidRPr="00B86758">
              <w:rPr>
                <w:rFonts w:ascii="Times New Roman" w:hAnsi="Times New Roman"/>
                <w:color w:val="000000"/>
                <w:sz w:val="20"/>
                <w:szCs w:val="20"/>
              </w:rPr>
              <w:instrText xml:space="preserve">HYPERLINK "#co_fnRef_F40507610219_ID0E64AG_1"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40</w:t>
            </w:r>
            <w:r w:rsidRPr="00B86758">
              <w:rPr>
                <w:rFonts w:ascii="Times New Roman" w:hAnsi="Times New Roman"/>
                <w:color w:val="000000"/>
                <w:sz w:val="20"/>
                <w:szCs w:val="20"/>
              </w:rPr>
              <w:fldChar w:fldCharType="end"/>
            </w:r>
          </w:p>
          <w:p w14:paraId="0FA8FBA9"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60CB3831"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Déirdre Dwyer, </w:t>
            </w:r>
            <w:hyperlink r:id="rId55" w:history="1">
              <w:r w:rsidRPr="00B86758">
                <w:rPr>
                  <w:rFonts w:ascii="Times New Roman" w:hAnsi="Times New Roman"/>
                  <w:i/>
                  <w:iCs/>
                  <w:color w:val="0000FF"/>
                  <w:sz w:val="20"/>
                  <w:szCs w:val="20"/>
                </w:rPr>
                <w:t>(Why) Are Civil and Criminal Expert Evidence Different?</w:t>
              </w:r>
              <w:r w:rsidRPr="00B86758">
                <w:rPr>
                  <w:rFonts w:ascii="Times New Roman" w:hAnsi="Times New Roman"/>
                  <w:color w:val="0000FF"/>
                  <w:sz w:val="20"/>
                  <w:szCs w:val="20"/>
                </w:rPr>
                <w:t>, 43 TULSA L. REV. 381, 383 (2007)</w:t>
              </w:r>
            </w:hyperlink>
            <w:r w:rsidRPr="00B86758">
              <w:rPr>
                <w:rFonts w:ascii="Times New Roman" w:hAnsi="Times New Roman"/>
                <w:color w:val="000000"/>
                <w:sz w:val="20"/>
                <w:szCs w:val="20"/>
              </w:rPr>
              <w:t>.</w:t>
            </w:r>
          </w:p>
          <w:p w14:paraId="6F3799AC"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92" w:name="co_footnote_F41507610219_1"/>
      <w:bookmarkEnd w:id="192"/>
      <w:tr w:rsidR="004D1FA8" w:rsidRPr="00B86758" w14:paraId="3DA15A51" w14:textId="77777777">
        <w:tblPrEx>
          <w:tblCellMar>
            <w:top w:w="0" w:type="dxa"/>
            <w:left w:w="0" w:type="dxa"/>
            <w:bottom w:w="0" w:type="dxa"/>
            <w:right w:w="0" w:type="dxa"/>
          </w:tblCellMar>
        </w:tblPrEx>
        <w:tc>
          <w:tcPr>
            <w:tcW w:w="600" w:type="dxa"/>
            <w:tcBorders>
              <w:top w:val="nil"/>
              <w:left w:val="nil"/>
              <w:bottom w:val="nil"/>
              <w:right w:val="nil"/>
            </w:tcBorders>
          </w:tcPr>
          <w:p w14:paraId="3D46373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"#co_fnRef_F41507610219_ID0EF5AG_1"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41</w:t>
            </w:r>
            <w:r w:rsidRPr="00B86758">
              <w:rPr>
                <w:rFonts w:ascii="Times New Roman" w:hAnsi="Times New Roman"/>
                <w:color w:val="000000"/>
                <w:sz w:val="20"/>
                <w:szCs w:val="20"/>
              </w:rPr>
              <w:fldChar w:fldCharType="end"/>
            </w:r>
          </w:p>
          <w:p w14:paraId="49C21732"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3600B28E"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 e.g.</w:t>
            </w:r>
            <w:r w:rsidRPr="00B86758">
              <w:rPr>
                <w:rFonts w:ascii="Times New Roman" w:hAnsi="Times New Roman"/>
                <w:color w:val="000000"/>
                <w:sz w:val="20"/>
                <w:szCs w:val="20"/>
              </w:rPr>
              <w:t xml:space="preserve">, </w:t>
            </w:r>
            <w:hyperlink r:id="rId56" w:history="1">
              <w:r w:rsidRPr="00B86758">
                <w:rPr>
                  <w:rFonts w:ascii="Times New Roman" w:hAnsi="Times New Roman"/>
                  <w:color w:val="0000FF"/>
                  <w:sz w:val="20"/>
                  <w:szCs w:val="20"/>
                </w:rPr>
                <w:t>WIS. STAT. § 971.23(2m)(am)</w:t>
              </w:r>
            </w:hyperlink>
            <w:r w:rsidRPr="00B86758">
              <w:rPr>
                <w:rFonts w:ascii="Times New Roman" w:hAnsi="Times New Roman"/>
                <w:color w:val="000000"/>
                <w:sz w:val="20"/>
                <w:szCs w:val="20"/>
              </w:rPr>
              <w:t xml:space="preserve"> (2020) (requiring the defense to provide “any reports or statements of experts made in connection with the case or, if an expert does not prepare a report or statement, a written summary of the expert’s findings or the subject matter of his or her testimony ....”).</w:t>
            </w:r>
          </w:p>
          <w:p w14:paraId="53CEBFCF"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93" w:name="co_footnote_F42507610219_1"/>
      <w:bookmarkEnd w:id="193"/>
      <w:tr w:rsidR="004D1FA8" w:rsidRPr="00B86758" w14:paraId="54A487D7" w14:textId="77777777">
        <w:tblPrEx>
          <w:tblCellMar>
            <w:top w:w="0" w:type="dxa"/>
            <w:left w:w="0" w:type="dxa"/>
            <w:bottom w:w="0" w:type="dxa"/>
            <w:right w:w="0" w:type="dxa"/>
          </w:tblCellMar>
        </w:tblPrEx>
        <w:tc>
          <w:tcPr>
            <w:tcW w:w="600" w:type="dxa"/>
            <w:tcBorders>
              <w:top w:val="nil"/>
              <w:left w:val="nil"/>
              <w:bottom w:val="nil"/>
              <w:right w:val="nil"/>
            </w:tcBorders>
          </w:tcPr>
          <w:p w14:paraId="7212A166"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"#co_fnRef_F42507610219_ID0EB6AG_1"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42</w:t>
            </w:r>
            <w:r w:rsidRPr="00B86758">
              <w:rPr>
                <w:rFonts w:ascii="Times New Roman" w:hAnsi="Times New Roman"/>
                <w:color w:val="000000"/>
                <w:sz w:val="20"/>
                <w:szCs w:val="20"/>
              </w:rPr>
              <w:fldChar w:fldCharType="end"/>
            </w:r>
          </w:p>
          <w:p w14:paraId="4FC6CD4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18BED79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57" w:history="1">
              <w:r w:rsidRPr="00B86758">
                <w:rPr>
                  <w:rFonts w:ascii="Times New Roman" w:hAnsi="Times New Roman"/>
                  <w:color w:val="0000FF"/>
                  <w:sz w:val="20"/>
                  <w:szCs w:val="20"/>
                </w:rPr>
                <w:t>WIS. STAT. § 907.02</w:t>
              </w:r>
            </w:hyperlink>
            <w:r w:rsidRPr="00B86758">
              <w:rPr>
                <w:rFonts w:ascii="Times New Roman" w:hAnsi="Times New Roman"/>
                <w:color w:val="000000"/>
                <w:sz w:val="20"/>
                <w:szCs w:val="20"/>
              </w:rPr>
              <w:t xml:space="preserve"> (2020) (providing that for testimony to be admissible, the court must determine that the expert “applied the principles and methods reliably to the facts of the case”).</w:t>
            </w:r>
          </w:p>
          <w:p w14:paraId="6C60B249"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94" w:name="co_footnote_F43507610219_1"/>
      <w:bookmarkEnd w:id="194"/>
      <w:tr w:rsidR="004D1FA8" w:rsidRPr="00B86758" w14:paraId="00140939" w14:textId="77777777">
        <w:tblPrEx>
          <w:tblCellMar>
            <w:top w:w="0" w:type="dxa"/>
            <w:left w:w="0" w:type="dxa"/>
            <w:bottom w:w="0" w:type="dxa"/>
            <w:right w:w="0" w:type="dxa"/>
          </w:tblCellMar>
        </w:tblPrEx>
        <w:tc>
          <w:tcPr>
            <w:tcW w:w="600" w:type="dxa"/>
            <w:tcBorders>
              <w:top w:val="nil"/>
              <w:left w:val="nil"/>
              <w:bottom w:val="nil"/>
              <w:right w:val="nil"/>
            </w:tcBorders>
          </w:tcPr>
          <w:p w14:paraId="46FC1D8B"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"#co_fnRef_F43507610219_ID0EZ6AG_1"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43</w:t>
            </w:r>
            <w:r w:rsidRPr="00B86758">
              <w:rPr>
                <w:rFonts w:ascii="Times New Roman" w:hAnsi="Times New Roman"/>
                <w:color w:val="000000"/>
                <w:sz w:val="20"/>
                <w:szCs w:val="20"/>
              </w:rPr>
              <w:fldChar w:fldCharType="end"/>
            </w:r>
          </w:p>
          <w:p w14:paraId="5106408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77E74001"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58" w:history="1">
              <w:r w:rsidRPr="00B86758">
                <w:rPr>
                  <w:rFonts w:ascii="Times New Roman" w:hAnsi="Times New Roman"/>
                  <w:color w:val="0000FF"/>
                  <w:sz w:val="20"/>
                  <w:szCs w:val="20"/>
                </w:rPr>
                <w:t>State v. Bauer, No. 2018AP169-CR, 2019 WL 477361, at *4 (Wis. Ct. App. Feb. 7, 2019)</w:t>
              </w:r>
            </w:hyperlink>
            <w:r w:rsidRPr="00B86758">
              <w:rPr>
                <w:rFonts w:ascii="Times New Roman" w:hAnsi="Times New Roman"/>
                <w:color w:val="000000"/>
                <w:sz w:val="20"/>
                <w:szCs w:val="20"/>
              </w:rPr>
              <w:t>.</w:t>
            </w:r>
          </w:p>
          <w:p w14:paraId="7D8F5DF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95" w:name="co_footnote_F44507610219_1"/>
      <w:bookmarkEnd w:id="195"/>
      <w:tr w:rsidR="004D1FA8" w:rsidRPr="00B86758" w14:paraId="69DCAA43" w14:textId="77777777">
        <w:tblPrEx>
          <w:tblCellMar>
            <w:top w:w="0" w:type="dxa"/>
            <w:left w:w="0" w:type="dxa"/>
            <w:bottom w:w="0" w:type="dxa"/>
            <w:right w:w="0" w:type="dxa"/>
          </w:tblCellMar>
        </w:tblPrEx>
        <w:tc>
          <w:tcPr>
            <w:tcW w:w="600" w:type="dxa"/>
            <w:tcBorders>
              <w:top w:val="nil"/>
              <w:left w:val="nil"/>
              <w:bottom w:val="nil"/>
              <w:right w:val="nil"/>
            </w:tcBorders>
          </w:tcPr>
          <w:p w14:paraId="1BB2905F"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"#co_fnRef_F44507610219_ID0EHABG_1"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44</w:t>
            </w:r>
            <w:r w:rsidRPr="00B86758">
              <w:rPr>
                <w:rFonts w:ascii="Times New Roman" w:hAnsi="Times New Roman"/>
                <w:color w:val="000000"/>
                <w:sz w:val="20"/>
                <w:szCs w:val="20"/>
              </w:rPr>
              <w:fldChar w:fldCharType="end"/>
            </w:r>
          </w:p>
          <w:p w14:paraId="2C595CF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7B511A2B"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Id.</w:t>
            </w:r>
            <w:r w:rsidRPr="00B86758">
              <w:rPr>
                <w:rFonts w:ascii="Times New Roman" w:hAnsi="Times New Roman"/>
                <w:color w:val="000000"/>
                <w:sz w:val="20"/>
                <w:szCs w:val="20"/>
              </w:rPr>
              <w:t xml:space="preserve"> at *3.</w:t>
            </w:r>
          </w:p>
          <w:p w14:paraId="7165CFAA"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96" w:name="co_footnote_F45507610219_1"/>
      <w:bookmarkEnd w:id="196"/>
      <w:tr w:rsidR="004D1FA8" w:rsidRPr="00B86758" w14:paraId="4B202B7C" w14:textId="77777777">
        <w:tblPrEx>
          <w:tblCellMar>
            <w:top w:w="0" w:type="dxa"/>
            <w:left w:w="0" w:type="dxa"/>
            <w:bottom w:w="0" w:type="dxa"/>
            <w:right w:w="0" w:type="dxa"/>
          </w:tblCellMar>
        </w:tblPrEx>
        <w:tc>
          <w:tcPr>
            <w:tcW w:w="600" w:type="dxa"/>
            <w:tcBorders>
              <w:top w:val="nil"/>
              <w:left w:val="nil"/>
              <w:bottom w:val="nil"/>
              <w:right w:val="nil"/>
            </w:tcBorders>
          </w:tcPr>
          <w:p w14:paraId="517CAFC5"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"#co_fnRef_F45507610219_ID0EUABG_1"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45</w:t>
            </w:r>
            <w:r w:rsidRPr="00B86758">
              <w:rPr>
                <w:rFonts w:ascii="Times New Roman" w:hAnsi="Times New Roman"/>
                <w:color w:val="000000"/>
                <w:sz w:val="20"/>
                <w:szCs w:val="20"/>
              </w:rPr>
              <w:fldChar w:fldCharType="end"/>
            </w:r>
          </w:p>
          <w:p w14:paraId="376FF3D4"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5CE9EEFF"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59" w:history="1">
              <w:r w:rsidRPr="00B86758">
                <w:rPr>
                  <w:rFonts w:ascii="Times New Roman" w:hAnsi="Times New Roman"/>
                  <w:color w:val="0000FF"/>
                  <w:sz w:val="20"/>
                  <w:szCs w:val="20"/>
                </w:rPr>
                <w:t>WIS. STAT. § 907.02</w:t>
              </w:r>
            </w:hyperlink>
            <w:r w:rsidRPr="00B86758">
              <w:rPr>
                <w:rFonts w:ascii="Times New Roman" w:hAnsi="Times New Roman"/>
                <w:color w:val="000000"/>
                <w:sz w:val="20"/>
                <w:szCs w:val="20"/>
              </w:rPr>
              <w:t xml:space="preserve"> (2020).</w:t>
            </w:r>
          </w:p>
          <w:p w14:paraId="15828475"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97" w:name="co_footnote_F46507610219_1"/>
      <w:bookmarkEnd w:id="197"/>
      <w:tr w:rsidR="004D1FA8" w:rsidRPr="00B86758" w14:paraId="6D070610" w14:textId="77777777">
        <w:tblPrEx>
          <w:tblCellMar>
            <w:top w:w="0" w:type="dxa"/>
            <w:left w:w="0" w:type="dxa"/>
            <w:bottom w:w="0" w:type="dxa"/>
            <w:right w:w="0" w:type="dxa"/>
          </w:tblCellMar>
        </w:tblPrEx>
        <w:tc>
          <w:tcPr>
            <w:tcW w:w="600" w:type="dxa"/>
            <w:tcBorders>
              <w:top w:val="nil"/>
              <w:left w:val="nil"/>
              <w:bottom w:val="nil"/>
              <w:right w:val="nil"/>
            </w:tcBorders>
          </w:tcPr>
          <w:p w14:paraId="2C31099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"#co_fnRef_F46507610219_ID0EPBBG_1"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46</w:t>
            </w:r>
            <w:r w:rsidRPr="00B86758">
              <w:rPr>
                <w:rFonts w:ascii="Times New Roman" w:hAnsi="Times New Roman"/>
                <w:color w:val="000000"/>
                <w:sz w:val="20"/>
                <w:szCs w:val="20"/>
              </w:rPr>
              <w:fldChar w:fldCharType="end"/>
            </w:r>
          </w:p>
          <w:p w14:paraId="704AB68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7D487755"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60" w:history="1">
              <w:r w:rsidRPr="00B86758">
                <w:rPr>
                  <w:rFonts w:ascii="Times New Roman" w:hAnsi="Times New Roman"/>
                  <w:i/>
                  <w:iCs/>
                  <w:color w:val="0000FF"/>
                  <w:sz w:val="20"/>
                  <w:szCs w:val="20"/>
                </w:rPr>
                <w:t>Bauer</w:t>
              </w:r>
              <w:r w:rsidRPr="00B86758">
                <w:rPr>
                  <w:rFonts w:ascii="Times New Roman" w:hAnsi="Times New Roman"/>
                  <w:color w:val="0000FF"/>
                  <w:sz w:val="20"/>
                  <w:szCs w:val="20"/>
                </w:rPr>
                <w:t>, 2019 WL 477361 at *4</w:t>
              </w:r>
            </w:hyperlink>
            <w:r w:rsidRPr="00B86758">
              <w:rPr>
                <w:rFonts w:ascii="Times New Roman" w:hAnsi="Times New Roman"/>
                <w:color w:val="000000"/>
                <w:sz w:val="20"/>
                <w:szCs w:val="20"/>
              </w:rPr>
              <w:t>.</w:t>
            </w:r>
          </w:p>
          <w:p w14:paraId="6016FD79"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98" w:name="co_footnote_F47507610219_1"/>
      <w:bookmarkEnd w:id="198"/>
      <w:tr w:rsidR="004D1FA8" w:rsidRPr="00B86758" w14:paraId="43660078" w14:textId="77777777">
        <w:tblPrEx>
          <w:tblCellMar>
            <w:top w:w="0" w:type="dxa"/>
            <w:left w:w="0" w:type="dxa"/>
            <w:bottom w:w="0" w:type="dxa"/>
            <w:right w:w="0" w:type="dxa"/>
          </w:tblCellMar>
        </w:tblPrEx>
        <w:tc>
          <w:tcPr>
            <w:tcW w:w="600" w:type="dxa"/>
            <w:tcBorders>
              <w:top w:val="nil"/>
              <w:left w:val="nil"/>
              <w:bottom w:val="nil"/>
              <w:right w:val="nil"/>
            </w:tcBorders>
          </w:tcPr>
          <w:p w14:paraId="41807E5C"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"#co_fnRef_F47507610219_ID0E6BBG_1"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47</w:t>
            </w:r>
            <w:r w:rsidRPr="00B86758">
              <w:rPr>
                <w:rFonts w:ascii="Times New Roman" w:hAnsi="Times New Roman"/>
                <w:color w:val="000000"/>
                <w:sz w:val="20"/>
                <w:szCs w:val="20"/>
              </w:rPr>
              <w:fldChar w:fldCharType="end"/>
            </w:r>
          </w:p>
          <w:p w14:paraId="797C74A6"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3693ED5B"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Id.</w:t>
            </w:r>
            <w:r w:rsidRPr="00B86758">
              <w:rPr>
                <w:rFonts w:ascii="Times New Roman" w:hAnsi="Times New Roman"/>
                <w:color w:val="000000"/>
                <w:sz w:val="20"/>
                <w:szCs w:val="20"/>
              </w:rPr>
              <w:t xml:space="preserve"> (emphasis added).</w:t>
            </w:r>
          </w:p>
          <w:p w14:paraId="6405890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199" w:name="co_footnote_F48507610219_1"/>
      <w:bookmarkEnd w:id="199"/>
      <w:tr w:rsidR="004D1FA8" w:rsidRPr="00B86758" w14:paraId="70B67123" w14:textId="77777777">
        <w:tblPrEx>
          <w:tblCellMar>
            <w:top w:w="0" w:type="dxa"/>
            <w:left w:w="0" w:type="dxa"/>
            <w:bottom w:w="0" w:type="dxa"/>
            <w:right w:w="0" w:type="dxa"/>
          </w:tblCellMar>
        </w:tblPrEx>
        <w:tc>
          <w:tcPr>
            <w:tcW w:w="600" w:type="dxa"/>
            <w:tcBorders>
              <w:top w:val="nil"/>
              <w:left w:val="nil"/>
              <w:bottom w:val="nil"/>
              <w:right w:val="nil"/>
            </w:tcBorders>
          </w:tcPr>
          <w:p w14:paraId="3B2CE744"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"#co_fnRef_F48507610219_ID0EGCBG_1"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48</w:t>
            </w:r>
            <w:r w:rsidRPr="00B86758">
              <w:rPr>
                <w:rFonts w:ascii="Times New Roman" w:hAnsi="Times New Roman"/>
                <w:color w:val="000000"/>
                <w:sz w:val="20"/>
                <w:szCs w:val="20"/>
              </w:rPr>
              <w:fldChar w:fldCharType="end"/>
            </w:r>
          </w:p>
          <w:p w14:paraId="44B0F637"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53E28601"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61" w:history="1">
              <w:r w:rsidRPr="00B86758">
                <w:rPr>
                  <w:rFonts w:ascii="Times New Roman" w:hAnsi="Times New Roman"/>
                  <w:i/>
                  <w:iCs/>
                  <w:color w:val="0000FF"/>
                  <w:sz w:val="20"/>
                  <w:szCs w:val="20"/>
                </w:rPr>
                <w:t>Id.</w:t>
              </w:r>
              <w:r w:rsidRPr="00B86758">
                <w:rPr>
                  <w:rFonts w:ascii="Times New Roman" w:hAnsi="Times New Roman"/>
                  <w:color w:val="0000FF"/>
                  <w:sz w:val="20"/>
                  <w:szCs w:val="20"/>
                </w:rPr>
                <w:t xml:space="preserve"> at *3</w:t>
              </w:r>
            </w:hyperlink>
            <w:r w:rsidRPr="00B86758">
              <w:rPr>
                <w:rFonts w:ascii="Times New Roman" w:hAnsi="Times New Roman"/>
                <w:color w:val="000000"/>
                <w:sz w:val="20"/>
                <w:szCs w:val="20"/>
              </w:rPr>
              <w:t xml:space="preserve"> (emphasis added).</w:t>
            </w:r>
          </w:p>
          <w:p w14:paraId="343BAF07"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00" w:name="co_footnote_F49507610219_1"/>
      <w:bookmarkEnd w:id="200"/>
      <w:tr w:rsidR="004D1FA8" w:rsidRPr="00B86758" w14:paraId="7E198D05" w14:textId="77777777">
        <w:tblPrEx>
          <w:tblCellMar>
            <w:top w:w="0" w:type="dxa"/>
            <w:left w:w="0" w:type="dxa"/>
            <w:bottom w:w="0" w:type="dxa"/>
            <w:right w:w="0" w:type="dxa"/>
          </w:tblCellMar>
        </w:tblPrEx>
        <w:tc>
          <w:tcPr>
            <w:tcW w:w="600" w:type="dxa"/>
            <w:tcBorders>
              <w:top w:val="nil"/>
              <w:left w:val="nil"/>
              <w:bottom w:val="nil"/>
              <w:right w:val="nil"/>
            </w:tcBorders>
          </w:tcPr>
          <w:p w14:paraId="221F4480"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"#co_fnRef_F49507610219_ID0ENCBG_1"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49</w:t>
            </w:r>
            <w:r w:rsidRPr="00B86758">
              <w:rPr>
                <w:rFonts w:ascii="Times New Roman" w:hAnsi="Times New Roman"/>
                <w:color w:val="000000"/>
                <w:sz w:val="20"/>
                <w:szCs w:val="20"/>
              </w:rPr>
              <w:fldChar w:fldCharType="end"/>
            </w:r>
          </w:p>
          <w:p w14:paraId="2493B4D9"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518DB436"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In Wisconsin and elsewhere, witness truthfulness and credibility is for the jury to determine. </w:t>
            </w:r>
            <w:r w:rsidRPr="00B86758">
              <w:rPr>
                <w:rFonts w:ascii="Times New Roman" w:hAnsi="Times New Roman"/>
                <w:i/>
                <w:iCs/>
                <w:color w:val="000000"/>
                <w:sz w:val="20"/>
                <w:szCs w:val="20"/>
              </w:rPr>
              <w:t>See</w:t>
            </w:r>
            <w:r w:rsidRPr="00B86758">
              <w:rPr>
                <w:rFonts w:ascii="Times New Roman" w:hAnsi="Times New Roman"/>
                <w:color w:val="000000"/>
                <w:sz w:val="20"/>
                <w:szCs w:val="20"/>
              </w:rPr>
              <w:t xml:space="preserve"> </w:t>
            </w:r>
            <w:hyperlink r:id="rId62" w:history="1">
              <w:r w:rsidRPr="00B86758">
                <w:rPr>
                  <w:rFonts w:ascii="Times New Roman" w:hAnsi="Times New Roman"/>
                  <w:color w:val="0000FF"/>
                  <w:sz w:val="20"/>
                  <w:szCs w:val="20"/>
                </w:rPr>
                <w:t>State v. Haseltine, 352 N.W.2d 673, 676 (Wis. Ct. App. 1984)</w:t>
              </w:r>
            </w:hyperlink>
            <w:r w:rsidRPr="00B86758">
              <w:rPr>
                <w:rFonts w:ascii="Times New Roman" w:hAnsi="Times New Roman"/>
                <w:color w:val="000000"/>
                <w:sz w:val="20"/>
                <w:szCs w:val="20"/>
              </w:rPr>
              <w:t xml:space="preserve"> (“[T]he psychiatrist’s opinion, with its aura of scientific reliability, creates too great a possibility that the jury abdicated its fact-finding role to the psychiatrist ....”); WIS. JURY INSTRUCTION CRIM. 300 (“You are the sole judges of the credibility, that is, the believability, of the witnesses and of the weight to be given to their testimony.”).</w:t>
            </w:r>
          </w:p>
          <w:p w14:paraId="44474B1E"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01" w:name="co_footnote_F50507610219_1"/>
      <w:bookmarkEnd w:id="201"/>
      <w:tr w:rsidR="004D1FA8" w:rsidRPr="00B86758" w14:paraId="181F2B90" w14:textId="77777777">
        <w:tblPrEx>
          <w:tblCellMar>
            <w:top w:w="0" w:type="dxa"/>
            <w:left w:w="0" w:type="dxa"/>
            <w:bottom w:w="0" w:type="dxa"/>
            <w:right w:w="0" w:type="dxa"/>
          </w:tblCellMar>
        </w:tblPrEx>
        <w:tc>
          <w:tcPr>
            <w:tcW w:w="600" w:type="dxa"/>
            <w:tcBorders>
              <w:top w:val="nil"/>
              <w:left w:val="nil"/>
              <w:bottom w:val="nil"/>
              <w:right w:val="nil"/>
            </w:tcBorders>
          </w:tcPr>
          <w:p w14:paraId="3543F1D4"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"#co_fnRef_F50507610219_ID0EWDBG_1"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50</w:t>
            </w:r>
            <w:r w:rsidRPr="00B86758">
              <w:rPr>
                <w:rFonts w:ascii="Times New Roman" w:hAnsi="Times New Roman"/>
                <w:color w:val="000000"/>
                <w:sz w:val="20"/>
                <w:szCs w:val="20"/>
              </w:rPr>
              <w:fldChar w:fldCharType="end"/>
            </w:r>
          </w:p>
          <w:p w14:paraId="0AA112FB"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6061ED2A"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w:t>
            </w:r>
            <w:r w:rsidRPr="00B86758">
              <w:rPr>
                <w:rFonts w:ascii="Times New Roman" w:hAnsi="Times New Roman"/>
                <w:color w:val="000000"/>
                <w:sz w:val="20"/>
                <w:szCs w:val="20"/>
              </w:rPr>
              <w:t xml:space="preserve"> Risinger, </w:t>
            </w:r>
            <w:r w:rsidRPr="00B86758">
              <w:rPr>
                <w:rFonts w:ascii="Times New Roman" w:hAnsi="Times New Roman"/>
                <w:i/>
                <w:iCs/>
                <w:color w:val="000000"/>
                <w:sz w:val="20"/>
                <w:szCs w:val="20"/>
              </w:rPr>
              <w:t>supra</w:t>
            </w:r>
            <w:r w:rsidRPr="00B86758">
              <w:rPr>
                <w:rFonts w:ascii="Times New Roman" w:hAnsi="Times New Roman"/>
                <w:color w:val="000000"/>
                <w:sz w:val="20"/>
                <w:szCs w:val="20"/>
              </w:rPr>
              <w:t xml:space="preserve"> note 19, at 131-32 (discussing the holdings of numerous courts permitting the use of exposition testimony).</w:t>
            </w:r>
          </w:p>
          <w:p w14:paraId="27D45720"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02" w:name="co_footnote_F51507610219_1"/>
      <w:bookmarkEnd w:id="202"/>
      <w:tr w:rsidR="004D1FA8" w:rsidRPr="00B86758" w14:paraId="229DF00F" w14:textId="77777777">
        <w:tblPrEx>
          <w:tblCellMar>
            <w:top w:w="0" w:type="dxa"/>
            <w:left w:w="0" w:type="dxa"/>
            <w:bottom w:w="0" w:type="dxa"/>
            <w:right w:w="0" w:type="dxa"/>
          </w:tblCellMar>
        </w:tblPrEx>
        <w:tc>
          <w:tcPr>
            <w:tcW w:w="600" w:type="dxa"/>
            <w:tcBorders>
              <w:top w:val="nil"/>
              <w:left w:val="nil"/>
              <w:bottom w:val="nil"/>
              <w:right w:val="nil"/>
            </w:tcBorders>
          </w:tcPr>
          <w:p w14:paraId="7ED6EAFB"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"#co_fnRef_F51507610219_ID0ETEBG_1"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51</w:t>
            </w:r>
            <w:r w:rsidRPr="00B86758">
              <w:rPr>
                <w:rFonts w:ascii="Times New Roman" w:hAnsi="Times New Roman"/>
                <w:color w:val="000000"/>
                <w:sz w:val="20"/>
                <w:szCs w:val="20"/>
              </w:rPr>
              <w:fldChar w:fldCharType="end"/>
            </w:r>
          </w:p>
          <w:p w14:paraId="16019DD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57100D80"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63" w:history="1">
              <w:r w:rsidRPr="00B86758">
                <w:rPr>
                  <w:rFonts w:ascii="Times New Roman" w:hAnsi="Times New Roman"/>
                  <w:color w:val="0000FF"/>
                  <w:sz w:val="20"/>
                  <w:szCs w:val="20"/>
                </w:rPr>
                <w:t>State v. Dobbs, 945 N.W.2d 609, 624 (Wis. 2020)</w:t>
              </w:r>
            </w:hyperlink>
            <w:r w:rsidRPr="00B86758">
              <w:rPr>
                <w:rFonts w:ascii="Times New Roman" w:hAnsi="Times New Roman"/>
                <w:color w:val="000000"/>
                <w:sz w:val="20"/>
                <w:szCs w:val="20"/>
              </w:rPr>
              <w:t xml:space="preserve"> (emphasis added). The court’s conclusion violates the plain language of the statute, which clearly requires the expert to apply his or her expertise to the facts of the case, regardless of the form of the testimony. As the concurrence in </w:t>
            </w:r>
            <w:r w:rsidRPr="00B86758">
              <w:rPr>
                <w:rFonts w:ascii="Times New Roman" w:hAnsi="Times New Roman"/>
                <w:i/>
                <w:iCs/>
                <w:color w:val="000000"/>
                <w:sz w:val="20"/>
                <w:szCs w:val="20"/>
              </w:rPr>
              <w:t>Dobbs</w:t>
            </w:r>
            <w:r w:rsidRPr="00B86758">
              <w:rPr>
                <w:rFonts w:ascii="Times New Roman" w:hAnsi="Times New Roman"/>
                <w:color w:val="000000"/>
                <w:sz w:val="20"/>
                <w:szCs w:val="20"/>
              </w:rPr>
              <w:t xml:space="preserve"> astutely observed: “Today, we made </w:t>
            </w:r>
            <w:hyperlink r:id="rId64" w:history="1">
              <w:r w:rsidRPr="00B86758">
                <w:rPr>
                  <w:rFonts w:ascii="Times New Roman" w:hAnsi="Times New Roman"/>
                  <w:color w:val="0000FF"/>
                  <w:sz w:val="20"/>
                  <w:szCs w:val="20"/>
                </w:rPr>
                <w:t>Wis. Stat. § 907.02(1)</w:t>
              </w:r>
            </w:hyperlink>
            <w:r w:rsidRPr="00B86758">
              <w:rPr>
                <w:rFonts w:ascii="Times New Roman" w:hAnsi="Times New Roman"/>
                <w:color w:val="000000"/>
                <w:sz w:val="20"/>
                <w:szCs w:val="20"/>
              </w:rPr>
              <w:t xml:space="preserve"> say something that no reasonably capable English-speaker would understand it to say.” </w:t>
            </w:r>
            <w:hyperlink r:id="rId65" w:history="1">
              <w:r w:rsidRPr="00B86758">
                <w:rPr>
                  <w:rFonts w:ascii="Times New Roman" w:hAnsi="Times New Roman"/>
                  <w:i/>
                  <w:iCs/>
                  <w:color w:val="0000FF"/>
                  <w:sz w:val="20"/>
                  <w:szCs w:val="20"/>
                </w:rPr>
                <w:t>Id.</w:t>
              </w:r>
              <w:r w:rsidRPr="00B86758">
                <w:rPr>
                  <w:rFonts w:ascii="Times New Roman" w:hAnsi="Times New Roman"/>
                  <w:color w:val="0000FF"/>
                  <w:sz w:val="20"/>
                  <w:szCs w:val="20"/>
                </w:rPr>
                <w:t xml:space="preserve"> at 642</w:t>
              </w:r>
            </w:hyperlink>
            <w:r w:rsidRPr="00B86758">
              <w:rPr>
                <w:rFonts w:ascii="Times New Roman" w:hAnsi="Times New Roman"/>
                <w:color w:val="000000"/>
                <w:sz w:val="20"/>
                <w:szCs w:val="20"/>
              </w:rPr>
              <w:t xml:space="preserve"> (Kelly, J., concurring).</w:t>
            </w:r>
          </w:p>
          <w:p w14:paraId="1DE2D8A5"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03" w:name="co_footnote_F52507610219_1"/>
      <w:bookmarkEnd w:id="203"/>
      <w:tr w:rsidR="004D1FA8" w:rsidRPr="00B86758" w14:paraId="207720C8" w14:textId="77777777">
        <w:tblPrEx>
          <w:tblCellMar>
            <w:top w:w="0" w:type="dxa"/>
            <w:left w:w="0" w:type="dxa"/>
            <w:bottom w:w="0" w:type="dxa"/>
            <w:right w:w="0" w:type="dxa"/>
          </w:tblCellMar>
        </w:tblPrEx>
        <w:tc>
          <w:tcPr>
            <w:tcW w:w="600" w:type="dxa"/>
            <w:tcBorders>
              <w:top w:val="nil"/>
              <w:left w:val="nil"/>
              <w:bottom w:val="nil"/>
              <w:right w:val="nil"/>
            </w:tcBorders>
          </w:tcPr>
          <w:p w14:paraId="200F392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lastRenderedPageBreak/>
              <w:fldChar w:fldCharType="begin"/>
            </w:r>
            <w:r w:rsidRPr="00B86758">
              <w:rPr>
                <w:rFonts w:ascii="Times New Roman" w:hAnsi="Times New Roman"/>
                <w:color w:val="000000"/>
                <w:sz w:val="20"/>
                <w:szCs w:val="20"/>
              </w:rPr>
              <w:instrText xml:space="preserve">HYPERLINK "#co_fnRef_F52507610219_ID0E1FBG_1"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52</w:t>
            </w:r>
            <w:r w:rsidRPr="00B86758">
              <w:rPr>
                <w:rFonts w:ascii="Times New Roman" w:hAnsi="Times New Roman"/>
                <w:color w:val="000000"/>
                <w:sz w:val="20"/>
                <w:szCs w:val="20"/>
              </w:rPr>
              <w:fldChar w:fldCharType="end"/>
            </w:r>
          </w:p>
          <w:p w14:paraId="0311695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4E03CB7B"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66" w:history="1">
              <w:r w:rsidRPr="00B86758">
                <w:rPr>
                  <w:rFonts w:ascii="Times New Roman" w:hAnsi="Times New Roman"/>
                  <w:color w:val="0000FF"/>
                  <w:sz w:val="20"/>
                  <w:szCs w:val="20"/>
                </w:rPr>
                <w:t>874 N.W.2d 610, 613 (Wis. Ct. App. 2015)</w:t>
              </w:r>
            </w:hyperlink>
            <w:r w:rsidRPr="00B86758">
              <w:rPr>
                <w:rFonts w:ascii="Times New Roman" w:hAnsi="Times New Roman"/>
                <w:color w:val="000000"/>
                <w:sz w:val="20"/>
                <w:szCs w:val="20"/>
              </w:rPr>
              <w:t xml:space="preserve"> (emphasis added).</w:t>
            </w:r>
          </w:p>
          <w:p w14:paraId="02A21E75"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04" w:name="co_footnote_F53507610219_1"/>
      <w:bookmarkEnd w:id="204"/>
      <w:tr w:rsidR="004D1FA8" w:rsidRPr="00B86758" w14:paraId="2A54BE20" w14:textId="77777777">
        <w:tblPrEx>
          <w:tblCellMar>
            <w:top w:w="0" w:type="dxa"/>
            <w:left w:w="0" w:type="dxa"/>
            <w:bottom w:w="0" w:type="dxa"/>
            <w:right w:w="0" w:type="dxa"/>
          </w:tblCellMar>
        </w:tblPrEx>
        <w:tc>
          <w:tcPr>
            <w:tcW w:w="600" w:type="dxa"/>
            <w:tcBorders>
              <w:top w:val="nil"/>
              <w:left w:val="nil"/>
              <w:bottom w:val="nil"/>
              <w:right w:val="nil"/>
            </w:tcBorders>
          </w:tcPr>
          <w:p w14:paraId="15316DE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"#co_fnRef_F53507610219_ID0EIGBG_1"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53</w:t>
            </w:r>
            <w:r w:rsidRPr="00B86758">
              <w:rPr>
                <w:rFonts w:ascii="Times New Roman" w:hAnsi="Times New Roman"/>
                <w:color w:val="000000"/>
                <w:sz w:val="20"/>
                <w:szCs w:val="20"/>
              </w:rPr>
              <w:fldChar w:fldCharType="end"/>
            </w:r>
          </w:p>
          <w:p w14:paraId="245302B4"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1F9B728F"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Id.</w:t>
            </w:r>
          </w:p>
          <w:p w14:paraId="29869026"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205" w:name="co_footnote_F54507610219_1"/>
      <w:bookmarkEnd w:id="205"/>
      <w:tr w:rsidR="004D1FA8" w:rsidRPr="00B86758" w14:paraId="20FB7FA0" w14:textId="77777777">
        <w:tblPrEx>
          <w:tblCellMar>
            <w:top w:w="0" w:type="dxa"/>
            <w:left w:w="0" w:type="dxa"/>
            <w:bottom w:w="0" w:type="dxa"/>
            <w:right w:w="0" w:type="dxa"/>
          </w:tblCellMar>
        </w:tblPrEx>
        <w:tc>
          <w:tcPr>
            <w:tcW w:w="600" w:type="dxa"/>
            <w:tcBorders>
              <w:top w:val="nil"/>
              <w:left w:val="nil"/>
              <w:bottom w:val="nil"/>
              <w:right w:val="nil"/>
            </w:tcBorders>
          </w:tcPr>
          <w:p w14:paraId="100E8D92"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"#co_fnRef_F54507610219_ID0E5HBG_1"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54</w:t>
            </w:r>
            <w:r w:rsidRPr="00B86758">
              <w:rPr>
                <w:rFonts w:ascii="Times New Roman" w:hAnsi="Times New Roman"/>
                <w:color w:val="000000"/>
                <w:sz w:val="20"/>
                <w:szCs w:val="20"/>
              </w:rPr>
              <w:fldChar w:fldCharType="end"/>
            </w:r>
          </w:p>
          <w:p w14:paraId="1959D982"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26F9FDEF"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67" w:history="1">
              <w:r w:rsidRPr="00B86758">
                <w:rPr>
                  <w:rFonts w:ascii="Times New Roman" w:hAnsi="Times New Roman"/>
                  <w:color w:val="0000FF"/>
                  <w:sz w:val="20"/>
                  <w:szCs w:val="20"/>
                </w:rPr>
                <w:t>No. 2018AP169-CR, 2019 WL 477361, at *1 (Wis. Ct. App. Feb. 7, 2019)</w:t>
              </w:r>
            </w:hyperlink>
            <w:r w:rsidRPr="00B86758">
              <w:rPr>
                <w:rFonts w:ascii="Times New Roman" w:hAnsi="Times New Roman"/>
                <w:color w:val="000000"/>
                <w:sz w:val="20"/>
                <w:szCs w:val="20"/>
              </w:rPr>
              <w:t>.</w:t>
            </w:r>
          </w:p>
          <w:p w14:paraId="5F8F8C05"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06" w:name="co_footnote_F55507610219_1"/>
      <w:bookmarkEnd w:id="206"/>
      <w:tr w:rsidR="004D1FA8" w:rsidRPr="00B86758" w14:paraId="2A6CD806" w14:textId="77777777">
        <w:tblPrEx>
          <w:tblCellMar>
            <w:top w:w="0" w:type="dxa"/>
            <w:left w:w="0" w:type="dxa"/>
            <w:bottom w:w="0" w:type="dxa"/>
            <w:right w:w="0" w:type="dxa"/>
          </w:tblCellMar>
        </w:tblPrEx>
        <w:tc>
          <w:tcPr>
            <w:tcW w:w="600" w:type="dxa"/>
            <w:tcBorders>
              <w:top w:val="nil"/>
              <w:left w:val="nil"/>
              <w:bottom w:val="nil"/>
              <w:right w:val="nil"/>
            </w:tcBorders>
          </w:tcPr>
          <w:p w14:paraId="6B5BCE80"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"#co_fnRef_F55507610219_ID0EOIBG_1"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55</w:t>
            </w:r>
            <w:r w:rsidRPr="00B86758">
              <w:rPr>
                <w:rFonts w:ascii="Times New Roman" w:hAnsi="Times New Roman"/>
                <w:color w:val="000000"/>
                <w:sz w:val="20"/>
                <w:szCs w:val="20"/>
              </w:rPr>
              <w:fldChar w:fldCharType="end"/>
            </w:r>
          </w:p>
          <w:p w14:paraId="3C0DF93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7F1F72FF"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Id.</w:t>
            </w:r>
            <w:r w:rsidRPr="00B86758">
              <w:rPr>
                <w:rFonts w:ascii="Times New Roman" w:hAnsi="Times New Roman"/>
                <w:color w:val="000000"/>
                <w:sz w:val="20"/>
                <w:szCs w:val="20"/>
              </w:rPr>
              <w:t xml:space="preserve"> at *4.</w:t>
            </w:r>
          </w:p>
          <w:p w14:paraId="748B98AB"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07" w:name="co_footnote_F56507610219_1"/>
      <w:bookmarkEnd w:id="207"/>
      <w:tr w:rsidR="004D1FA8" w:rsidRPr="00B86758" w14:paraId="136EF997" w14:textId="77777777">
        <w:tblPrEx>
          <w:tblCellMar>
            <w:top w:w="0" w:type="dxa"/>
            <w:left w:w="0" w:type="dxa"/>
            <w:bottom w:w="0" w:type="dxa"/>
            <w:right w:w="0" w:type="dxa"/>
          </w:tblCellMar>
        </w:tblPrEx>
        <w:tc>
          <w:tcPr>
            <w:tcW w:w="600" w:type="dxa"/>
            <w:tcBorders>
              <w:top w:val="nil"/>
              <w:left w:val="nil"/>
              <w:bottom w:val="nil"/>
              <w:right w:val="nil"/>
            </w:tcBorders>
          </w:tcPr>
          <w:p w14:paraId="2CA83A6B"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"#co_fnRef_F56507610219_ID0ECJBG_1"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56</w:t>
            </w:r>
            <w:r w:rsidRPr="00B86758">
              <w:rPr>
                <w:rFonts w:ascii="Times New Roman" w:hAnsi="Times New Roman"/>
                <w:color w:val="000000"/>
                <w:sz w:val="20"/>
                <w:szCs w:val="20"/>
              </w:rPr>
              <w:fldChar w:fldCharType="end"/>
            </w:r>
          </w:p>
          <w:p w14:paraId="4CD5E559"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44CC764D"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Id.</w:t>
            </w:r>
            <w:r w:rsidRPr="00B86758">
              <w:rPr>
                <w:rFonts w:ascii="Times New Roman" w:hAnsi="Times New Roman"/>
                <w:color w:val="000000"/>
                <w:sz w:val="20"/>
                <w:szCs w:val="20"/>
              </w:rPr>
              <w:t xml:space="preserve"> at *3-4.</w:t>
            </w:r>
          </w:p>
          <w:p w14:paraId="72E3422F"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08" w:name="co_footnote_F57507610219_1"/>
      <w:bookmarkEnd w:id="208"/>
      <w:tr w:rsidR="004D1FA8" w:rsidRPr="00B86758" w14:paraId="68960DB2" w14:textId="77777777">
        <w:tblPrEx>
          <w:tblCellMar>
            <w:top w:w="0" w:type="dxa"/>
            <w:left w:w="0" w:type="dxa"/>
            <w:bottom w:w="0" w:type="dxa"/>
            <w:right w:w="0" w:type="dxa"/>
          </w:tblCellMar>
        </w:tblPrEx>
        <w:tc>
          <w:tcPr>
            <w:tcW w:w="600" w:type="dxa"/>
            <w:tcBorders>
              <w:top w:val="nil"/>
              <w:left w:val="nil"/>
              <w:bottom w:val="nil"/>
              <w:right w:val="nil"/>
            </w:tcBorders>
          </w:tcPr>
          <w:p w14:paraId="2369DAB7"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"#co_fnRef_F57507610219_ID0ESJBG_1"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57</w:t>
            </w:r>
            <w:r w:rsidRPr="00B86758">
              <w:rPr>
                <w:rFonts w:ascii="Times New Roman" w:hAnsi="Times New Roman"/>
                <w:color w:val="000000"/>
                <w:sz w:val="20"/>
                <w:szCs w:val="20"/>
              </w:rPr>
              <w:fldChar w:fldCharType="end"/>
            </w:r>
          </w:p>
          <w:p w14:paraId="2EF8758C"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0CC25840"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68" w:history="1">
              <w:r w:rsidRPr="00B86758">
                <w:rPr>
                  <w:rFonts w:ascii="Times New Roman" w:hAnsi="Times New Roman"/>
                  <w:i/>
                  <w:iCs/>
                  <w:color w:val="0000FF"/>
                  <w:sz w:val="20"/>
                  <w:szCs w:val="20"/>
                </w:rPr>
                <w:t>Dobbs</w:t>
              </w:r>
              <w:r w:rsidRPr="00B86758">
                <w:rPr>
                  <w:rFonts w:ascii="Times New Roman" w:hAnsi="Times New Roman"/>
                  <w:color w:val="0000FF"/>
                  <w:sz w:val="20"/>
                  <w:szCs w:val="20"/>
                </w:rPr>
                <w:t>, 945 N.W.2d at 624</w:t>
              </w:r>
            </w:hyperlink>
            <w:r w:rsidRPr="00B86758">
              <w:rPr>
                <w:rFonts w:ascii="Times New Roman" w:hAnsi="Times New Roman"/>
                <w:color w:val="000000"/>
                <w:sz w:val="20"/>
                <w:szCs w:val="20"/>
              </w:rPr>
              <w:t xml:space="preserve">. With regard to exposition testimony, the court actually reformats the statutory test into four prongs: “(1) whether the expert is qualified; (2) whether the testimony will address a subject matter on which the fact finder can be assisted by an expert; (3) whether the testimony is reliable; and (4) whether the testimony will ‘fit’ the facts of the case.” </w:t>
            </w:r>
            <w:r w:rsidRPr="00B86758">
              <w:rPr>
                <w:rFonts w:ascii="Times New Roman" w:hAnsi="Times New Roman"/>
                <w:i/>
                <w:iCs/>
                <w:color w:val="000000"/>
                <w:sz w:val="20"/>
                <w:szCs w:val="20"/>
              </w:rPr>
              <w:t>Id.</w:t>
            </w:r>
            <w:r w:rsidRPr="00B86758">
              <w:rPr>
                <w:rFonts w:ascii="Times New Roman" w:hAnsi="Times New Roman"/>
                <w:color w:val="000000"/>
                <w:sz w:val="20"/>
                <w:szCs w:val="20"/>
              </w:rPr>
              <w:t xml:space="preserve"> To compare these prongs of this new, four-part test to the statute in Part I of this Article: </w:t>
            </w:r>
            <w:r w:rsidRPr="00B86758">
              <w:rPr>
                <w:rFonts w:ascii="Times New Roman" w:hAnsi="Times New Roman"/>
                <w:i/>
                <w:iCs/>
                <w:color w:val="000000"/>
                <w:sz w:val="20"/>
                <w:szCs w:val="20"/>
              </w:rPr>
              <w:t>prong (1)</w:t>
            </w:r>
            <w:r w:rsidRPr="00B86758">
              <w:rPr>
                <w:rFonts w:ascii="Times New Roman" w:hAnsi="Times New Roman"/>
                <w:color w:val="000000"/>
                <w:sz w:val="20"/>
                <w:szCs w:val="20"/>
              </w:rPr>
              <w:t xml:space="preserve"> of the new test corresponds to prong [3] of the statute; </w:t>
            </w:r>
            <w:r w:rsidRPr="00B86758">
              <w:rPr>
                <w:rFonts w:ascii="Times New Roman" w:hAnsi="Times New Roman"/>
                <w:i/>
                <w:iCs/>
                <w:color w:val="000000"/>
                <w:sz w:val="20"/>
                <w:szCs w:val="20"/>
              </w:rPr>
              <w:t>prong (2)</w:t>
            </w:r>
            <w:r w:rsidRPr="00B86758">
              <w:rPr>
                <w:rFonts w:ascii="Times New Roman" w:hAnsi="Times New Roman"/>
                <w:color w:val="000000"/>
                <w:sz w:val="20"/>
                <w:szCs w:val="20"/>
              </w:rPr>
              <w:t xml:space="preserve"> of the new test corresponds to prongs [1] and [2] of the statute; </w:t>
            </w:r>
            <w:r w:rsidRPr="00B86758">
              <w:rPr>
                <w:rFonts w:ascii="Times New Roman" w:hAnsi="Times New Roman"/>
                <w:i/>
                <w:iCs/>
                <w:color w:val="000000"/>
                <w:sz w:val="20"/>
                <w:szCs w:val="20"/>
              </w:rPr>
              <w:t>prong (3)</w:t>
            </w:r>
            <w:r w:rsidRPr="00B86758">
              <w:rPr>
                <w:rFonts w:ascii="Times New Roman" w:hAnsi="Times New Roman"/>
                <w:color w:val="000000"/>
                <w:sz w:val="20"/>
                <w:szCs w:val="20"/>
              </w:rPr>
              <w:t xml:space="preserve"> of the new test corresponds to, and seems to merge, prongs [4] and [5] of the statute; and </w:t>
            </w:r>
            <w:r w:rsidRPr="00B86758">
              <w:rPr>
                <w:rFonts w:ascii="Times New Roman" w:hAnsi="Times New Roman"/>
                <w:i/>
                <w:iCs/>
                <w:color w:val="000000"/>
                <w:sz w:val="20"/>
                <w:szCs w:val="20"/>
              </w:rPr>
              <w:t>prong (4)</w:t>
            </w:r>
            <w:r w:rsidRPr="00B86758">
              <w:rPr>
                <w:rFonts w:ascii="Times New Roman" w:hAnsi="Times New Roman"/>
                <w:color w:val="000000"/>
                <w:sz w:val="20"/>
                <w:szCs w:val="20"/>
              </w:rPr>
              <w:t xml:space="preserve"> of the new test, the “fit” requirement, replaces prong [6] of the statute. But the “fit” requirement is redundant. If the testimony didn’t “fit” the facts, then it wouldn’t pass prong (2) of the new test or prong [2] of the statute, i.e., it would not assist the jury. This so-called “fit” prong is really nothing more than a relevancy test. “Fit goes primarily to relevance ... Whether expert testimony fits a case turns on whether ... it will aid the jury in resolving a factual dispute.” </w:t>
            </w:r>
            <w:r w:rsidRPr="00B86758">
              <w:rPr>
                <w:rFonts w:ascii="Times New Roman" w:hAnsi="Times New Roman"/>
                <w:i/>
                <w:iCs/>
                <w:color w:val="000000"/>
                <w:sz w:val="20"/>
                <w:szCs w:val="20"/>
              </w:rPr>
              <w:t>Id.</w:t>
            </w:r>
            <w:r w:rsidRPr="00B86758">
              <w:rPr>
                <w:rFonts w:ascii="Times New Roman" w:hAnsi="Times New Roman"/>
                <w:color w:val="000000"/>
                <w:sz w:val="20"/>
                <w:szCs w:val="20"/>
              </w:rPr>
              <w:t xml:space="preserve"> (internal punctuation and citations omitted).</w:t>
            </w:r>
          </w:p>
          <w:p w14:paraId="16C0414E"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09" w:name="co_footnote_F58507610219_1"/>
      <w:bookmarkEnd w:id="209"/>
      <w:tr w:rsidR="004D1FA8" w:rsidRPr="00B86758" w14:paraId="5AE86979" w14:textId="77777777">
        <w:tblPrEx>
          <w:tblCellMar>
            <w:top w:w="0" w:type="dxa"/>
            <w:left w:w="0" w:type="dxa"/>
            <w:bottom w:w="0" w:type="dxa"/>
            <w:right w:w="0" w:type="dxa"/>
          </w:tblCellMar>
        </w:tblPrEx>
        <w:tc>
          <w:tcPr>
            <w:tcW w:w="600" w:type="dxa"/>
            <w:tcBorders>
              <w:top w:val="nil"/>
              <w:left w:val="nil"/>
              <w:bottom w:val="nil"/>
              <w:right w:val="nil"/>
            </w:tcBorders>
          </w:tcPr>
          <w:p w14:paraId="5F9866F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"#co_fnRef_F58507610219_ID0EMKBG_1"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58</w:t>
            </w:r>
            <w:r w:rsidRPr="00B86758">
              <w:rPr>
                <w:rFonts w:ascii="Times New Roman" w:hAnsi="Times New Roman"/>
                <w:color w:val="000000"/>
                <w:sz w:val="20"/>
                <w:szCs w:val="20"/>
              </w:rPr>
              <w:fldChar w:fldCharType="end"/>
            </w:r>
          </w:p>
          <w:p w14:paraId="74B3E56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3473A28A"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Of course, this is greatly simplified and focuses on only one potential aspect of the evidence.</w:t>
            </w:r>
          </w:p>
          <w:p w14:paraId="532F5BFA"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10" w:name="co_footnote_F59507610219_1"/>
      <w:bookmarkEnd w:id="210"/>
      <w:tr w:rsidR="004D1FA8" w:rsidRPr="00B86758" w14:paraId="26EEDD35" w14:textId="77777777">
        <w:tblPrEx>
          <w:tblCellMar>
            <w:top w:w="0" w:type="dxa"/>
            <w:left w:w="0" w:type="dxa"/>
            <w:bottom w:w="0" w:type="dxa"/>
            <w:right w:w="0" w:type="dxa"/>
          </w:tblCellMar>
        </w:tblPrEx>
        <w:tc>
          <w:tcPr>
            <w:tcW w:w="600" w:type="dxa"/>
            <w:tcBorders>
              <w:top w:val="nil"/>
              <w:left w:val="nil"/>
              <w:bottom w:val="nil"/>
              <w:right w:val="nil"/>
            </w:tcBorders>
          </w:tcPr>
          <w:p w14:paraId="21233720"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"#co_fnRef_F59507610219_ID0EFMBG_1"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59</w:t>
            </w:r>
            <w:r w:rsidRPr="00B86758">
              <w:rPr>
                <w:rFonts w:ascii="Times New Roman" w:hAnsi="Times New Roman"/>
                <w:color w:val="000000"/>
                <w:sz w:val="20"/>
                <w:szCs w:val="20"/>
              </w:rPr>
              <w:fldChar w:fldCharType="end"/>
            </w:r>
          </w:p>
          <w:p w14:paraId="5F069D3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1BCB2C77"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Risinger, </w:t>
            </w:r>
            <w:r w:rsidRPr="00B86758">
              <w:rPr>
                <w:rFonts w:ascii="Times New Roman" w:hAnsi="Times New Roman"/>
                <w:i/>
                <w:iCs/>
                <w:color w:val="000000"/>
                <w:sz w:val="20"/>
                <w:szCs w:val="20"/>
              </w:rPr>
              <w:t>supra</w:t>
            </w:r>
            <w:r w:rsidRPr="00B86758">
              <w:rPr>
                <w:rFonts w:ascii="Times New Roman" w:hAnsi="Times New Roman"/>
                <w:color w:val="000000"/>
                <w:sz w:val="20"/>
                <w:szCs w:val="20"/>
              </w:rPr>
              <w:t xml:space="preserve"> note 19, at 131-32 (internal punctuation omitted) (parenthetical added).</w:t>
            </w:r>
          </w:p>
          <w:p w14:paraId="5C759C02"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11" w:name="co_footnote_F60507610219_1"/>
      <w:bookmarkEnd w:id="211"/>
      <w:tr w:rsidR="004D1FA8" w:rsidRPr="00B86758" w14:paraId="635E7DF5" w14:textId="77777777">
        <w:tblPrEx>
          <w:tblCellMar>
            <w:top w:w="0" w:type="dxa"/>
            <w:left w:w="0" w:type="dxa"/>
            <w:bottom w:w="0" w:type="dxa"/>
            <w:right w:w="0" w:type="dxa"/>
          </w:tblCellMar>
        </w:tblPrEx>
        <w:tc>
          <w:tcPr>
            <w:tcW w:w="600" w:type="dxa"/>
            <w:tcBorders>
              <w:top w:val="nil"/>
              <w:left w:val="nil"/>
              <w:bottom w:val="nil"/>
              <w:right w:val="nil"/>
            </w:tcBorders>
          </w:tcPr>
          <w:p w14:paraId="34A903FC"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"#co_fnRef_F60507610219_ID0EKMBG_1"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60</w:t>
            </w:r>
            <w:r w:rsidRPr="00B86758">
              <w:rPr>
                <w:rFonts w:ascii="Times New Roman" w:hAnsi="Times New Roman"/>
                <w:color w:val="000000"/>
                <w:sz w:val="20"/>
                <w:szCs w:val="20"/>
              </w:rPr>
              <w:fldChar w:fldCharType="end"/>
            </w:r>
          </w:p>
          <w:p w14:paraId="530AAA32"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5B301D39"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 supra</w:t>
            </w:r>
            <w:r w:rsidRPr="00B86758">
              <w:rPr>
                <w:rFonts w:ascii="Times New Roman" w:hAnsi="Times New Roman"/>
                <w:color w:val="000000"/>
                <w:sz w:val="20"/>
                <w:szCs w:val="20"/>
              </w:rPr>
              <w:t xml:space="preserve"> Part I.</w:t>
            </w:r>
          </w:p>
          <w:p w14:paraId="5FDE0479"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12" w:name="co_footnote_F61507610219_1"/>
      <w:bookmarkEnd w:id="212"/>
      <w:tr w:rsidR="004D1FA8" w:rsidRPr="00B86758" w14:paraId="720AAA2E" w14:textId="77777777">
        <w:tblPrEx>
          <w:tblCellMar>
            <w:top w:w="0" w:type="dxa"/>
            <w:left w:w="0" w:type="dxa"/>
            <w:bottom w:w="0" w:type="dxa"/>
            <w:right w:w="0" w:type="dxa"/>
          </w:tblCellMar>
        </w:tblPrEx>
        <w:tc>
          <w:tcPr>
            <w:tcW w:w="600" w:type="dxa"/>
            <w:tcBorders>
              <w:top w:val="nil"/>
              <w:left w:val="nil"/>
              <w:bottom w:val="nil"/>
              <w:right w:val="nil"/>
            </w:tcBorders>
          </w:tcPr>
          <w:p w14:paraId="3B12FE57"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"#co_fnRef_F61507610219_ID0EQMBG_1"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61</w:t>
            </w:r>
            <w:r w:rsidRPr="00B86758">
              <w:rPr>
                <w:rFonts w:ascii="Times New Roman" w:hAnsi="Times New Roman"/>
                <w:color w:val="000000"/>
                <w:sz w:val="20"/>
                <w:szCs w:val="20"/>
              </w:rPr>
              <w:fldChar w:fldCharType="end"/>
            </w:r>
          </w:p>
          <w:p w14:paraId="62B41D61"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32D800E9"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hyperlink r:id="rId69" w:history="1">
              <w:r w:rsidRPr="00B86758">
                <w:rPr>
                  <w:rFonts w:ascii="Times New Roman" w:hAnsi="Times New Roman"/>
                  <w:i/>
                  <w:iCs/>
                  <w:color w:val="0000FF"/>
                  <w:sz w:val="20"/>
                  <w:szCs w:val="20"/>
                </w:rPr>
                <w:t>Dobbs</w:t>
              </w:r>
              <w:r w:rsidRPr="00B86758">
                <w:rPr>
                  <w:rFonts w:ascii="Times New Roman" w:hAnsi="Times New Roman"/>
                  <w:color w:val="0000FF"/>
                  <w:sz w:val="20"/>
                  <w:szCs w:val="20"/>
                </w:rPr>
                <w:t>, 945 N.W.2d at 624</w:t>
              </w:r>
            </w:hyperlink>
            <w:r w:rsidRPr="00B86758">
              <w:rPr>
                <w:rFonts w:ascii="Times New Roman" w:hAnsi="Times New Roman"/>
                <w:color w:val="000000"/>
                <w:sz w:val="20"/>
                <w:szCs w:val="20"/>
              </w:rPr>
              <w:t xml:space="preserve">. The defense still has to demonstrate that the expert’s exposition testimony “fits” the facts of the case. </w:t>
            </w:r>
            <w:r w:rsidRPr="00B86758">
              <w:rPr>
                <w:rFonts w:ascii="Times New Roman" w:hAnsi="Times New Roman"/>
                <w:i/>
                <w:iCs/>
                <w:color w:val="000000"/>
                <w:sz w:val="20"/>
                <w:szCs w:val="20"/>
              </w:rPr>
              <w:t>Id.</w:t>
            </w:r>
            <w:r w:rsidRPr="00B86758">
              <w:rPr>
                <w:rFonts w:ascii="Times New Roman" w:hAnsi="Times New Roman"/>
                <w:color w:val="000000"/>
                <w:sz w:val="20"/>
                <w:szCs w:val="20"/>
              </w:rPr>
              <w:t xml:space="preserve"> (describing “fit” as a relevance analysis). However, this should be easy to accomplish if defense counsel drafts, or at least reviews and approves of, the summary of expert testimony. In other words, counsel can all but ensure proper fit by making an offer of proof of the relevant facts and tailoring the summary of expert testimony to those areas of potential testimony that match those relevant facts.</w:t>
            </w:r>
          </w:p>
          <w:p w14:paraId="23A7A8FD"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13" w:name="co_footnote_F62507610219_1"/>
      <w:bookmarkEnd w:id="213"/>
      <w:tr w:rsidR="004D1FA8" w:rsidRPr="00B86758" w14:paraId="6F1F2012" w14:textId="77777777">
        <w:tblPrEx>
          <w:tblCellMar>
            <w:top w:w="0" w:type="dxa"/>
            <w:left w:w="0" w:type="dxa"/>
            <w:bottom w:w="0" w:type="dxa"/>
            <w:right w:w="0" w:type="dxa"/>
          </w:tblCellMar>
        </w:tblPrEx>
        <w:tc>
          <w:tcPr>
            <w:tcW w:w="600" w:type="dxa"/>
            <w:tcBorders>
              <w:top w:val="nil"/>
              <w:left w:val="nil"/>
              <w:bottom w:val="nil"/>
              <w:right w:val="nil"/>
            </w:tcBorders>
          </w:tcPr>
          <w:p w14:paraId="1E2F905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"#co_fnRef_F62507610219_ID0EYNBG_1"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62</w:t>
            </w:r>
            <w:r w:rsidRPr="00B86758">
              <w:rPr>
                <w:rFonts w:ascii="Times New Roman" w:hAnsi="Times New Roman"/>
                <w:color w:val="000000"/>
                <w:sz w:val="20"/>
                <w:szCs w:val="20"/>
              </w:rPr>
              <w:fldChar w:fldCharType="end"/>
            </w:r>
          </w:p>
          <w:p w14:paraId="21C1F7C2"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294A9B41"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color w:val="000000"/>
                <w:sz w:val="20"/>
                <w:szCs w:val="20"/>
              </w:rPr>
              <w:t xml:space="preserve">In such situations, however, the court may simply change its reasoning for, or </w:t>
            </w:r>
            <w:r w:rsidRPr="00B86758">
              <w:rPr>
                <w:rFonts w:ascii="Times New Roman" w:hAnsi="Times New Roman"/>
                <w:i/>
                <w:iCs/>
                <w:color w:val="000000"/>
                <w:sz w:val="20"/>
                <w:szCs w:val="20"/>
              </w:rPr>
              <w:t>add</w:t>
            </w:r>
            <w:r w:rsidRPr="00B86758">
              <w:rPr>
                <w:rFonts w:ascii="Times New Roman" w:hAnsi="Times New Roman"/>
                <w:color w:val="000000"/>
                <w:sz w:val="20"/>
                <w:szCs w:val="20"/>
              </w:rPr>
              <w:t xml:space="preserve"> reasons in support of, its initial decision to exclude the evidence. </w:t>
            </w:r>
            <w:r w:rsidRPr="00B86758">
              <w:rPr>
                <w:rFonts w:ascii="Times New Roman" w:hAnsi="Times New Roman"/>
                <w:i/>
                <w:iCs/>
                <w:color w:val="000000"/>
                <w:sz w:val="20"/>
                <w:szCs w:val="20"/>
              </w:rPr>
              <w:t xml:space="preserve">See </w:t>
            </w:r>
            <w:hyperlink r:id="rId70" w:history="1">
              <w:r w:rsidRPr="00B86758">
                <w:rPr>
                  <w:rFonts w:ascii="Times New Roman" w:hAnsi="Times New Roman"/>
                  <w:i/>
                  <w:iCs/>
                  <w:color w:val="0000FF"/>
                  <w:sz w:val="20"/>
                  <w:szCs w:val="20"/>
                </w:rPr>
                <w:t>id.</w:t>
              </w:r>
              <w:r w:rsidRPr="00B86758">
                <w:rPr>
                  <w:rFonts w:ascii="Times New Roman" w:hAnsi="Times New Roman"/>
                  <w:color w:val="0000FF"/>
                  <w:sz w:val="20"/>
                  <w:szCs w:val="20"/>
                </w:rPr>
                <w:t xml:space="preserve"> at 617-18</w:t>
              </w:r>
            </w:hyperlink>
            <w:r w:rsidRPr="00B86758">
              <w:rPr>
                <w:rFonts w:ascii="Times New Roman" w:hAnsi="Times New Roman"/>
                <w:color w:val="000000"/>
                <w:sz w:val="20"/>
                <w:szCs w:val="20"/>
              </w:rPr>
              <w:t xml:space="preserve"> (noting that on a motion to reconsider, the court simply changed its reason for excluding the defense witness to a legally proper reason, thus allowing it to maintain its predetermined decision to exclude the evidence).</w:t>
            </w:r>
          </w:p>
          <w:p w14:paraId="2E32D4EC"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14" w:name="co_footnote_F63507610219_1"/>
      <w:bookmarkEnd w:id="214"/>
      <w:tr w:rsidR="004D1FA8" w:rsidRPr="00B86758" w14:paraId="36A275A2" w14:textId="77777777">
        <w:tblPrEx>
          <w:tblCellMar>
            <w:top w:w="0" w:type="dxa"/>
            <w:left w:w="0" w:type="dxa"/>
            <w:bottom w:w="0" w:type="dxa"/>
            <w:right w:w="0" w:type="dxa"/>
          </w:tblCellMar>
        </w:tblPrEx>
        <w:tc>
          <w:tcPr>
            <w:tcW w:w="600" w:type="dxa"/>
            <w:tcBorders>
              <w:top w:val="nil"/>
              <w:left w:val="nil"/>
              <w:bottom w:val="nil"/>
              <w:right w:val="nil"/>
            </w:tcBorders>
          </w:tcPr>
          <w:p w14:paraId="181E578A"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"#co_fnRef_F63507610219_ID0E5OBG_1"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63</w:t>
            </w:r>
            <w:r w:rsidRPr="00B86758">
              <w:rPr>
                <w:rFonts w:ascii="Times New Roman" w:hAnsi="Times New Roman"/>
                <w:color w:val="000000"/>
                <w:sz w:val="20"/>
                <w:szCs w:val="20"/>
              </w:rPr>
              <w:fldChar w:fldCharType="end"/>
            </w:r>
          </w:p>
          <w:p w14:paraId="5F110C7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2C1922EE"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 supra</w:t>
            </w:r>
            <w:r w:rsidRPr="00B86758">
              <w:rPr>
                <w:rFonts w:ascii="Times New Roman" w:hAnsi="Times New Roman"/>
                <w:color w:val="000000"/>
                <w:sz w:val="20"/>
                <w:szCs w:val="20"/>
              </w:rPr>
              <w:t xml:space="preserve"> Part I.</w:t>
            </w:r>
          </w:p>
          <w:p w14:paraId="5B5DC02D"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15" w:name="co_footnote_F64507610219_1"/>
      <w:bookmarkEnd w:id="215"/>
      <w:tr w:rsidR="004D1FA8" w:rsidRPr="00B86758" w14:paraId="70078FAC" w14:textId="77777777">
        <w:tblPrEx>
          <w:tblCellMar>
            <w:top w:w="0" w:type="dxa"/>
            <w:left w:w="0" w:type="dxa"/>
            <w:bottom w:w="0" w:type="dxa"/>
            <w:right w:w="0" w:type="dxa"/>
          </w:tblCellMar>
        </w:tblPrEx>
        <w:tc>
          <w:tcPr>
            <w:tcW w:w="600" w:type="dxa"/>
            <w:tcBorders>
              <w:top w:val="nil"/>
              <w:left w:val="nil"/>
              <w:bottom w:val="nil"/>
              <w:right w:val="nil"/>
            </w:tcBorders>
          </w:tcPr>
          <w:p w14:paraId="1187A84A"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lastRenderedPageBreak/>
              <w:fldChar w:fldCharType="begin"/>
            </w:r>
            <w:r w:rsidRPr="00B86758">
              <w:rPr>
                <w:rFonts w:ascii="Times New Roman" w:hAnsi="Times New Roman"/>
                <w:color w:val="000000"/>
                <w:sz w:val="20"/>
                <w:szCs w:val="20"/>
              </w:rPr>
              <w:instrText xml:space="preserve">HYPERLINK "#co_fnRef_F64507610219_ID0EMPBG_1"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64</w:t>
            </w:r>
            <w:r w:rsidRPr="00B86758">
              <w:rPr>
                <w:rFonts w:ascii="Times New Roman" w:hAnsi="Times New Roman"/>
                <w:color w:val="000000"/>
                <w:sz w:val="20"/>
                <w:szCs w:val="20"/>
              </w:rPr>
              <w:fldChar w:fldCharType="end"/>
            </w:r>
          </w:p>
          <w:p w14:paraId="1C4FC998"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3BF5943A"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See id.</w:t>
            </w:r>
          </w:p>
          <w:p w14:paraId="57443DE6"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216" w:name="co_footnote_F65507610219_1"/>
      <w:bookmarkEnd w:id="216"/>
      <w:tr w:rsidR="004D1FA8" w:rsidRPr="00B86758" w14:paraId="2E24941B" w14:textId="77777777">
        <w:tblPrEx>
          <w:tblCellMar>
            <w:top w:w="0" w:type="dxa"/>
            <w:left w:w="0" w:type="dxa"/>
            <w:bottom w:w="0" w:type="dxa"/>
            <w:right w:w="0" w:type="dxa"/>
          </w:tblCellMar>
        </w:tblPrEx>
        <w:tc>
          <w:tcPr>
            <w:tcW w:w="600" w:type="dxa"/>
            <w:tcBorders>
              <w:top w:val="nil"/>
              <w:left w:val="nil"/>
              <w:bottom w:val="nil"/>
              <w:right w:val="nil"/>
            </w:tcBorders>
          </w:tcPr>
          <w:p w14:paraId="6D1FA1A2"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"#co_fnRef_F65507610219_ID0EGQBG_1"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65</w:t>
            </w:r>
            <w:r w:rsidRPr="00B86758">
              <w:rPr>
                <w:rFonts w:ascii="Times New Roman" w:hAnsi="Times New Roman"/>
                <w:color w:val="000000"/>
                <w:sz w:val="20"/>
                <w:szCs w:val="20"/>
              </w:rPr>
              <w:fldChar w:fldCharType="end"/>
            </w:r>
          </w:p>
          <w:p w14:paraId="7188B045"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23DF40FA"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 supra</w:t>
            </w:r>
            <w:r w:rsidRPr="00B86758">
              <w:rPr>
                <w:rFonts w:ascii="Times New Roman" w:hAnsi="Times New Roman"/>
                <w:color w:val="000000"/>
                <w:sz w:val="20"/>
                <w:szCs w:val="20"/>
              </w:rPr>
              <w:t xml:space="preserve"> Part II.</w:t>
            </w:r>
          </w:p>
          <w:p w14:paraId="46CC7EAD"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17" w:name="co_footnote_F66507610219_1"/>
      <w:bookmarkEnd w:id="217"/>
      <w:tr w:rsidR="004D1FA8" w:rsidRPr="00B86758" w14:paraId="3BAF53AE" w14:textId="77777777">
        <w:tblPrEx>
          <w:tblCellMar>
            <w:top w:w="0" w:type="dxa"/>
            <w:left w:w="0" w:type="dxa"/>
            <w:bottom w:w="0" w:type="dxa"/>
            <w:right w:w="0" w:type="dxa"/>
          </w:tblCellMar>
        </w:tblPrEx>
        <w:tc>
          <w:tcPr>
            <w:tcW w:w="600" w:type="dxa"/>
            <w:tcBorders>
              <w:top w:val="nil"/>
              <w:left w:val="nil"/>
              <w:bottom w:val="nil"/>
              <w:right w:val="nil"/>
            </w:tcBorders>
          </w:tcPr>
          <w:p w14:paraId="4C52A0CE"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"#co_fnRef_F66507610219_ID0EKQBG_1"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66</w:t>
            </w:r>
            <w:r w:rsidRPr="00B86758">
              <w:rPr>
                <w:rFonts w:ascii="Times New Roman" w:hAnsi="Times New Roman"/>
                <w:color w:val="000000"/>
                <w:sz w:val="20"/>
                <w:szCs w:val="20"/>
              </w:rPr>
              <w:fldChar w:fldCharType="end"/>
            </w:r>
          </w:p>
          <w:p w14:paraId="18EFE63D"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46607F1D"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See id.</w:t>
            </w:r>
          </w:p>
          <w:p w14:paraId="7EF943EA"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bookmarkStart w:id="218" w:name="co_footnote_F67507610219_1"/>
      <w:bookmarkEnd w:id="218"/>
      <w:tr w:rsidR="004D1FA8" w:rsidRPr="00B86758" w14:paraId="032B31E0" w14:textId="77777777">
        <w:tblPrEx>
          <w:tblCellMar>
            <w:top w:w="0" w:type="dxa"/>
            <w:left w:w="0" w:type="dxa"/>
            <w:bottom w:w="0" w:type="dxa"/>
            <w:right w:w="0" w:type="dxa"/>
          </w:tblCellMar>
        </w:tblPrEx>
        <w:tc>
          <w:tcPr>
            <w:tcW w:w="600" w:type="dxa"/>
            <w:tcBorders>
              <w:top w:val="nil"/>
              <w:left w:val="nil"/>
              <w:bottom w:val="nil"/>
              <w:right w:val="nil"/>
            </w:tcBorders>
          </w:tcPr>
          <w:p w14:paraId="502A14CC"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"#co_fnRef_F67507610219_ID0EZQBG_1"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67</w:t>
            </w:r>
            <w:r w:rsidRPr="00B86758">
              <w:rPr>
                <w:rFonts w:ascii="Times New Roman" w:hAnsi="Times New Roman"/>
                <w:color w:val="000000"/>
                <w:sz w:val="20"/>
                <w:szCs w:val="20"/>
              </w:rPr>
              <w:fldChar w:fldCharType="end"/>
            </w:r>
          </w:p>
          <w:p w14:paraId="796CC719"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5D1F06FC"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r w:rsidRPr="00B86758">
              <w:rPr>
                <w:rFonts w:ascii="Times New Roman" w:hAnsi="Times New Roman"/>
                <w:i/>
                <w:iCs/>
                <w:color w:val="000000"/>
                <w:sz w:val="20"/>
                <w:szCs w:val="20"/>
              </w:rPr>
              <w:t>See supra</w:t>
            </w:r>
            <w:r w:rsidRPr="00B86758">
              <w:rPr>
                <w:rFonts w:ascii="Times New Roman" w:hAnsi="Times New Roman"/>
                <w:color w:val="000000"/>
                <w:sz w:val="20"/>
                <w:szCs w:val="20"/>
              </w:rPr>
              <w:t xml:space="preserve"> Part III.</w:t>
            </w:r>
          </w:p>
          <w:p w14:paraId="0A5BE9F6" w14:textId="77777777" w:rsidR="004D1FA8" w:rsidRPr="00B86758" w:rsidRDefault="004D1FA8">
            <w:pPr>
              <w:widowControl w:val="0"/>
              <w:autoSpaceDE w:val="0"/>
              <w:autoSpaceDN w:val="0"/>
              <w:adjustRightInd w:val="0"/>
              <w:spacing w:after="0" w:line="240" w:lineRule="auto"/>
              <w:jc w:val="both"/>
              <w:rPr>
                <w:rFonts w:ascii="Times New Roman" w:hAnsi="Times New Roman"/>
                <w:color w:val="000000"/>
                <w:sz w:val="20"/>
                <w:szCs w:val="20"/>
              </w:rPr>
            </w:pPr>
          </w:p>
        </w:tc>
      </w:tr>
      <w:bookmarkStart w:id="219" w:name="co_footnote_F68507610219_1"/>
      <w:bookmarkEnd w:id="219"/>
      <w:tr w:rsidR="004D1FA8" w:rsidRPr="00B86758" w14:paraId="39FC9071" w14:textId="77777777">
        <w:tblPrEx>
          <w:tblCellMar>
            <w:top w:w="0" w:type="dxa"/>
            <w:left w:w="0" w:type="dxa"/>
            <w:bottom w:w="0" w:type="dxa"/>
            <w:right w:w="0" w:type="dxa"/>
          </w:tblCellMar>
        </w:tblPrEx>
        <w:tc>
          <w:tcPr>
            <w:tcW w:w="600" w:type="dxa"/>
            <w:tcBorders>
              <w:top w:val="nil"/>
              <w:left w:val="nil"/>
              <w:bottom w:val="nil"/>
              <w:right w:val="nil"/>
            </w:tcBorders>
          </w:tcPr>
          <w:p w14:paraId="2B2517FF"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r w:rsidRPr="00B86758">
              <w:rPr>
                <w:rFonts w:ascii="Times New Roman" w:hAnsi="Times New Roman"/>
                <w:color w:val="000000"/>
                <w:sz w:val="20"/>
                <w:szCs w:val="20"/>
              </w:rPr>
              <w:fldChar w:fldCharType="begin"/>
            </w:r>
            <w:r w:rsidRPr="00B86758">
              <w:rPr>
                <w:rFonts w:ascii="Times New Roman" w:hAnsi="Times New Roman"/>
                <w:color w:val="000000"/>
                <w:sz w:val="20"/>
                <w:szCs w:val="20"/>
              </w:rPr>
              <w:instrText xml:space="preserve">HYPERLINK "#co_fnRef_F68507610219_ID0E6QBG_1" </w:instrText>
            </w:r>
            <w:r w:rsidR="002F2E69" w:rsidRPr="00B86758">
              <w:rPr>
                <w:rFonts w:ascii="Times New Roman" w:hAnsi="Times New Roman"/>
                <w:color w:val="000000"/>
                <w:sz w:val="20"/>
                <w:szCs w:val="20"/>
              </w:rPr>
            </w:r>
            <w:r w:rsidRPr="00B86758">
              <w:rPr>
                <w:rFonts w:ascii="Times New Roman" w:hAnsi="Times New Roman"/>
                <w:color w:val="000000"/>
                <w:sz w:val="20"/>
                <w:szCs w:val="20"/>
              </w:rPr>
              <w:fldChar w:fldCharType="separate"/>
            </w:r>
            <w:r w:rsidRPr="00B86758">
              <w:rPr>
                <w:rFonts w:ascii="Times New Roman" w:hAnsi="Times New Roman"/>
                <w:color w:val="0000FF"/>
                <w:sz w:val="20"/>
                <w:szCs w:val="20"/>
                <w:vertAlign w:val="superscript"/>
              </w:rPr>
              <w:t>68</w:t>
            </w:r>
            <w:r w:rsidRPr="00B86758">
              <w:rPr>
                <w:rFonts w:ascii="Times New Roman" w:hAnsi="Times New Roman"/>
                <w:color w:val="000000"/>
                <w:sz w:val="20"/>
                <w:szCs w:val="20"/>
              </w:rPr>
              <w:fldChar w:fldCharType="end"/>
            </w:r>
          </w:p>
          <w:p w14:paraId="49165F44" w14:textId="77777777" w:rsidR="004D1FA8" w:rsidRPr="00B86758" w:rsidRDefault="004D1FA8">
            <w:pPr>
              <w:widowControl w:val="0"/>
              <w:autoSpaceDE w:val="0"/>
              <w:autoSpaceDN w:val="0"/>
              <w:adjustRightInd w:val="0"/>
              <w:spacing w:after="0" w:line="240" w:lineRule="auto"/>
              <w:rPr>
                <w:rFonts w:ascii="Times New Roman" w:hAnsi="Times New Roman"/>
                <w:color w:val="000000"/>
                <w:sz w:val="20"/>
                <w:szCs w:val="20"/>
              </w:rPr>
            </w:pPr>
          </w:p>
        </w:tc>
        <w:tc>
          <w:tcPr>
            <w:tcW w:w="9480" w:type="dxa"/>
            <w:tcBorders>
              <w:top w:val="nil"/>
              <w:left w:val="nil"/>
              <w:bottom w:val="nil"/>
              <w:right w:val="nil"/>
            </w:tcBorders>
            <w:tcMar>
              <w:top w:w="100" w:type="dxa"/>
              <w:bottom w:w="100" w:type="dxa"/>
            </w:tcMar>
          </w:tcPr>
          <w:p w14:paraId="7A518512"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r w:rsidRPr="00B86758">
              <w:rPr>
                <w:rFonts w:ascii="Times New Roman" w:hAnsi="Times New Roman"/>
                <w:i/>
                <w:iCs/>
                <w:color w:val="000000"/>
                <w:sz w:val="20"/>
                <w:szCs w:val="20"/>
              </w:rPr>
              <w:t>See id.</w:t>
            </w:r>
          </w:p>
          <w:p w14:paraId="246B0DC9" w14:textId="77777777" w:rsidR="004D1FA8" w:rsidRPr="00B86758" w:rsidRDefault="004D1FA8">
            <w:pPr>
              <w:widowControl w:val="0"/>
              <w:autoSpaceDE w:val="0"/>
              <w:autoSpaceDN w:val="0"/>
              <w:adjustRightInd w:val="0"/>
              <w:spacing w:after="0" w:line="240" w:lineRule="auto"/>
              <w:jc w:val="both"/>
              <w:rPr>
                <w:rFonts w:ascii="Times New Roman" w:hAnsi="Times New Roman"/>
                <w:i/>
                <w:iCs/>
                <w:color w:val="000000"/>
                <w:sz w:val="20"/>
                <w:szCs w:val="20"/>
              </w:rPr>
            </w:pPr>
          </w:p>
        </w:tc>
      </w:tr>
    </w:tbl>
    <w:p w14:paraId="293E1046"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p>
    <w:p w14:paraId="4D03235F" w14:textId="77777777" w:rsidR="004D1FA8" w:rsidRDefault="004D1FA8">
      <w:pPr>
        <w:widowControl w:val="0"/>
        <w:autoSpaceDE w:val="0"/>
        <w:autoSpaceDN w:val="0"/>
        <w:adjustRightInd w:val="0"/>
        <w:spacing w:after="200" w:line="240" w:lineRule="auto"/>
        <w:rPr>
          <w:rFonts w:ascii="Times New Roman" w:hAnsi="Times New Roman"/>
          <w:color w:val="000000"/>
          <w:sz w:val="20"/>
          <w:szCs w:val="20"/>
        </w:rPr>
      </w:pPr>
      <w:r>
        <w:rPr>
          <w:rFonts w:ascii="Times New Roman" w:hAnsi="Times New Roman"/>
          <w:color w:val="000000"/>
          <w:sz w:val="20"/>
          <w:szCs w:val="20"/>
        </w:rPr>
        <w:t>2021 UILLRON 97</w:t>
      </w:r>
    </w:p>
    <w:tbl>
      <w:tblPr>
        <w:tblW w:w="0" w:type="auto"/>
        <w:tblInd w:w="24" w:type="dxa"/>
        <w:tblLayout w:type="fixed"/>
        <w:tblCellMar>
          <w:left w:w="0" w:type="dxa"/>
          <w:right w:w="0" w:type="dxa"/>
        </w:tblCellMar>
        <w:tblLook w:val="0000" w:firstRow="0" w:lastRow="0" w:firstColumn="0" w:lastColumn="0" w:noHBand="0" w:noVBand="0"/>
      </w:tblPr>
      <w:tblGrid>
        <w:gridCol w:w="4320"/>
        <w:gridCol w:w="5760"/>
      </w:tblGrid>
      <w:tr w:rsidR="004D1FA8" w:rsidRPr="00B86758" w14:paraId="7B3E64BF" w14:textId="77777777">
        <w:tblPrEx>
          <w:tblCellMar>
            <w:top w:w="0" w:type="dxa"/>
            <w:left w:w="0" w:type="dxa"/>
            <w:bottom w:w="0" w:type="dxa"/>
            <w:right w:w="0" w:type="dxa"/>
          </w:tblCellMar>
        </w:tblPrEx>
        <w:tc>
          <w:tcPr>
            <w:tcW w:w="4320" w:type="dxa"/>
            <w:tcBorders>
              <w:top w:val="single" w:sz="4" w:space="0" w:color="777777"/>
              <w:left w:val="nil"/>
              <w:bottom w:val="nil"/>
              <w:right w:val="nil"/>
            </w:tcBorders>
            <w:tcMar>
              <w:top w:w="100" w:type="dxa"/>
              <w:left w:w="24" w:type="dxa"/>
              <w:right w:w="24" w:type="dxa"/>
            </w:tcMar>
          </w:tcPr>
          <w:p w14:paraId="0C70DA77" w14:textId="77777777" w:rsidR="004D1FA8" w:rsidRPr="00B86758" w:rsidRDefault="004D1FA8">
            <w:pPr>
              <w:widowControl w:val="0"/>
              <w:autoSpaceDE w:val="0"/>
              <w:autoSpaceDN w:val="0"/>
              <w:adjustRightInd w:val="0"/>
              <w:spacing w:after="0" w:line="240" w:lineRule="auto"/>
              <w:ind w:left="24" w:right="24"/>
              <w:rPr>
                <w:rFonts w:ascii="Times New Roman" w:hAnsi="Times New Roman"/>
                <w:b/>
                <w:bCs/>
                <w:color w:val="777777"/>
                <w:sz w:val="16"/>
                <w:szCs w:val="16"/>
              </w:rPr>
            </w:pPr>
            <w:r w:rsidRPr="00B86758">
              <w:rPr>
                <w:rFonts w:ascii="Times New Roman" w:hAnsi="Times New Roman"/>
                <w:b/>
                <w:bCs/>
                <w:color w:val="777777"/>
                <w:sz w:val="16"/>
                <w:szCs w:val="16"/>
              </w:rPr>
              <w:t>End of Document</w:t>
            </w:r>
          </w:p>
          <w:p w14:paraId="6079D0BC" w14:textId="77777777" w:rsidR="004D1FA8" w:rsidRPr="00B86758" w:rsidRDefault="004D1FA8">
            <w:pPr>
              <w:widowControl w:val="0"/>
              <w:autoSpaceDE w:val="0"/>
              <w:autoSpaceDN w:val="0"/>
              <w:adjustRightInd w:val="0"/>
              <w:spacing w:after="0" w:line="240" w:lineRule="auto"/>
              <w:ind w:left="24" w:right="24"/>
              <w:rPr>
                <w:rFonts w:ascii="Times New Roman" w:hAnsi="Times New Roman"/>
                <w:b/>
                <w:bCs/>
                <w:color w:val="777777"/>
                <w:sz w:val="16"/>
                <w:szCs w:val="16"/>
              </w:rPr>
            </w:pPr>
          </w:p>
        </w:tc>
        <w:tc>
          <w:tcPr>
            <w:tcW w:w="5760" w:type="dxa"/>
            <w:tcBorders>
              <w:top w:val="single" w:sz="4" w:space="0" w:color="777777"/>
              <w:left w:val="nil"/>
              <w:bottom w:val="nil"/>
              <w:right w:val="nil"/>
            </w:tcBorders>
            <w:tcMar>
              <w:top w:w="100" w:type="dxa"/>
              <w:left w:w="30" w:type="dxa"/>
              <w:right w:w="30" w:type="dxa"/>
            </w:tcMar>
          </w:tcPr>
          <w:p w14:paraId="3C499D68" w14:textId="77777777" w:rsidR="004D1FA8" w:rsidRPr="00B86758" w:rsidRDefault="004D1FA8">
            <w:pPr>
              <w:widowControl w:val="0"/>
              <w:autoSpaceDE w:val="0"/>
              <w:autoSpaceDN w:val="0"/>
              <w:adjustRightInd w:val="0"/>
              <w:spacing w:after="0" w:line="240" w:lineRule="auto"/>
              <w:ind w:left="30" w:right="30"/>
              <w:jc w:val="right"/>
              <w:rPr>
                <w:rFonts w:ascii="Times New Roman" w:hAnsi="Times New Roman"/>
                <w:color w:val="777777"/>
                <w:sz w:val="20"/>
                <w:szCs w:val="20"/>
              </w:rPr>
            </w:pPr>
            <w:r w:rsidRPr="00B86758">
              <w:rPr>
                <w:rFonts w:ascii="Times New Roman" w:hAnsi="Times New Roman"/>
                <w:color w:val="777777"/>
                <w:sz w:val="20"/>
                <w:szCs w:val="20"/>
              </w:rPr>
              <w:t>© 2021 Thomson Reuters. No claim to original U.S. Government Works.</w:t>
            </w:r>
          </w:p>
          <w:p w14:paraId="6F2861D7" w14:textId="77777777" w:rsidR="004D1FA8" w:rsidRPr="00B86758" w:rsidRDefault="004D1FA8">
            <w:pPr>
              <w:widowControl w:val="0"/>
              <w:autoSpaceDE w:val="0"/>
              <w:autoSpaceDN w:val="0"/>
              <w:adjustRightInd w:val="0"/>
              <w:spacing w:after="0" w:line="240" w:lineRule="auto"/>
              <w:ind w:left="30" w:right="30"/>
              <w:jc w:val="right"/>
              <w:rPr>
                <w:rFonts w:ascii="Times New Roman" w:hAnsi="Times New Roman"/>
                <w:color w:val="777777"/>
                <w:sz w:val="20"/>
                <w:szCs w:val="20"/>
              </w:rPr>
            </w:pPr>
          </w:p>
        </w:tc>
      </w:tr>
    </w:tbl>
    <w:p w14:paraId="23ABE61B" w14:textId="77777777" w:rsidR="004D1FA8" w:rsidRDefault="004D1FA8">
      <w:pPr>
        <w:widowControl w:val="0"/>
        <w:autoSpaceDE w:val="0"/>
        <w:autoSpaceDN w:val="0"/>
        <w:adjustRightInd w:val="0"/>
        <w:spacing w:after="0" w:line="240" w:lineRule="auto"/>
        <w:jc w:val="both"/>
        <w:rPr>
          <w:rFonts w:ascii="Times New Roman" w:hAnsi="Times New Roman"/>
          <w:color w:val="000000"/>
          <w:sz w:val="20"/>
          <w:szCs w:val="20"/>
        </w:rPr>
      </w:pPr>
    </w:p>
    <w:p w14:paraId="14A750E2" w14:textId="77777777" w:rsidR="00DA42B3" w:rsidRDefault="00DA42B3">
      <w:pPr>
        <w:widowControl w:val="0"/>
        <w:autoSpaceDE w:val="0"/>
        <w:autoSpaceDN w:val="0"/>
        <w:adjustRightInd w:val="0"/>
        <w:spacing w:after="0" w:line="240" w:lineRule="auto"/>
        <w:rPr>
          <w:rFonts w:ascii="Arial" w:hAnsi="Arial" w:cs="Arial"/>
          <w:sz w:val="24"/>
          <w:szCs w:val="24"/>
        </w:rPr>
      </w:pPr>
    </w:p>
    <w:sectPr w:rsidR="00DA42B3">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0373" w14:textId="77777777" w:rsidR="00B86758" w:rsidRDefault="00B86758">
      <w:pPr>
        <w:spacing w:after="0" w:line="240" w:lineRule="auto"/>
      </w:pPr>
      <w:r>
        <w:separator/>
      </w:r>
    </w:p>
  </w:endnote>
  <w:endnote w:type="continuationSeparator" w:id="0">
    <w:p w14:paraId="1A1ECA01" w14:textId="77777777" w:rsidR="00B86758" w:rsidRDefault="00B8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00"/>
      <w:gridCol w:w="700"/>
    </w:tblGrid>
    <w:tr w:rsidR="004D1FA8" w:rsidRPr="00B86758" w14:paraId="6182F508" w14:textId="77777777">
      <w:tblPrEx>
        <w:tblCellMar>
          <w:top w:w="0" w:type="dxa"/>
          <w:left w:w="0" w:type="dxa"/>
          <w:bottom w:w="0" w:type="dxa"/>
          <w:right w:w="0" w:type="dxa"/>
        </w:tblCellMar>
      </w:tblPrEx>
      <w:tc>
        <w:tcPr>
          <w:tcW w:w="9300" w:type="dxa"/>
          <w:tcBorders>
            <w:top w:val="single" w:sz="8" w:space="0" w:color="AAAAAA"/>
            <w:left w:val="nil"/>
            <w:bottom w:val="nil"/>
            <w:right w:val="nil"/>
          </w:tcBorders>
          <w:tcMar>
            <w:top w:w="60" w:type="dxa"/>
          </w:tcMar>
          <w:vAlign w:val="bottom"/>
        </w:tcPr>
        <w:p w14:paraId="4A670AF9" w14:textId="77777777" w:rsidR="004D1FA8" w:rsidRPr="00B86758" w:rsidRDefault="004D1FA8">
          <w:pPr>
            <w:widowControl w:val="0"/>
            <w:autoSpaceDE w:val="0"/>
            <w:autoSpaceDN w:val="0"/>
            <w:adjustRightInd w:val="0"/>
            <w:spacing w:after="0" w:line="240" w:lineRule="auto"/>
            <w:rPr>
              <w:rFonts w:ascii="Arial" w:hAnsi="Arial" w:cs="Arial"/>
              <w:color w:val="AAAAAA"/>
              <w:sz w:val="20"/>
              <w:szCs w:val="20"/>
            </w:rPr>
          </w:pPr>
          <w:r w:rsidRPr="00B86758">
            <w:rPr>
              <w:rFonts w:ascii="Arial" w:hAnsi="Arial" w:cs="Arial"/>
              <w:color w:val="AAAAAA"/>
              <w:sz w:val="20"/>
              <w:szCs w:val="20"/>
            </w:rPr>
            <w:pict w14:anchorId="6B6BA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5pt;height:7.2pt">
                <v:imagedata r:id="rId1" o:title=""/>
              </v:shape>
            </w:pict>
          </w:r>
          <w:r w:rsidRPr="00B86758">
            <w:rPr>
              <w:rFonts w:ascii="Arial" w:hAnsi="Arial" w:cs="Arial"/>
              <w:color w:val="AAAAAA"/>
              <w:sz w:val="20"/>
              <w:szCs w:val="20"/>
            </w:rPr>
            <w:t xml:space="preserve"> © 2021 Thomson Reuters. No claim to original U.S. Government Works.</w:t>
          </w:r>
        </w:p>
      </w:tc>
      <w:tc>
        <w:tcPr>
          <w:tcW w:w="700" w:type="dxa"/>
          <w:tcBorders>
            <w:top w:val="single" w:sz="8" w:space="0" w:color="AAAAAA"/>
            <w:left w:val="nil"/>
            <w:bottom w:val="nil"/>
            <w:right w:val="nil"/>
          </w:tcBorders>
          <w:tcMar>
            <w:top w:w="60" w:type="dxa"/>
          </w:tcMar>
        </w:tcPr>
        <w:p w14:paraId="6E1CCA1F" w14:textId="77777777" w:rsidR="004D1FA8" w:rsidRPr="00B86758" w:rsidRDefault="004D1FA8">
          <w:pPr>
            <w:widowControl w:val="0"/>
            <w:autoSpaceDE w:val="0"/>
            <w:autoSpaceDN w:val="0"/>
            <w:adjustRightInd w:val="0"/>
            <w:spacing w:after="0" w:line="240" w:lineRule="auto"/>
            <w:jc w:val="right"/>
            <w:rPr>
              <w:rFonts w:ascii="Arial" w:hAnsi="Arial" w:cs="Arial"/>
              <w:color w:val="AAAAAA"/>
              <w:sz w:val="20"/>
              <w:szCs w:val="20"/>
            </w:rPr>
          </w:pPr>
          <w:r w:rsidRPr="00B86758">
            <w:rPr>
              <w:rFonts w:ascii="Arial" w:hAnsi="Arial" w:cs="Arial"/>
              <w:color w:val="AAAAAA"/>
              <w:sz w:val="20"/>
              <w:szCs w:val="20"/>
            </w:rPr>
            <w:pgNum/>
          </w:r>
        </w:p>
      </w:tc>
    </w:tr>
  </w:tbl>
  <w:p w14:paraId="77FF11CA" w14:textId="77777777" w:rsidR="004D1FA8" w:rsidRDefault="004D1FA8">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002F" w14:textId="77777777" w:rsidR="00B86758" w:rsidRDefault="00B86758">
      <w:pPr>
        <w:spacing w:after="0" w:line="240" w:lineRule="auto"/>
      </w:pPr>
      <w:r>
        <w:separator/>
      </w:r>
    </w:p>
  </w:footnote>
  <w:footnote w:type="continuationSeparator" w:id="0">
    <w:p w14:paraId="5012A41D" w14:textId="77777777" w:rsidR="00B86758" w:rsidRDefault="00B86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80"/>
      <w:gridCol w:w="700"/>
    </w:tblGrid>
    <w:tr w:rsidR="004D1FA8" w:rsidRPr="00B86758" w14:paraId="537CADAA" w14:textId="77777777">
      <w:tblPrEx>
        <w:tblCellMar>
          <w:top w:w="0" w:type="dxa"/>
          <w:left w:w="0" w:type="dxa"/>
          <w:bottom w:w="0" w:type="dxa"/>
          <w:right w:w="0" w:type="dxa"/>
        </w:tblCellMar>
      </w:tblPrEx>
      <w:tc>
        <w:tcPr>
          <w:tcW w:w="9380" w:type="dxa"/>
          <w:tcBorders>
            <w:top w:val="nil"/>
            <w:left w:val="nil"/>
            <w:bottom w:val="single" w:sz="8" w:space="0" w:color="AAAAAA"/>
            <w:right w:val="nil"/>
          </w:tcBorders>
          <w:tcMar>
            <w:top w:w="400" w:type="dxa"/>
            <w:bottom w:w="60" w:type="dxa"/>
          </w:tcMar>
          <w:vAlign w:val="bottom"/>
        </w:tcPr>
        <w:p w14:paraId="346D5414" w14:textId="77777777" w:rsidR="004D1FA8" w:rsidRPr="00B86758" w:rsidRDefault="004D1FA8">
          <w:pPr>
            <w:widowControl w:val="0"/>
            <w:autoSpaceDE w:val="0"/>
            <w:autoSpaceDN w:val="0"/>
            <w:adjustRightInd w:val="0"/>
            <w:spacing w:after="0" w:line="240" w:lineRule="auto"/>
            <w:rPr>
              <w:rFonts w:ascii="Arial" w:hAnsi="Arial" w:cs="Arial"/>
              <w:color w:val="000000"/>
              <w:sz w:val="18"/>
              <w:szCs w:val="18"/>
            </w:rPr>
          </w:pPr>
          <w:r w:rsidRPr="00B86758">
            <w:rPr>
              <w:rFonts w:ascii="Arial" w:hAnsi="Arial" w:cs="Arial"/>
              <w:b/>
              <w:bCs/>
              <w:color w:val="555555"/>
              <w:sz w:val="18"/>
              <w:szCs w:val="18"/>
            </w:rPr>
            <w:t>DAUBERT STRATEGIES FOR THE CRIMINAL DEFENSE BAR, 2021 U. Ill. L. Rev....</w:t>
          </w:r>
        </w:p>
      </w:tc>
      <w:tc>
        <w:tcPr>
          <w:tcW w:w="700" w:type="dxa"/>
          <w:tcBorders>
            <w:top w:val="nil"/>
            <w:left w:val="nil"/>
            <w:bottom w:val="single" w:sz="8" w:space="0" w:color="AAAAAA"/>
            <w:right w:val="nil"/>
          </w:tcBorders>
          <w:tcMar>
            <w:top w:w="400" w:type="dxa"/>
            <w:bottom w:w="60" w:type="dxa"/>
          </w:tcMar>
        </w:tcPr>
        <w:p w14:paraId="613F4666" w14:textId="77777777" w:rsidR="004D1FA8" w:rsidRPr="00B86758" w:rsidRDefault="004D1FA8">
          <w:pPr>
            <w:widowControl w:val="0"/>
            <w:autoSpaceDE w:val="0"/>
            <w:autoSpaceDN w:val="0"/>
            <w:adjustRightInd w:val="0"/>
            <w:spacing w:after="0" w:line="240" w:lineRule="auto"/>
            <w:jc w:val="right"/>
            <w:rPr>
              <w:rFonts w:ascii="Arial" w:hAnsi="Arial" w:cs="Arial"/>
              <w:color w:val="000000"/>
              <w:sz w:val="18"/>
              <w:szCs w:val="18"/>
            </w:rPr>
          </w:pPr>
        </w:p>
      </w:tc>
    </w:tr>
    <w:tr w:rsidR="004D1FA8" w:rsidRPr="00B86758" w14:paraId="571537B0" w14:textId="77777777">
      <w:tblPrEx>
        <w:tblCellMar>
          <w:top w:w="0" w:type="dxa"/>
          <w:left w:w="0" w:type="dxa"/>
          <w:bottom w:w="0" w:type="dxa"/>
          <w:right w:w="0" w:type="dxa"/>
        </w:tblCellMar>
      </w:tblPrEx>
      <w:tc>
        <w:tcPr>
          <w:tcW w:w="10080" w:type="dxa"/>
          <w:gridSpan w:val="2"/>
          <w:tcBorders>
            <w:top w:val="nil"/>
            <w:left w:val="nil"/>
            <w:bottom w:val="nil"/>
            <w:right w:val="nil"/>
          </w:tcBorders>
        </w:tcPr>
        <w:p w14:paraId="711F4133" w14:textId="77777777" w:rsidR="004D1FA8" w:rsidRPr="00B86758" w:rsidRDefault="004D1FA8">
          <w:pPr>
            <w:widowControl w:val="0"/>
            <w:autoSpaceDE w:val="0"/>
            <w:autoSpaceDN w:val="0"/>
            <w:adjustRightInd w:val="0"/>
            <w:spacing w:after="0" w:line="240" w:lineRule="auto"/>
            <w:rPr>
              <w:rFonts w:ascii="Arial" w:hAnsi="Arial" w:cs="Arial"/>
              <w:color w:val="000000"/>
              <w:sz w:val="18"/>
              <w:szCs w:val="18"/>
            </w:rPr>
          </w:pPr>
        </w:p>
      </w:tc>
    </w:tr>
  </w:tbl>
  <w:p w14:paraId="64064602" w14:textId="77777777" w:rsidR="004D1FA8" w:rsidRDefault="004D1FA8">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MrIwNTQxtDSyMDFT0lEKTi0uzszPAykwqgUARUxxsSwAAAA="/>
  </w:docVars>
  <w:rsids>
    <w:rsidRoot w:val="002F2E69"/>
    <w:rsid w:val="002F2E69"/>
    <w:rsid w:val="004D1FA8"/>
    <w:rsid w:val="00657411"/>
    <w:rsid w:val="009C1602"/>
    <w:rsid w:val="00B86758"/>
    <w:rsid w:val="00BE1385"/>
    <w:rsid w:val="00DA42B3"/>
    <w:rsid w:val="00DF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80FDA"/>
  <w14:defaultImageDpi w14:val="0"/>
  <w15:docId w15:val="{A581AEB4-A8FE-44ED-B98F-B9CA222C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Link/Document/FullText?findType=Y&amp;serNum=1993124630&amp;pubNum=0000713&amp;originatingDoc=Ib29db8ef9f2c11ebbea4f0dc9fb69570&amp;refType=RP&amp;fi=co_pp_sp_713_561&amp;originationContext=document&amp;vr=3.0&amp;rs=cblt1.0&amp;transitionType=DocumentItem&amp;contextData=(sc.KeyciteAlert)#co_pp_sp_713_561" TargetMode="External"/><Relationship Id="rId18"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26" Type="http://schemas.openxmlformats.org/officeDocument/2006/relationships/hyperlink" Target="http://www.westlaw.com/Link/Document/FullText?findType=Y&amp;serNum=2004190005&amp;pubNum=0000780&amp;originatingDoc=Ib29db8ef9f2c11ebbea4f0dc9fb69570&amp;refType=RP&amp;fi=co_pp_sp_780_61&amp;originationContext=document&amp;vr=3.0&amp;rs=cblt1.0&amp;transitionType=DocumentItem&amp;contextData=(sc.KeyciteAlert)#co_pp_sp_780_61" TargetMode="External"/><Relationship Id="rId39" Type="http://schemas.openxmlformats.org/officeDocument/2006/relationships/hyperlink" Target="http://www.westlaw.com/Link/Document/FullText?findType=Y&amp;serNum=0468461793&amp;pubNum=0001142&amp;originatingDoc=Ib29db8ef9f2c11ebbea4f0dc9fb69570&amp;refType=LR&amp;fi=co_pp_sp_1142_1577&amp;originationContext=document&amp;vr=3.0&amp;rs=cblt1.0&amp;transitionType=DocumentItem&amp;contextData=(sc.KeyciteAlert)#co_pp_sp_1142_1577" TargetMode="External"/><Relationship Id="rId21" Type="http://schemas.openxmlformats.org/officeDocument/2006/relationships/hyperlink" Target="http://www.westlaw.com/Link/Document/FullText?findType=Y&amp;serNum=2045154849&amp;pubNum=0007691&amp;originatingDoc=Ib29db8ef9f2c11ebbea4f0dc9fb69570&amp;refType=RP&amp;fi=co_pp_sp_7691_457&amp;originationContext=document&amp;vr=3.0&amp;rs=cblt1.0&amp;transitionType=DocumentItem&amp;contextData=(sc.KeyciteAlert)#co_pp_sp_7691_457" TargetMode="External"/><Relationship Id="rId34" Type="http://schemas.openxmlformats.org/officeDocument/2006/relationships/hyperlink" Target="http://www.westlaw.com/Link/Document/FullText?findType=Y&amp;serNum=2022879409&amp;pubNum=0000595&amp;originatingDoc=Ib29db8ef9f2c11ebbea4f0dc9fb69570&amp;refType=RP&amp;fi=co_pp_sp_595_396&amp;originationContext=document&amp;vr=3.0&amp;rs=cblt1.0&amp;transitionType=DocumentItem&amp;contextData=(sc.KeyciteAlert)#co_pp_sp_595_396" TargetMode="External"/><Relationship Id="rId42" Type="http://schemas.openxmlformats.org/officeDocument/2006/relationships/hyperlink" Target="http://www.westlaw.com/Link/Document/FullText?findType=Y&amp;serNum=0282121185&amp;pubNum=0003105&amp;originatingDoc=Ib29db8ef9f2c11ebbea4f0dc9fb69570&amp;refType=LR&amp;fi=co_pp_sp_3105_106&amp;originationContext=document&amp;vr=3.0&amp;rs=cblt1.0&amp;transitionType=DocumentItem&amp;contextData=(sc.KeyciteAlert)#co_pp_sp_3105_106" TargetMode="External"/><Relationship Id="rId47" Type="http://schemas.openxmlformats.org/officeDocument/2006/relationships/hyperlink" Target="http://www.westlaw.com/Link/Document/FullText?findType=Y&amp;serNum=2012545031&amp;pubNum=0000595&amp;originatingDoc=Ib29db8ef9f2c11ebbea4f0dc9fb69570&amp;refType=RP&amp;originationContext=document&amp;vr=3.0&amp;rs=cblt1.0&amp;transitionType=DocumentItem&amp;contextData=(sc.KeyciteAlert)" TargetMode="External"/><Relationship Id="rId50" Type="http://schemas.openxmlformats.org/officeDocument/2006/relationships/hyperlink" Target="http://www.westlaw.com/Link/Document/FullText?findType=Y&amp;serNum=2037765827&amp;pubNum=0000595&amp;originatingDoc=Ib29db8ef9f2c11ebbea4f0dc9fb69570&amp;refType=RP&amp;fi=co_pp_sp_595_613&amp;originationContext=document&amp;vr=3.0&amp;rs=cblt1.0&amp;transitionType=DocumentItem&amp;contextData=(sc.KeyciteAlert)#co_pp_sp_595_613" TargetMode="External"/><Relationship Id="rId55" Type="http://schemas.openxmlformats.org/officeDocument/2006/relationships/hyperlink" Target="http://www.westlaw.com/Link/Document/FullText?findType=Y&amp;serNum=0339798182&amp;pubNum=0151258&amp;originatingDoc=Ib29db8ef9f2c11ebbea4f0dc9fb69570&amp;refType=LR&amp;fi=co_pp_sp_151258_383&amp;originationContext=document&amp;vr=3.0&amp;rs=cblt1.0&amp;transitionType=DocumentItem&amp;contextData=(sc.KeyciteAlert)#co_pp_sp_151258_383" TargetMode="External"/><Relationship Id="rId63" Type="http://schemas.openxmlformats.org/officeDocument/2006/relationships/hyperlink" Target="http://www.westlaw.com/Link/Document/FullText?findType=Y&amp;serNum=2051391562&amp;pubNum=0000595&amp;originatingDoc=Ib29db8ef9f2c11ebbea4f0dc9fb69570&amp;refType=RP&amp;fi=co_pp_sp_595_624&amp;originationContext=document&amp;vr=3.0&amp;rs=cblt1.0&amp;transitionType=DocumentItem&amp;contextData=(sc.KeyciteAlert)#co_pp_sp_595_624" TargetMode="External"/><Relationship Id="rId68" Type="http://schemas.openxmlformats.org/officeDocument/2006/relationships/hyperlink" Target="http://www.westlaw.com/Link/Document/FullText?findType=Y&amp;serNum=2051391562&amp;pubNum=0000595&amp;originatingDoc=Ib29db8ef9f2c11ebbea4f0dc9fb69570&amp;refType=RP&amp;fi=co_pp_sp_595_624&amp;originationContext=document&amp;vr=3.0&amp;rs=cblt1.0&amp;transitionType=DocumentItem&amp;contextData=(sc.KeyciteAlert)#co_pp_sp_595_624" TargetMode="Externa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westlaw.com/Link/Document/FullText?findType=Y&amp;serNum=2051391562&amp;pubNum=0000595&amp;originatingDoc=Ib29db8ef9f2c11ebbea4f0dc9fb69570&amp;refType=RP&amp;originationContext=document&amp;vr=3.0&amp;rs=cblt1.0&amp;transitionType=DocumentItem&amp;contextData=(sc.KeyciteAlert)" TargetMode="External"/><Relationship Id="rId29" Type="http://schemas.openxmlformats.org/officeDocument/2006/relationships/hyperlink" Target="http://www.westlaw.com/Link/Document/FullText?findType=Y&amp;serNum=1993130674&amp;pubNum=0000780&amp;originatingDoc=Ib29db8ef9f2c11ebbea4f0dc9fb69570&amp;refType=RP&amp;fi=co_pp_sp_780_597&amp;originationContext=document&amp;vr=3.0&amp;rs=cblt1.0&amp;transitionType=DocumentItem&amp;contextData=(sc.KeyciteAlert)#co_pp_sp_780_597"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westlaw.com/Link/Document/FullText?findType=Y&amp;serNum=2000571413&amp;pubNum=0004644&amp;originatingDoc=Ib29db8ef9f2c11ebbea4f0dc9fb69570&amp;refType=RP&amp;fi=co_pp_sp_4644_609&amp;originationContext=document&amp;vr=3.0&amp;rs=cblt1.0&amp;transitionType=DocumentItem&amp;contextData=(sc.KeyciteAlert)#co_pp_sp_4644_609" TargetMode="External"/><Relationship Id="rId24"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32"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37" Type="http://schemas.openxmlformats.org/officeDocument/2006/relationships/hyperlink" Target="http://www.westlaw.com/Link/Document/FullText?findType=L&amp;pubNum=1000607&amp;cite=USFRER702&amp;originatingDoc=Ib29db8ef9f2c11ebbea4f0dc9fb69570&amp;refType=LQ&amp;originationContext=document&amp;vr=3.0&amp;rs=cblt1.0&amp;transitionType=DocumentItem&amp;contextData=(sc.KeyciteAlert)" TargetMode="External"/><Relationship Id="rId40" Type="http://schemas.openxmlformats.org/officeDocument/2006/relationships/hyperlink" Target="http://www.westlaw.com/Link/Document/FullText?findType=Y&amp;serNum=0391264538&amp;pubNum=0001145&amp;originatingDoc=Ib29db8ef9f2c11ebbea4f0dc9fb69570&amp;refType=LR&amp;fi=co_pp_sp_1145_894&amp;originationContext=document&amp;vr=3.0&amp;rs=cblt1.0&amp;transitionType=DocumentItem&amp;contextData=(sc.KeyciteAlert)#co_pp_sp_1145_894" TargetMode="External"/><Relationship Id="rId45" Type="http://schemas.openxmlformats.org/officeDocument/2006/relationships/hyperlink" Target="http://www.westlaw.com/Link/Document/FullText?findType=Y&amp;serNum=0490814289&amp;pubNum=0220596&amp;originatingDoc=Ib29db8ef9f2c11ebbea4f0dc9fb69570&amp;refType=LR&amp;fi=co_pp_sp_220596_364&amp;originationContext=document&amp;vr=3.0&amp;rs=cblt1.0&amp;transitionType=DocumentItem&amp;contextData=(sc.KeyciteAlert)#co_pp_sp_220596_364" TargetMode="External"/><Relationship Id="rId53" Type="http://schemas.openxmlformats.org/officeDocument/2006/relationships/hyperlink" Target="http://www.westlaw.com/Link/Document/FullText?findType=L&amp;pubNum=1000260&amp;cite=WIST809.23&amp;originatingDoc=Ib29db8ef9f2c11ebbea4f0dc9fb69570&amp;refType=LQ&amp;originationContext=document&amp;vr=3.0&amp;rs=cblt1.0&amp;transitionType=DocumentItem&amp;contextData=(sc.KeyciteAlert)" TargetMode="External"/><Relationship Id="rId58" Type="http://schemas.openxmlformats.org/officeDocument/2006/relationships/hyperlink" Target="http://www.westlaw.com/Link/Document/FullText?findType=Y&amp;serNum=2047487932&amp;pubNum=0000999&amp;originatingDoc=Ib29db8ef9f2c11ebbea4f0dc9fb69570&amp;refType=RP&amp;originationContext=document&amp;vr=3.0&amp;rs=cblt1.0&amp;transitionType=DocumentItem&amp;contextData=(sc.KeyciteAlert)" TargetMode="External"/><Relationship Id="rId66" Type="http://schemas.openxmlformats.org/officeDocument/2006/relationships/hyperlink" Target="http://www.westlaw.com/Link/Document/FullText?findType=Y&amp;serNum=2037765827&amp;pubNum=0000595&amp;originatingDoc=Ib29db8ef9f2c11ebbea4f0dc9fb69570&amp;refType=RP&amp;fi=co_pp_sp_595_613&amp;originationContext=document&amp;vr=3.0&amp;rs=cblt1.0&amp;transitionType=DocumentItem&amp;contextData=(sc.KeyciteAlert)#co_pp_sp_595_613" TargetMode="External"/><Relationship Id="rId5" Type="http://schemas.openxmlformats.org/officeDocument/2006/relationships/endnotes" Target="endnotes.xml"/><Relationship Id="rId15"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23" Type="http://schemas.openxmlformats.org/officeDocument/2006/relationships/hyperlink" Target="http://www.westlaw.com/Link/Document/FullText?findType=Y&amp;serNum=2045154849&amp;pubNum=0007691&amp;originatingDoc=Ib29db8ef9f2c11ebbea4f0dc9fb69570&amp;refType=RP&amp;fi=co_pp_sp_7691_458&amp;originationContext=document&amp;vr=3.0&amp;rs=cblt1.0&amp;transitionType=DocumentItem&amp;contextData=(sc.KeyciteAlert)#co_pp_sp_7691_458" TargetMode="External"/><Relationship Id="rId28"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36"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49" Type="http://schemas.openxmlformats.org/officeDocument/2006/relationships/hyperlink" Target="http://www.westlaw.com/Link/Document/FullText?findType=Y&amp;serNum=2037765827&amp;pubNum=0000595&amp;originatingDoc=Ib29db8ef9f2c11ebbea4f0dc9fb69570&amp;refType=RP&amp;fi=co_pp_sp_595_614&amp;originationContext=document&amp;vr=3.0&amp;rs=cblt1.0&amp;transitionType=DocumentItem&amp;contextData=(sc.KeyciteAlert)#co_pp_sp_595_614" TargetMode="External"/><Relationship Id="rId57"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61" Type="http://schemas.openxmlformats.org/officeDocument/2006/relationships/hyperlink" Target="http://www.westlaw.com/Link/Document/FullText?findType=Y&amp;serNum=2047487932&amp;pubNum=0000999&amp;originatingDoc=Ib29db8ef9f2c11ebbea4f0dc9fb69570&amp;refType=RP&amp;originationContext=document&amp;vr=3.0&amp;rs=cblt1.0&amp;transitionType=DocumentItem&amp;contextData=(sc.KeyciteAlert)" TargetMode="External"/><Relationship Id="rId10" Type="http://schemas.openxmlformats.org/officeDocument/2006/relationships/hyperlink" Target="http://www.westlaw.com/Link/Document/FullText?findType=Y&amp;serNum=2045154849&amp;pubNum=0007691&amp;originatingDoc=Ib29db8ef9f2c11ebbea4f0dc9fb69570&amp;refType=RP&amp;fi=co_pp_sp_7691_466&amp;originationContext=document&amp;vr=3.0&amp;rs=cblt1.0&amp;transitionType=DocumentItem&amp;contextData=(sc.KeyciteAlert)#co_pp_sp_7691_466" TargetMode="External"/><Relationship Id="rId19"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31" Type="http://schemas.openxmlformats.org/officeDocument/2006/relationships/hyperlink" Target="http://www.westlaw.com/Link/Document/FullText?findType=Y&amp;serNum=1999084423&amp;pubNum=0000780&amp;originatingDoc=Ib29db8ef9f2c11ebbea4f0dc9fb69570&amp;refType=RP&amp;originationContext=document&amp;vr=3.0&amp;rs=cblt1.0&amp;transitionType=DocumentItem&amp;contextData=(sc.KeyciteAlert)" TargetMode="External"/><Relationship Id="rId44" Type="http://schemas.openxmlformats.org/officeDocument/2006/relationships/hyperlink" Target="http://www.westlaw.com/Link/Document/FullText?findType=Y&amp;serNum=0490814289&amp;pubNum=0220596&amp;originatingDoc=Ib29db8ef9f2c11ebbea4f0dc9fb69570&amp;refType=LR&amp;fi=co_pp_sp_220596_367&amp;originationContext=document&amp;vr=3.0&amp;rs=cblt1.0&amp;transitionType=DocumentItem&amp;contextData=(sc.KeyciteAlert)#co_pp_sp_220596_367" TargetMode="External"/><Relationship Id="rId52" Type="http://schemas.openxmlformats.org/officeDocument/2006/relationships/hyperlink" Target="http://www.westlaw.com/Link/Document/FullText?findType=Y&amp;serNum=2043278702&amp;pubNum=0000999&amp;originatingDoc=Ib29db8ef9f2c11ebbea4f0dc9fb69570&amp;refType=RP&amp;originationContext=document&amp;vr=3.0&amp;rs=cblt1.0&amp;transitionType=DocumentItem&amp;contextData=(sc.KeyciteAlert)" TargetMode="External"/><Relationship Id="rId60" Type="http://schemas.openxmlformats.org/officeDocument/2006/relationships/hyperlink" Target="http://www.westlaw.com/Link/Document/FullText?findType=Y&amp;serNum=2047487932&amp;pubNum=0000999&amp;originatingDoc=Ib29db8ef9f2c11ebbea4f0dc9fb69570&amp;refType=RP&amp;originationContext=document&amp;vr=3.0&amp;rs=cblt1.0&amp;transitionType=DocumentItem&amp;contextData=(sc.KeyciteAlert)" TargetMode="External"/><Relationship Id="rId65" Type="http://schemas.openxmlformats.org/officeDocument/2006/relationships/hyperlink" Target="http://www.westlaw.com/Link/Document/FullText?findType=Y&amp;serNum=2051391562&amp;pubNum=0000595&amp;originatingDoc=Ib29db8ef9f2c11ebbea4f0dc9fb69570&amp;refType=RP&amp;fi=co_pp_sp_595_642&amp;originationContext=document&amp;vr=3.0&amp;rs=cblt1.0&amp;transitionType=DocumentItem&amp;contextData=(sc.KeyciteAlert)#co_pp_sp_595_642" TargetMode="External"/><Relationship Id="rId4" Type="http://schemas.openxmlformats.org/officeDocument/2006/relationships/footnotes" Target="footnotes.xml"/><Relationship Id="rId9"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14" Type="http://schemas.openxmlformats.org/officeDocument/2006/relationships/hyperlink" Target="http://www.westlaw.com/Link/Document/FullText?findType=Y&amp;serNum=2037487066&amp;pubNum=0004644&amp;originatingDoc=Ib29db8ef9f2c11ebbea4f0dc9fb69570&amp;refType=RP&amp;fi=co_pp_sp_4644_528&amp;originationContext=document&amp;vr=3.0&amp;rs=cblt1.0&amp;transitionType=DocumentItem&amp;contextData=(sc.KeyciteAlert)#co_pp_sp_4644_528" TargetMode="External"/><Relationship Id="rId22"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27" Type="http://schemas.openxmlformats.org/officeDocument/2006/relationships/hyperlink" Target="http://www.westlaw.com/Link/Document/FullText?findType=Y&amp;serNum=2009061828&amp;pubNum=0000780&amp;originatingDoc=Ib29db8ef9f2c11ebbea4f0dc9fb69570&amp;refType=RP&amp;fi=co_pp_sp_780_324&amp;originationContext=document&amp;vr=3.0&amp;rs=cblt1.0&amp;transitionType=DocumentItem&amp;contextData=(sc.KeyciteAlert)#co_pp_sp_780_324" TargetMode="External"/><Relationship Id="rId30" Type="http://schemas.openxmlformats.org/officeDocument/2006/relationships/hyperlink" Target="http://www.westlaw.com/Link/Document/FullText?findType=Y&amp;serNum=1997242413&amp;pubNum=0000780&amp;originatingDoc=Ib29db8ef9f2c11ebbea4f0dc9fb69570&amp;refType=RP&amp;originationContext=document&amp;vr=3.0&amp;rs=cblt1.0&amp;transitionType=DocumentItem&amp;contextData=(sc.KeyciteAlert)" TargetMode="External"/><Relationship Id="rId35" Type="http://schemas.openxmlformats.org/officeDocument/2006/relationships/hyperlink" Target="http://www.westlaw.com/Link/Document/FullText?findType=Y&amp;serNum=1924122438&amp;pubNum=0000348&amp;originatingDoc=Ib29db8ef9f2c11ebbea4f0dc9fb69570&amp;refType=RP&amp;fi=co_pp_sp_348_1014&amp;originationContext=document&amp;vr=3.0&amp;rs=cblt1.0&amp;transitionType=DocumentItem&amp;contextData=(sc.KeyciteAlert)#co_pp_sp_348_1014" TargetMode="External"/><Relationship Id="rId43" Type="http://schemas.openxmlformats.org/officeDocument/2006/relationships/hyperlink" Target="http://www.westlaw.com/Link/Document/FullText?findType=Y&amp;serNum=2010965578&amp;pubNum=0000506&amp;originatingDoc=Ib29db8ef9f2c11ebbea4f0dc9fb69570&amp;refType=RP&amp;fi=co_pp_sp_506_261&amp;originationContext=document&amp;vr=3.0&amp;rs=cblt1.0&amp;transitionType=DocumentItem&amp;contextData=(sc.KeyciteAlert)#co_pp_sp_506_261" TargetMode="External"/><Relationship Id="rId48" Type="http://schemas.openxmlformats.org/officeDocument/2006/relationships/hyperlink" Target="http://www.westlaw.com/Link/Document/FullText?findType=Y&amp;serNum=2037765827&amp;pubNum=0000595&amp;originatingDoc=Ib29db8ef9f2c11ebbea4f0dc9fb69570&amp;refType=RP&amp;originationContext=document&amp;vr=3.0&amp;rs=cblt1.0&amp;transitionType=DocumentItem&amp;contextData=(sc.KeyciteAlert)" TargetMode="External"/><Relationship Id="rId56" Type="http://schemas.openxmlformats.org/officeDocument/2006/relationships/hyperlink" Target="http://www.westlaw.com/Link/Document/FullText?findType=L&amp;pubNum=1000260&amp;cite=WIST971.23&amp;originatingDoc=Ib29db8ef9f2c11ebbea4f0dc9fb69570&amp;refType=LQ&amp;originationContext=document&amp;vr=3.0&amp;rs=cblt1.0&amp;transitionType=DocumentItem&amp;contextData=(sc.KeyciteAlert)" TargetMode="External"/><Relationship Id="rId64"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69" Type="http://schemas.openxmlformats.org/officeDocument/2006/relationships/hyperlink" Target="http://www.westlaw.com/Link/Document/FullText?findType=Y&amp;serNum=2051391562&amp;pubNum=0000595&amp;originatingDoc=Ib29db8ef9f2c11ebbea4f0dc9fb69570&amp;refType=RP&amp;fi=co_pp_sp_595_624&amp;originationContext=document&amp;vr=3.0&amp;rs=cblt1.0&amp;transitionType=DocumentItem&amp;contextData=(sc.KeyciteAlert)#co_pp_sp_595_624" TargetMode="External"/><Relationship Id="rId8" Type="http://schemas.openxmlformats.org/officeDocument/2006/relationships/hyperlink" Target="http://www.westlaw.com/Link/Document/FullText?findType=Y&amp;serNum=2045154849&amp;pubNum=0007691&amp;originatingDoc=Ib29db8ef9f2c11ebbea4f0dc9fb69570&amp;refType=RP&amp;fi=co_pp_sp_7691_458&amp;originationContext=document&amp;vr=3.0&amp;rs=cblt1.0&amp;transitionType=DocumentItem&amp;contextData=(sc.KeyciteAlert)#co_pp_sp_7691_458" TargetMode="External"/><Relationship Id="rId51" Type="http://schemas.openxmlformats.org/officeDocument/2006/relationships/hyperlink" Target="http://www.westlaw.com/Link/Document/FullText?findType=Y&amp;serNum=2045311365&amp;pubNum=0000999&amp;originatingDoc=Ib29db8ef9f2c11ebbea4f0dc9fb69570&amp;refType=RP&amp;originationContext=document&amp;vr=3.0&amp;rs=cblt1.0&amp;transitionType=DocumentItem&amp;contextData=(sc.KeyciteAlert)"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westlaw.com/Link/Document/FullText?findType=Y&amp;serNum=1984139077&amp;pubNum=0000595&amp;originatingDoc=Ib29db8ef9f2c11ebbea4f0dc9fb69570&amp;refType=RP&amp;originationContext=document&amp;vr=3.0&amp;rs=cblt1.0&amp;transitionType=DocumentItem&amp;contextData=(sc.KeyciteAlert)" TargetMode="External"/><Relationship Id="rId17" Type="http://schemas.openxmlformats.org/officeDocument/2006/relationships/hyperlink" Target="http://www.westlaw.com/Link/Document/FullText?findType=Y&amp;serNum=2038827833&amp;pubNum=0000595&amp;originatingDoc=Ib29db8ef9f2c11ebbea4f0dc9fb69570&amp;refType=RP&amp;fi=co_pp_sp_595_532&amp;originationContext=document&amp;vr=3.0&amp;rs=cblt1.0&amp;transitionType=DocumentItem&amp;contextData=(sc.KeyciteAlert)#co_pp_sp_595_532" TargetMode="External"/><Relationship Id="rId25" Type="http://schemas.openxmlformats.org/officeDocument/2006/relationships/hyperlink" Target="http://www.westlaw.com/Link/Document/FullText?findType=L&amp;pubNum=1000260&amp;cite=WIST971.23&amp;originatingDoc=Ib29db8ef9f2c11ebbea4f0dc9fb69570&amp;refType=LQ&amp;originationContext=document&amp;vr=3.0&amp;rs=cblt1.0&amp;transitionType=DocumentItem&amp;contextData=(sc.KeyciteAlert)" TargetMode="External"/><Relationship Id="rId33" Type="http://schemas.openxmlformats.org/officeDocument/2006/relationships/hyperlink" Target="http://www.westlaw.com/Link/Document/FullText?findType=L&amp;pubNum=1003066&amp;cite=NJSTREVNJRE702&amp;originatingDoc=Ib29db8ef9f2c11ebbea4f0dc9fb69570&amp;refType=LQ&amp;originationContext=document&amp;vr=3.0&amp;rs=cblt1.0&amp;transitionType=DocumentItem&amp;contextData=(sc.KeyciteAlert)" TargetMode="External"/><Relationship Id="rId38" Type="http://schemas.openxmlformats.org/officeDocument/2006/relationships/hyperlink" Target="http://www.westlaw.com/Link/Document/FullText?findType=L&amp;pubNum=1000260&amp;cite=WIST971.23&amp;originatingDoc=Ib29db8ef9f2c11ebbea4f0dc9fb69570&amp;refType=LQ&amp;originationContext=document&amp;vr=3.0&amp;rs=cblt1.0&amp;transitionType=DocumentItem&amp;contextData=(sc.KeyciteAlert)" TargetMode="External"/><Relationship Id="rId46" Type="http://schemas.openxmlformats.org/officeDocument/2006/relationships/hyperlink" Target="http://www.westlaw.com/Link/Document/FullText?findType=Y&amp;serNum=0504411603&amp;pubNum=0001566&amp;originatingDoc=Ib29db8ef9f2c11ebbea4f0dc9fb69570&amp;refType=LR&amp;originationContext=document&amp;vr=3.0&amp;rs=cblt1.0&amp;transitionType=DocumentItem&amp;contextData=(sc.KeyciteAlert)" TargetMode="External"/><Relationship Id="rId59" Type="http://schemas.openxmlformats.org/officeDocument/2006/relationships/hyperlink" Target="http://www.westlaw.com/Link/Document/FullText?findType=L&amp;pubNum=1000260&amp;cite=WIST907.02&amp;originatingDoc=Ib29db8ef9f2c11ebbea4f0dc9fb69570&amp;refType=LQ&amp;originationContext=document&amp;vr=3.0&amp;rs=cblt1.0&amp;transitionType=DocumentItem&amp;contextData=(sc.KeyciteAlert)" TargetMode="External"/><Relationship Id="rId67" Type="http://schemas.openxmlformats.org/officeDocument/2006/relationships/hyperlink" Target="http://www.westlaw.com/Link/Document/FullText?findType=Y&amp;serNum=2047487932&amp;pubNum=0000999&amp;originatingDoc=Ib29db8ef9f2c11ebbea4f0dc9fb69570&amp;refType=RP&amp;originationContext=document&amp;vr=3.0&amp;rs=cblt1.0&amp;transitionType=DocumentItem&amp;contextData=(sc.KeyciteAlert)" TargetMode="External"/><Relationship Id="rId20" Type="http://schemas.openxmlformats.org/officeDocument/2006/relationships/hyperlink" Target="http://www.westlaw.com/Link/Document/FullText?findType=Y&amp;serNum=2045154849&amp;pubNum=0007691&amp;originatingDoc=Ib29db8ef9f2c11ebbea4f0dc9fb69570&amp;refType=RP&amp;fi=co_pp_sp_7691_457&amp;originationContext=document&amp;vr=3.0&amp;rs=cblt1.0&amp;transitionType=DocumentItem&amp;contextData=(sc.KeyciteAlert)#co_pp_sp_7691_457" TargetMode="External"/><Relationship Id="rId41" Type="http://schemas.openxmlformats.org/officeDocument/2006/relationships/hyperlink" Target="http://www.westlaw.com/Link/Document/FullText?findType=Y&amp;serNum=0282121185&amp;pubNum=0003105&amp;originatingDoc=Ib29db8ef9f2c11ebbea4f0dc9fb69570&amp;refType=LR&amp;fi=co_pp_sp_3105_105&amp;originationContext=document&amp;vr=3.0&amp;rs=cblt1.0&amp;transitionType=DocumentItem&amp;contextData=(sc.KeyciteAlert)#co_pp_sp_3105_105" TargetMode="External"/><Relationship Id="rId54" Type="http://schemas.openxmlformats.org/officeDocument/2006/relationships/hyperlink" Target="http://www.westlaw.com/Link/Document/FullText?findType=L&amp;pubNum=1000260&amp;cite=WIST809.23&amp;originatingDoc=Ib29db8ef9f2c11ebbea4f0dc9fb69570&amp;refType=LQ&amp;originationContext=document&amp;vr=3.0&amp;rs=cblt1.0&amp;transitionType=DocumentItem&amp;contextData=(sc.KeyciteAlert)" TargetMode="External"/><Relationship Id="rId62" Type="http://schemas.openxmlformats.org/officeDocument/2006/relationships/hyperlink" Target="http://www.westlaw.com/Link/Document/FullText?findType=Y&amp;serNum=1984139077&amp;pubNum=0000595&amp;originatingDoc=Ib29db8ef9f2c11ebbea4f0dc9fb69570&amp;refType=RP&amp;fi=co_pp_sp_595_676&amp;originationContext=document&amp;vr=3.0&amp;rs=cblt1.0&amp;transitionType=DocumentItem&amp;contextData=(sc.KeyciteAlert)#co_pp_sp_595_676" TargetMode="External"/><Relationship Id="rId70" Type="http://schemas.openxmlformats.org/officeDocument/2006/relationships/hyperlink" Target="http://www.westlaw.com/Link/Document/FullText?findType=Y&amp;serNum=2051391562&amp;pubNum=0000595&amp;originatingDoc=Ib29db8ef9f2c11ebbea4f0dc9fb69570&amp;refType=RP&amp;fi=co_pp_sp_595_617&amp;originationContext=document&amp;vr=3.0&amp;rs=cblt1.0&amp;transitionType=DocumentItem&amp;contextData=(sc.KeyciteAlert)#co_pp_sp_595_61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11042</Words>
  <Characters>62942</Characters>
  <Application>Microsoft Office Word</Application>
  <DocSecurity>0</DocSecurity>
  <Lines>524</Lines>
  <Paragraphs>147</Paragraphs>
  <ScaleCrop>false</ScaleCrop>
  <Company/>
  <LinksUpToDate>false</LinksUpToDate>
  <CharactersWithSpaces>73837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Kepros, Laurie</dc:creator>
  <cp:keywords/>
  <dc:description/>
  <cp:lastModifiedBy>Jonathan Rosen</cp:lastModifiedBy>
  <cp:revision>2</cp:revision>
  <dcterms:created xsi:type="dcterms:W3CDTF">2021-04-22T21:46:00Z</dcterms:created>
  <dcterms:modified xsi:type="dcterms:W3CDTF">2021-04-22T21:46:00Z</dcterms:modified>
</cp:coreProperties>
</file>