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Link/Document/FullText?findType=h&amp;pubNum=176284&amp;cite=0179444801&amp;originatingDoc=Iec57e3906ca211f09f6e8eea23f4eb91&amp;refType=RQ&amp;originationContext=document&amp;vr=3.0&amp;rs=cblt1.0&amp;transitionType=DocumentItem&amp;contextData=(sc.Default)"/>
  <Relationship Id="r8"
    Type="http://schemas.openxmlformats.org/officeDocument/2006/relationships/hyperlink"
    TargetMode="External"
    Target="https://www.westlaw.com/Link/Document/FullText?findType=h&amp;pubNum=176284&amp;cite=0522832301&amp;originatingDoc=Iec57e3906ca211f09f6e8eea23f4eb91&amp;refType=RQ&amp;originationContext=document&amp;vr=3.0&amp;rs=cblt1.0&amp;transitionType=DocumentItem&amp;contextData=(sc.Default)"/>
  <Relationship Id="r9"
    Type="http://schemas.openxmlformats.org/officeDocument/2006/relationships/hyperlink"
    TargetMode="External"
    Target="https://www.westlaw.com/Link/Document/FullText?findType=h&amp;pubNum=176284&amp;cite=0192172301&amp;originatingDoc=Iec57e3906ca211f09f6e8eea23f4eb91&amp;refType=RQ&amp;originationContext=document&amp;vr=3.0&amp;rs=cblt1.0&amp;transitionType=DocumentItem&amp;contextData=(sc.Default)"/>
  <Relationship Id="r10"
    Type="http://schemas.openxmlformats.org/officeDocument/2006/relationships/hyperlink"
    TargetMode="External"
    Target="https://www.westlaw.com/Link/Document/FullText?findType=h&amp;pubNum=176284&amp;cite=0451052501&amp;originatingDoc=Iec57e3906ca211f09f6e8eea23f4eb91&amp;refType=RQ&amp;originationContext=document&amp;vr=3.0&amp;rs=cblt1.0&amp;transitionType=DocumentItem&amp;contextData=(sc.Default)"/>
  <Relationship Id="r11"
    Type="http://schemas.openxmlformats.org/officeDocument/2006/relationships/hyperlink"
    TargetMode="External"
    Target="https://www.westlaw.com/Link/Document/FullText?findType=h&amp;pubNum=176284&amp;cite=0312952701&amp;originatingDoc=Iec57e3906ca211f09f6e8eea23f4eb91&amp;refType=RQ&amp;originationContext=document&amp;vr=3.0&amp;rs=cblt1.0&amp;transitionType=DocumentItem&amp;contextData=(sc.Default)"/>
  <Relationship Id="r12"
    Type="http://schemas.openxmlformats.org/officeDocument/2006/relationships/hyperlink"
    TargetMode="External"
    Target="https://www.westlaw.com/Link/Document/FullText?findType=h&amp;pubNum=176284&amp;cite=0184466101&amp;originatingDoc=Iec57e3906ca211f09f6e8eea23f4eb91&amp;refType=RQ&amp;originationContext=document&amp;vr=3.0&amp;rs=cblt1.0&amp;transitionType=DocumentItem&amp;contextData=(sc.Default)"/>
  <Relationship Id="r13"
    Type="http://schemas.openxmlformats.org/officeDocument/2006/relationships/hyperlink"
    TargetMode="External"
    Target="https://www.westlaw.com/Link/Document/FullText?findType=h&amp;pubNum=176284&amp;cite=0362703401&amp;originatingDoc=Iec57e3906ca211f09f6e8eea23f4eb91&amp;refType=RQ&amp;originationContext=document&amp;vr=3.0&amp;rs=cblt1.0&amp;transitionType=DocumentItem&amp;contextData=(sc.Default)"/>
  <Relationship Id="r14"
    Type="http://schemas.openxmlformats.org/officeDocument/2006/relationships/hyperlink"
    TargetMode="External"
    Target="https://www.westlaw.com/Link/Document/FullText?findType=h&amp;pubNum=176284&amp;cite=0312952701&amp;originatingDoc=Iec57e3906ca211f09f6e8eea23f4eb91&amp;refType=RQ&amp;originationContext=document&amp;vr=3.0&amp;rs=cblt1.0&amp;transitionType=DocumentItem&amp;contextData=(sc.Default)"/>
  <Relationship Id="r15"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6"
    Type="http://schemas.openxmlformats.org/officeDocument/2006/relationships/hyperlink"
    TargetMode="External"
    Target="https://www.westlaw.com/Link/Document/FullText?findType=Y&amp;serNum=1988025715&amp;pubNum=0000780&amp;originatingDoc=Iec57e3906ca211f09f6e8eea23f4eb91&amp;refType=RP&amp;fi=co_pp_sp_780_63&amp;originationContext=document&amp;vr=3.0&amp;rs=cblt1.0&amp;transitionType=DocumentItem&amp;contextData=(sc.Default)#co_pp_sp_780_63"/>
  <Relationship Id="r17"
    Type="http://schemas.openxmlformats.org/officeDocument/2006/relationships/hyperlink"
    TargetMode="External"
    Target="https://www.westlaw.com/Link/Document/FullText?findType=Y&amp;serNum=2052821132&amp;pubNum=0000506&amp;originatingDoc=Iec57e3906ca211f09f6e8eea23f4eb91&amp;refType=RP&amp;fi=co_pp_sp_506_1264&amp;originationContext=document&amp;vr=3.0&amp;rs=cblt1.0&amp;transitionType=DocumentItem&amp;contextData=(sc.Default)#co_pp_sp_506_1264"/>
  <Relationship Id="r18"
    Type="http://schemas.openxmlformats.org/officeDocument/2006/relationships/hyperlink"
    TargetMode="External"
    Target="https://www.westlaw.com/Link/Document/FullText?findType=Y&amp;serNum=1995028078&amp;pubNum=0000506&amp;originatingDoc=Iec57e3906ca211f09f6e8eea23f4eb91&amp;refType=RP&amp;fi=co_pp_sp_506_625&amp;originationContext=document&amp;vr=3.0&amp;rs=cblt1.0&amp;transitionType=DocumentItem&amp;contextData=(sc.Default)#co_pp_sp_506_625"/>
  <Relationship Id="r19"
    Type="http://schemas.openxmlformats.org/officeDocument/2006/relationships/hyperlink"
    TargetMode="External"
    Target="https://www.westlaw.com/Link/Document/FullText?findType=Y&amp;serNum=1988051988&amp;pubNum=0000350&amp;originatingDoc=Iec57e3906ca211f09f6e8eea23f4eb91&amp;refType=RP&amp;fi=co_pp_sp_350_1429&amp;originationContext=document&amp;vr=3.0&amp;rs=cblt1.0&amp;transitionType=DocumentItem&amp;contextData=(sc.Default)#co_pp_sp_350_1429"/>
  <Relationship Id="r20"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21"
    Type="http://schemas.openxmlformats.org/officeDocument/2006/relationships/hyperlink"
    TargetMode="External"
    Target="https://www.westlaw.com/Link/Document/FullText?findType=Y&amp;serNum=2034770250&amp;pubNum=0000506&amp;originatingDoc=Iec57e3906ca211f09f6e8eea23f4eb91&amp;refType=RP&amp;fi=co_pp_sp_506_420&amp;originationContext=document&amp;vr=3.0&amp;rs=cblt1.0&amp;transitionType=DocumentItem&amp;contextData=(sc.Default)#co_pp_sp_506_420"/>
  <Relationship Id="r22"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23"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24"
    Type="http://schemas.openxmlformats.org/officeDocument/2006/relationships/hyperlink"
    TargetMode="External"
    Target="https://www.westlaw.com/Link/Document/FullText?findType=Y&amp;serNum=2034770250&amp;pubNum=0000506&amp;originatingDoc=Iec57e3906ca211f09f6e8eea23f4eb91&amp;refType=RP&amp;fi=co_pp_sp_506_441&amp;originationContext=document&amp;vr=3.0&amp;rs=cblt1.0&amp;transitionType=DocumentItem&amp;contextData=(sc.Default)#co_pp_sp_506_441"/>
  <Relationship Id="r25"
    Type="http://schemas.openxmlformats.org/officeDocument/2006/relationships/hyperlink"
    TargetMode="External"
    Target="https://www.westlaw.com/Link/Document/FullText?findType=Y&amp;serNum=2034770250&amp;pubNum=0000506&amp;originatingDoc=Iec57e3906ca211f09f6e8eea23f4eb91&amp;refType=RP&amp;fi=co_pp_sp_506_440&amp;originationContext=document&amp;vr=3.0&amp;rs=cblt1.0&amp;transitionType=DocumentItem&amp;contextData=(sc.Default)#co_pp_sp_506_440"/>
  <Relationship Id="r26"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27"
    Type="http://schemas.openxmlformats.org/officeDocument/2006/relationships/hyperlink"
    TargetMode="External"
    Target="https://www.westlaw.com/Link/Document/FullText?findType=Y&amp;serNum=2014935237&amp;pubNum=0000506&amp;originatingDoc=Iec57e3906ca211f09f6e8eea23f4eb91&amp;refType=RP&amp;fi=co_pp_sp_506_15&amp;originationContext=document&amp;vr=3.0&amp;rs=cblt1.0&amp;transitionType=DocumentItem&amp;contextData=(sc.Default)#co_pp_sp_506_15"/>
  <Relationship Id="r28"
    Type="http://schemas.openxmlformats.org/officeDocument/2006/relationships/hyperlink"
    TargetMode="External"
    Target="https://www.westlaw.com/Link/Document/FullText?findType=Y&amp;serNum=2029229935&amp;pubNum=0000506&amp;originatingDoc=Iec57e3906ca211f09f6e8eea23f4eb91&amp;refType=RP&amp;fi=co_pp_sp_506_1059&amp;originationContext=document&amp;vr=3.0&amp;rs=cblt1.0&amp;transitionType=DocumentItem&amp;contextData=(sc.Default)#co_pp_sp_506_1059"/>
  <Relationship Id="r29"
    Type="http://schemas.openxmlformats.org/officeDocument/2006/relationships/hyperlink"
    TargetMode="External"
    Target="https://www.westlaw.com/Link/Document/FullText?findType=Y&amp;serNum=2018599470&amp;pubNum=0000506&amp;originatingDoc=Iec57e3906ca211f09f6e8eea23f4eb91&amp;refType=RP&amp;fi=co_pp_sp_506_922&amp;originationContext=document&amp;vr=3.0&amp;rs=cblt1.0&amp;transitionType=DocumentItem&amp;contextData=(sc.Default)#co_pp_sp_506_922"/>
  <Relationship Id="r30"
    Type="http://schemas.openxmlformats.org/officeDocument/2006/relationships/hyperlink"
    TargetMode="External"
    Target="https://www.westlaw.com/Link/Document/FullText?findType=Y&amp;serNum=2003559857&amp;pubNum=0000506&amp;originatingDoc=Iec57e3906ca211f09f6e8eea23f4eb91&amp;refType=RP&amp;fi=co_pp_sp_506_420&amp;originationContext=document&amp;vr=3.0&amp;rs=cblt1.0&amp;transitionType=DocumentItem&amp;contextData=(sc.Default)#co_pp_sp_506_420"/>
  <Relationship Id="r31"
    Type="http://schemas.openxmlformats.org/officeDocument/2006/relationships/hyperlink"
    TargetMode="External"
    Target="https://www.westlaw.com/Link/Document/FullText?findType=Y&amp;serNum=2000387916&amp;pubNum=0000506&amp;originatingDoc=Iec57e3906ca211f09f6e8eea23f4eb91&amp;refType=RP&amp;fi=co_pp_sp_506_698&amp;originationContext=document&amp;vr=3.0&amp;rs=cblt1.0&amp;transitionType=DocumentItem&amp;contextData=(sc.Default)#co_pp_sp_506_698"/>
  <Relationship Id="r32"
    Type="http://schemas.openxmlformats.org/officeDocument/2006/relationships/hyperlink"
    TargetMode="External"
    Target="https://www.westlaw.com/Link/Document/FullText?findType=Y&amp;serNum=2000387916&amp;pubNum=0000506&amp;originatingDoc=Iec57e3906ca211f09f6e8eea23f4eb91&amp;refType=RP&amp;fi=co_pp_sp_506_695&amp;originationContext=document&amp;vr=3.0&amp;rs=cblt1.0&amp;transitionType=DocumentItem&amp;contextData=(sc.Default)#co_pp_sp_506_695"/>
  <Relationship Id="r33"
    Type="http://schemas.openxmlformats.org/officeDocument/2006/relationships/hyperlink"
    TargetMode="External"
    Target="https://www.westlaw.com/Link/Document/FullText?findType=Y&amp;serNum=2054426579&amp;pubNum=0008173&amp;originatingDoc=Iec57e3906ca211f09f6e8eea23f4eb91&amp;refType=RP&amp;fi=co_pp_sp_8173_20&amp;originationContext=document&amp;vr=3.0&amp;rs=cblt1.0&amp;transitionType=DocumentItem&amp;contextData=(sc.Default)#co_pp_sp_8173_20"/>
  <Relationship Id="r34"
    Type="http://schemas.openxmlformats.org/officeDocument/2006/relationships/hyperlink"
    TargetMode="External"
    Target="https://www.westlaw.com/Link/Document/FullText?findType=L&amp;pubNum=1001553&amp;cite=KSSTS21-5507&amp;originatingDoc=Iec57e3906ca211f09f6e8eea23f4eb91&amp;refType=LQ&amp;originationContext=document&amp;vr=3.0&amp;rs=cblt1.0&amp;transitionType=DocumentItem&amp;contextData=(sc.Default)"/>
  <Relationship Id="r35"
    Type="http://schemas.openxmlformats.org/officeDocument/2006/relationships/hyperlink"
    TargetMode="External"
    Target="https://www.westlaw.com/Link/Document/FullText?findType=Y&amp;serNum=2073898959&amp;pubNum=0008173&amp;originatingDoc=Iec57e3906ca211f09f6e8eea23f4eb91&amp;refType=RP&amp;fi=co_pp_sp_8173_496&amp;originationContext=document&amp;vr=3.0&amp;rs=cblt1.0&amp;transitionType=DocumentItem&amp;contextData=(sc.Default)#co_pp_sp_8173_496"/>
  <Relationship Id="r36"
    Type="http://schemas.openxmlformats.org/officeDocument/2006/relationships/hyperlink"
    TargetMode="External"
    Target="https://www.westlaw.com/Link/Document/FullText?findType=Y&amp;serNum=2050920316&amp;pubNum=0000780&amp;originatingDoc=Iec57e3906ca211f09f6e8eea23f4eb91&amp;refType=RP&amp;fi=co_pp_sp_780_375&amp;originationContext=document&amp;vr=3.0&amp;rs=cblt1.0&amp;transitionType=DocumentItem&amp;contextData=(sc.Default)#co_pp_sp_780_375"/>
  <Relationship Id="r37"
    Type="http://schemas.openxmlformats.org/officeDocument/2006/relationships/hyperlink"
    TargetMode="External"
    Target="https://www.westlaw.com/Link/Document/FullText?findType=Y&amp;serNum=2054175238&amp;pubNum=0008173&amp;originatingDoc=Iec57e3906ca211f09f6e8eea23f4eb91&amp;refType=RP&amp;fi=co_pp_sp_8173_1154&amp;originationContext=document&amp;vr=3.0&amp;rs=cblt1.0&amp;transitionType=DocumentItem&amp;contextData=(sc.Default)#co_pp_sp_8173_1154"/>
  <Relationship Id="r38"
    Type="http://schemas.openxmlformats.org/officeDocument/2006/relationships/hyperlink"
    TargetMode="External"
    Target="https://www.westlaw.com/Link/Document/FullText?findType=Y&amp;serNum=2051952336&amp;pubNum=0000506&amp;originatingDoc=Iec57e3906ca211f09f6e8eea23f4eb91&amp;refType=RP&amp;fi=co_pp_sp_506_1203&amp;originationContext=document&amp;vr=3.0&amp;rs=cblt1.0&amp;transitionType=DocumentItem&amp;contextData=(sc.Default)#co_pp_sp_506_1203"/>
  <Relationship Id="r39"
    Type="http://schemas.openxmlformats.org/officeDocument/2006/relationships/hyperlink"
    TargetMode="External"
    Target="https://www.westlaw.com/Link/Document/FullText?findType=Y&amp;serNum=1991093646&amp;pubNum=0000780&amp;originatingDoc=Iec57e3906ca211f09f6e8eea23f4eb91&amp;refType=RP&amp;fi=co_pp_sp_780_99&amp;originationContext=document&amp;vr=3.0&amp;rs=cblt1.0&amp;transitionType=DocumentItem&amp;contextData=(sc.Default)#co_pp_sp_780_99"/>
  <Relationship Id="r40"
    Type="http://schemas.openxmlformats.org/officeDocument/2006/relationships/hyperlink"
    TargetMode="External"
    Target="https://www.westlaw.com/Link/Document/FullText?findType=Y&amp;serNum=2005804721&amp;pubNum=0000506&amp;originatingDoc=Iec57e3906ca211f09f6e8eea23f4eb91&amp;refType=RP&amp;fi=co_pp_sp_506_1162&amp;originationContext=document&amp;vr=3.0&amp;rs=cblt1.0&amp;transitionType=DocumentItem&amp;contextData=(sc.Default)#co_pp_sp_506_1162"/>
  <Relationship Id="r41"
    Type="http://schemas.openxmlformats.org/officeDocument/2006/relationships/hyperlink"
    TargetMode="External"
    Target="https://www.westlaw.com/Link/Document/FullText?findType=Y&amp;serNum=1991093646&amp;pubNum=0000780&amp;originatingDoc=Iec57e3906ca211f09f6e8eea23f4eb91&amp;refType=RP&amp;fi=co_pp_sp_780_99&amp;originationContext=document&amp;vr=3.0&amp;rs=cblt1.0&amp;transitionType=DocumentItem&amp;contextData=(sc.Default)#co_pp_sp_780_99"/>
  <Relationship Id="r42"
    Type="http://schemas.openxmlformats.org/officeDocument/2006/relationships/hyperlink"
    TargetMode="External"
    Target="https://www.westlaw.com/Link/Document/FullText?findType=Y&amp;serNum=2080863709&amp;pubNum=0008173&amp;originatingDoc=Iec57e3906ca211f09f6e8eea23f4eb91&amp;refType=RP&amp;fi=co_pp_sp_8173_1222&amp;originationContext=document&amp;vr=3.0&amp;rs=cblt1.0&amp;transitionType=DocumentItem&amp;contextData=(sc.Default)#co_pp_sp_8173_1222"/>
  <Relationship Id="r43"
    Type="http://schemas.openxmlformats.org/officeDocument/2006/relationships/hyperlink"
    TargetMode="External"
    Target="https://www.westlaw.com/Link/Document/FullText?findType=Y&amp;serNum=2057233703&amp;pubNum=0000999&amp;originatingDoc=Iec57e3906ca211f09f6e8eea23f4eb91&amp;refType=RP&amp;originationContext=document&amp;vr=3.0&amp;rs=cblt1.0&amp;transitionType=DocumentItem&amp;contextData=(sc.Default)"/>
  <Relationship Id="r44"
    Type="http://schemas.openxmlformats.org/officeDocument/2006/relationships/hyperlink"
    TargetMode="External"
    Target="https://www.westlaw.com/Link/Document/FullText?findType=Y&amp;serNum=2012403281&amp;pubNum=0000506&amp;originatingDoc=Iec57e3906ca211f09f6e8eea23f4eb91&amp;refType=RP&amp;fi=co_pp_sp_506_1276&amp;originationContext=document&amp;vr=3.0&amp;rs=cblt1.0&amp;transitionType=DocumentItem&amp;contextData=(sc.Default)#co_pp_sp_506_1276"/>
  <Relationship Id="r45"
    Type="http://schemas.openxmlformats.org/officeDocument/2006/relationships/hyperlink"
    TargetMode="External"
    Target="https://www.westlaw.com/Link/Document/FullText?findType=Y&amp;serNum=2056729118&amp;pubNum=0008173&amp;originatingDoc=Iec57e3906ca211f09f6e8eea23f4eb91&amp;refType=RP&amp;fi=co_pp_sp_8173_1052&amp;originationContext=document&amp;vr=3.0&amp;rs=cblt1.0&amp;transitionType=DocumentItem&amp;contextData=(sc.Default)#co_pp_sp_8173_1052"/>
  <Relationship Id="r46"
    Type="http://schemas.openxmlformats.org/officeDocument/2006/relationships/hyperlink"
    TargetMode="External"
    Target="https://www.westlaw.com/Link/Document/FullText?findType=Y&amp;serNum=2075493924&amp;pubNum=0008173&amp;originatingDoc=Iec57e3906ca211f09f6e8eea23f4eb91&amp;refType=RP&amp;fi=co_pp_sp_8173_1094&amp;originationContext=document&amp;vr=3.0&amp;rs=cblt1.0&amp;transitionType=DocumentItem&amp;contextData=(sc.Default)#co_pp_sp_8173_1094"/>
  <Relationship Id="r47"
    Type="http://schemas.openxmlformats.org/officeDocument/2006/relationships/hyperlink"
    TargetMode="External"
    Target="https://www.westlaw.com/Link/Document/FullText?findType=Y&amp;serNum=2024772633&amp;pubNum=0000506&amp;originatingDoc=Iec57e3906ca211f09f6e8eea23f4eb91&amp;refType=RP&amp;fi=co_pp_sp_506_1130&amp;originationContext=document&amp;vr=3.0&amp;rs=cblt1.0&amp;transitionType=DocumentItem&amp;contextData=(sc.Default)#co_pp_sp_506_1130"/>
  <Relationship Id="r48"
    Type="http://schemas.openxmlformats.org/officeDocument/2006/relationships/hyperlink"
    TargetMode="External"
    Target="https://www.westlaw.com/Link/Document/FullText?findType=Y&amp;serNum=2005804721&amp;pubNum=0000506&amp;originatingDoc=Iec57e3906ca211f09f6e8eea23f4eb91&amp;refType=RP&amp;fi=co_pp_sp_506_1162&amp;originationContext=document&amp;vr=3.0&amp;rs=cblt1.0&amp;transitionType=DocumentItem&amp;contextData=(sc.Default)#co_pp_sp_506_1162"/>
  <Relationship Id="r49"
    Type="http://schemas.openxmlformats.org/officeDocument/2006/relationships/hyperlink"
    TargetMode="External"
    Target="https://www.westlaw.com/Link/Document/FullText?findType=Y&amp;serNum=2082931936&amp;pubNum=0008173&amp;originatingDoc=Iec57e3906ca211f09f6e8eea23f4eb91&amp;refType=RP&amp;fi=co_pp_sp_8173_816&amp;originationContext=document&amp;vr=3.0&amp;rs=cblt1.0&amp;transitionType=DocumentItem&amp;contextData=(sc.Default)#co_pp_sp_8173_816"/>
  <Relationship Id="r50"
    Type="http://schemas.openxmlformats.org/officeDocument/2006/relationships/hyperlink"
    TargetMode="External"
    Target="https://www.westlaw.com/Link/Document/FullText?findType=Y&amp;serNum=2040522133&amp;pubNum=0000506&amp;originatingDoc=Iec57e3906ca211f09f6e8eea23f4eb91&amp;refType=RP&amp;fi=co_pp_sp_506_886&amp;originationContext=document&amp;vr=3.0&amp;rs=cblt1.0&amp;transitionType=DocumentItem&amp;contextData=(sc.Default)#co_pp_sp_506_886"/>
  <Relationship Id="r51"
    Type="http://schemas.openxmlformats.org/officeDocument/2006/relationships/hyperlink"
    TargetMode="External"
    Target="https://www.westlaw.com/Link/Document/FullText?findType=Y&amp;serNum=2014387676&amp;pubNum=0000506&amp;originatingDoc=Iec57e3906ca211f09f6e8eea23f4eb91&amp;refType=RP&amp;fi=co_pp_sp_506_1238&amp;originationContext=document&amp;vr=3.0&amp;rs=cblt1.0&amp;transitionType=DocumentItem&amp;contextData=(sc.Default)#co_pp_sp_506_1238"/>
  <Relationship Id="r52"
    Type="http://schemas.openxmlformats.org/officeDocument/2006/relationships/hyperlink"
    TargetMode="External"
    Target="https://www.westlaw.com/Link/Document/FullText?findType=Y&amp;serNum=2053370433&amp;pubNum=0000506&amp;originatingDoc=Iec57e3906ca211f09f6e8eea23f4eb91&amp;refType=RP&amp;originationContext=document&amp;vr=3.0&amp;rs=cblt1.0&amp;transitionType=DocumentItem&amp;contextData=(sc.Default)"/>
  <Relationship Id="r53"
    Type="http://schemas.openxmlformats.org/officeDocument/2006/relationships/hyperlink"
    TargetMode="External"
    Target="https://www.westlaw.com/Link/Document/FullText?findType=Y&amp;serNum=2005900843&amp;pubNum=0000506&amp;originatingDoc=Iec57e3906ca211f09f6e8eea23f4eb91&amp;refType=RP&amp;originationContext=document&amp;vr=3.0&amp;rs=cblt1.0&amp;transitionType=DocumentItem&amp;contextData=(sc.Default)"/>
  <Relationship Id="r54"
    Type="http://schemas.openxmlformats.org/officeDocument/2006/relationships/hyperlink"
    TargetMode="External"
    Target="https://www.westlaw.com/Link/Document/FullText?findType=Y&amp;serNum=2053370433&amp;pubNum=0000506&amp;originatingDoc=Iec57e3906ca211f09f6e8eea23f4eb91&amp;refType=RP&amp;fi=co_pp_sp_506_845&amp;originationContext=document&amp;vr=3.0&amp;rs=cblt1.0&amp;transitionType=DocumentItem&amp;contextData=(sc.Default)#co_pp_sp_506_845"/>
  <Relationship Id="r55"
    Type="http://schemas.openxmlformats.org/officeDocument/2006/relationships/hyperlink"
    TargetMode="External"
    Target="https://www.westlaw.com/Link/Document/FullText?findType=Y&amp;serNum=2053370433&amp;pubNum=0000506&amp;originatingDoc=Iec57e3906ca211f09f6e8eea23f4eb91&amp;refType=RP&amp;fi=co_pp_sp_506_847&amp;originationContext=document&amp;vr=3.0&amp;rs=cblt1.0&amp;transitionType=DocumentItem&amp;contextData=(sc.Default)#co_pp_sp_506_847"/>
  <Relationship Id="r56"
    Type="http://schemas.openxmlformats.org/officeDocument/2006/relationships/hyperlink"
    TargetMode="External"
    Target="https://www.westlaw.com/Link/Document/FullText?findType=Y&amp;serNum=2005900843&amp;pubNum=0000506&amp;originatingDoc=Iec57e3906ca211f09f6e8eea23f4eb91&amp;refType=RP&amp;fi=co_pp_sp_506_868&amp;originationContext=document&amp;vr=3.0&amp;rs=cblt1.0&amp;transitionType=DocumentItem&amp;contextData=(sc.Default)#co_pp_sp_506_868"/>
  <Relationship Id="r57"
    Type="http://schemas.openxmlformats.org/officeDocument/2006/relationships/hyperlink"
    TargetMode="External"
    Target="https://www.westlaw.com/Link/Document/FullText?findType=Y&amp;serNum=2005900843&amp;pubNum=0000506&amp;originatingDoc=Iec57e3906ca211f09f6e8eea23f4eb91&amp;refType=RP&amp;fi=co_pp_sp_506_871&amp;originationContext=document&amp;vr=3.0&amp;rs=cblt1.0&amp;transitionType=DocumentItem&amp;contextData=(sc.Default)#co_pp_sp_506_871"/>
  <Relationship Id="r58"
    Type="http://schemas.openxmlformats.org/officeDocument/2006/relationships/hyperlink"
    TargetMode="External"
    Target="https://www.westlaw.com/Link/Document/FullText?findType=Y&amp;serNum=1996156634&amp;pubNum=0000506&amp;originatingDoc=Iec57e3906ca211f09f6e8eea23f4eb91&amp;refType=RP&amp;fi=co_pp_sp_506_1249&amp;originationContext=document&amp;vr=3.0&amp;rs=cblt1.0&amp;transitionType=DocumentItem&amp;contextData=(sc.Default)#co_pp_sp_506_1249"/>
  <Relationship Id="r59"
    Type="http://schemas.openxmlformats.org/officeDocument/2006/relationships/hyperlink"
    TargetMode="External"
    Target="https://www.westlaw.com/Link/Document/FullText?findType=Y&amp;serNum=1999067314&amp;pubNum=0000780&amp;originatingDoc=Iec57e3906ca211f09f6e8eea23f4eb91&amp;refType=RP&amp;fi=co_pp_sp_780_24&amp;originationContext=document&amp;vr=3.0&amp;rs=cblt1.0&amp;transitionType=DocumentItem&amp;contextData=(sc.Default)#co_pp_sp_780_24"/>
  <Relationship Id="r60"
    Type="http://schemas.openxmlformats.org/officeDocument/2006/relationships/hyperlink"
    TargetMode="External"
    Target="https://www.westlaw.com/Link/Document/FullText?findType=Y&amp;serNum=2017411699&amp;pubNum=0000506&amp;originatingDoc=Iec57e3906ca211f09f6e8eea23f4eb91&amp;refType=RP&amp;fi=co_pp_sp_506_1197&amp;originationContext=document&amp;vr=3.0&amp;rs=cblt1.0&amp;transitionType=DocumentItem&amp;contextData=(sc.Default)#co_pp_sp_506_1197"/>
  <Relationship Id="r61"
    Type="http://schemas.openxmlformats.org/officeDocument/2006/relationships/hyperlink"
    TargetMode="External"
    Target="https://www.westlaw.com/Link/Document/FullText?findType=Y&amp;serNum=2033578347&amp;pubNum=0000506&amp;originatingDoc=Iec57e3906ca211f09f6e8eea23f4eb91&amp;refType=RP&amp;fi=co_pp_sp_506_459&amp;originationContext=document&amp;vr=3.0&amp;rs=cblt1.0&amp;transitionType=DocumentItem&amp;contextData=(sc.Default)#co_pp_sp_506_459"/>
  <Relationship Id="r62"
    Type="http://schemas.openxmlformats.org/officeDocument/2006/relationships/hyperlink"
    TargetMode="External"
    Target="https://www.westlaw.com/Link/Document/FullText?findType=Y&amp;serNum=2051952336&amp;pubNum=0000506&amp;originatingDoc=Iec57e3906ca211f09f6e8eea23f4eb91&amp;refType=RP&amp;originationContext=document&amp;vr=3.0&amp;rs=cblt1.0&amp;transitionType=DocumentItem&amp;contextData=(sc.Default)"/>
  <Relationship Id="r63"
    Type="http://schemas.openxmlformats.org/officeDocument/2006/relationships/hyperlink"
    TargetMode="External"
    Target="https://www.westlaw.com/Link/Document/FullText?findType=Y&amp;serNum=2051952336&amp;pubNum=0000506&amp;originatingDoc=Iec57e3906ca211f09f6e8eea23f4eb91&amp;refType=RP&amp;fi=co_pp_sp_506_1203&amp;originationContext=document&amp;vr=3.0&amp;rs=cblt1.0&amp;transitionType=DocumentItem&amp;contextData=(sc.Default)#co_pp_sp_506_1203"/>
  <Relationship Id="r64"
    Type="http://schemas.openxmlformats.org/officeDocument/2006/relationships/hyperlink"
    TargetMode="External"
    Target="https://www.westlaw.com/Link/Document/FullText?findType=Y&amp;serNum=2054175238&amp;pubNum=0008173&amp;originatingDoc=Iec57e3906ca211f09f6e8eea23f4eb91&amp;refType=RP&amp;fi=co_pp_sp_8173_1154&amp;originationContext=document&amp;vr=3.0&amp;rs=cblt1.0&amp;transitionType=DocumentItem&amp;contextData=(sc.Default)#co_pp_sp_8173_1154"/>
  <Relationship Id="r65"
    Type="http://schemas.openxmlformats.org/officeDocument/2006/relationships/hyperlink"
    TargetMode="External"
    Target="https://www.westlaw.com/Link/Document/FullText?findType=Y&amp;serNum=2073898959&amp;pubNum=0008173&amp;originatingDoc=Iec57e3906ca211f09f6e8eea23f4eb91&amp;refType=RP&amp;fi=co_pp_sp_8173_496&amp;originationContext=document&amp;vr=3.0&amp;rs=cblt1.0&amp;transitionType=DocumentItem&amp;contextData=(sc.Default)#co_pp_sp_8173_496"/>
  <Relationship Id="r66"
    Type="http://schemas.openxmlformats.org/officeDocument/2006/relationships/hyperlink"
    TargetMode="External"
    Target="https://www.westlaw.com/Link/Document/FullText?findType=Y&amp;serNum=2008928617&amp;pubNum=0000506&amp;originatingDoc=Iec57e3906ca211f09f6e8eea23f4eb91&amp;refType=RP&amp;fi=co_pp_sp_506_1306&amp;originationContext=document&amp;vr=3.0&amp;rs=cblt1.0&amp;transitionType=DocumentItem&amp;contextData=(sc.Default)#co_pp_sp_506_1306"/>
  <Relationship Id="r67"
    Type="http://schemas.openxmlformats.org/officeDocument/2006/relationships/hyperlink"
    TargetMode="External"
    Target="https://www.westlaw.com/Link/Document/FullText?findType=Y&amp;serNum=1998035418&amp;pubNum=0000506&amp;originatingDoc=Iec57e3906ca211f09f6e8eea23f4eb91&amp;refType=RP&amp;fi=co_pp_sp_506_1331&amp;originationContext=document&amp;vr=3.0&amp;rs=cblt1.0&amp;transitionType=DocumentItem&amp;contextData=(sc.Default)#co_pp_sp_506_1331"/>
  <Relationship Id="r68"
    Type="http://schemas.openxmlformats.org/officeDocument/2006/relationships/hyperlink"
    TargetMode="External"
    Target="https://www.westlaw.com/Link/Document/FullText?findType=Y&amp;serNum=2072483398&amp;pubNum=0008173&amp;originatingDoc=Iec57e3906ca211f09f6e8eea23f4eb91&amp;refType=RP&amp;fi=co_pp_sp_8173_1318&amp;originationContext=document&amp;vr=3.0&amp;rs=cblt1.0&amp;transitionType=DocumentItem&amp;contextData=(sc.Default)#co_pp_sp_8173_1318"/>
  <Relationship Id="r69"
    Type="http://schemas.openxmlformats.org/officeDocument/2006/relationships/hyperlink"
    TargetMode="External"
    Target="https://www.westlaw.com/Link/Document/FullText?findType=Y&amp;serNum=2011969075&amp;pubNum=0000506&amp;originatingDoc=Iec57e3906ca211f09f6e8eea23f4eb91&amp;refType=RP&amp;fi=co_pp_sp_506_705&amp;originationContext=document&amp;vr=3.0&amp;rs=cblt1.0&amp;transitionType=DocumentItem&amp;contextData=(sc.Default)#co_pp_sp_506_705"/>
  <Relationship Id="r70"
    Type="http://schemas.openxmlformats.org/officeDocument/2006/relationships/hyperlink"
    TargetMode="External"
    Target="https://www.westlaw.com/Link/Document/FullText?findType=Y&amp;serNum=1999137124&amp;pubNum=0000780&amp;originatingDoc=Iec57e3906ca211f09f6e8eea23f4eb91&amp;refType=RP&amp;fi=co_pp_sp_780_17&amp;originationContext=document&amp;vr=3.0&amp;rs=cblt1.0&amp;transitionType=DocumentItem&amp;contextData=(sc.Default)#co_pp_sp_780_17"/>
  <Relationship Id="r71"
    Type="http://schemas.openxmlformats.org/officeDocument/2006/relationships/hyperlink"
    TargetMode="External"
    Target="https://www.westlaw.com/Link/Document/FullText?findType=Y&amp;serNum=2072483398&amp;pubNum=0008173&amp;originatingDoc=Iec57e3906ca211f09f6e8eea23f4eb91&amp;refType=RP&amp;fi=co_pp_sp_8173_1319&amp;originationContext=document&amp;vr=3.0&amp;rs=cblt1.0&amp;transitionType=DocumentItem&amp;contextData=(sc.Default)#co_pp_sp_8173_1319"/>
  <Relationship Id="r72"
    Type="http://schemas.openxmlformats.org/officeDocument/2006/relationships/hyperlink"
    TargetMode="External"
    Target="https://www.westlaw.com/Link/Document/FullText?findType=Y&amp;serNum=2035269728&amp;pubNum=0000506&amp;originatingDoc=Iec57e3906ca211f09f6e8eea23f4eb91&amp;refType=RP&amp;fi=co_pp_sp_506_741&amp;originationContext=document&amp;vr=3.0&amp;rs=cblt1.0&amp;transitionType=DocumentItem&amp;contextData=(sc.Default)#co_pp_sp_506_741"/>
  <Relationship Id="r73"
    Type="http://schemas.openxmlformats.org/officeDocument/2006/relationships/hyperlink"
    TargetMode="External"
    Target="https://www.westlaw.com/Link/Document/FullText?findType=Y&amp;serNum=2079852313&amp;pubNum=0008173&amp;originatingDoc=Iec57e3906ca211f09f6e8eea23f4eb91&amp;refType=RP&amp;fi=co_pp_sp_8173_1195&amp;originationContext=document&amp;vr=3.0&amp;rs=cblt1.0&amp;transitionType=DocumentItem&amp;contextData=(sc.Default)#co_pp_sp_8173_1195"/>
  <Relationship Id="r74"
    Type="http://schemas.openxmlformats.org/officeDocument/2006/relationships/hyperlink"
    TargetMode="External"
    Target="https://www.westlaw.com/Link/Document/FullText?findType=Y&amp;serNum=1979135171&amp;pubNum=0000780&amp;originatingDoc=Iec57e3906ca211f09f6e8eea23f4eb91&amp;refType=RP&amp;fi=co_pp_sp_780_319&amp;originationContext=document&amp;vr=3.0&amp;rs=cblt1.0&amp;transitionType=DocumentItem&amp;contextData=(sc.Default)#co_pp_sp_780_319"/>
  <Relationship Id="r75"
    Type="http://schemas.openxmlformats.org/officeDocument/2006/relationships/hyperlink"
    TargetMode="External"
    Target="https://www.westlaw.com/Link/Document/FullText?findType=Y&amp;serNum=2001194260&amp;pubNum=0000506&amp;originatingDoc=Iec57e3906ca211f09f6e8eea23f4eb91&amp;refType=RP&amp;fi=co_pp_sp_506_1312&amp;originationContext=document&amp;vr=3.0&amp;rs=cblt1.0&amp;transitionType=DocumentItem&amp;contextData=(sc.Default)#co_pp_sp_506_1312"/>
  <Relationship Id="r76"
    Type="http://schemas.openxmlformats.org/officeDocument/2006/relationships/hyperlink"
    TargetMode="External"
    Target="https://www.westlaw.com/Link/Document/FullText?findType=Y&amp;serNum=2001194260&amp;pubNum=0000506&amp;originatingDoc=Iec57e3906ca211f09f6e8eea23f4eb91&amp;refType=RP&amp;fi=co_pp_sp_506_1312&amp;originationContext=document&amp;vr=3.0&amp;rs=cblt1.0&amp;transitionType=DocumentItem&amp;contextData=(sc.Default)#co_pp_sp_506_1312"/>
  <Relationship Id="r77"
    Type="http://schemas.openxmlformats.org/officeDocument/2006/relationships/hyperlink"
    TargetMode="External"
    Target="https://www.westlaw.com/Link/Document/FullText?findType=Y&amp;serNum=1995024032&amp;pubNum=0000506&amp;originatingDoc=Iec57e3906ca211f09f6e8eea23f4eb91&amp;refType=RP&amp;fi=co_pp_sp_506_865&amp;originationContext=document&amp;vr=3.0&amp;rs=cblt1.0&amp;transitionType=DocumentItem&amp;contextData=(sc.Default)#co_pp_sp_506_865"/>
  <Relationship Id="r78"
    Type="http://schemas.openxmlformats.org/officeDocument/2006/relationships/hyperlink"
    TargetMode="External"
    Target="https://www.westlaw.com/Link/Document/FullText?findType=Y&amp;serNum=1999182096&amp;pubNum=0000506&amp;originatingDoc=Iec57e3906ca211f09f6e8eea23f4eb91&amp;refType=RP&amp;fi=co_pp_sp_506_1140&amp;originationContext=document&amp;vr=3.0&amp;rs=cblt1.0&amp;transitionType=DocumentItem&amp;contextData=(sc.Default)#co_pp_sp_506_1140"/>
  <Relationship Id="r79"
    Type="http://schemas.openxmlformats.org/officeDocument/2006/relationships/hyperlink"
    TargetMode="External"
    Target="https://www.westlaw.com/Link/Document/FullText?findType=h&amp;pubNum=176284&amp;cite=0362703401&amp;originatingDoc=Iec57e3906ca211f09f6e8eea23f4eb91&amp;refType=RQ&amp;originationContext=document&amp;vr=3.0&amp;rs=cblt1.0&amp;transitionType=DocumentItem&amp;contextData=(sc.Default)"/>
  <Relationship Id="r80"
    Type="http://schemas.openxmlformats.org/officeDocument/2006/relationships/hyperlink"
    TargetMode="External"
    Target="https://www.westlaw.com/Link/Document/FullText?findType=Y&amp;serNum=2005900843&amp;pubNum=0000506&amp;originatingDoc=Iec57e3906ca211f09f6e8eea23f4eb91&amp;refType=RP&amp;fi=co_pp_sp_506_871&amp;originationContext=document&amp;vr=3.0&amp;rs=cblt1.0&amp;transitionType=DocumentItem&amp;contextData=(sc.Default)#co_pp_sp_506_871"/>
  <Relationship Id="r81"
    Type="http://schemas.openxmlformats.org/officeDocument/2006/relationships/hyperlink"
    TargetMode="External"
    Target="https://www.westlaw.com/Link/Document/FullText?findType=Y&amp;serNum=1988025715&amp;pubNum=0000780&amp;originatingDoc=Iec57e3906ca211f09f6e8eea23f4eb91&amp;refType=RP&amp;fi=co_pp_sp_780_62&amp;originationContext=document&amp;vr=3.0&amp;rs=cblt1.0&amp;transitionType=DocumentItem&amp;contextData=(sc.Default)#co_pp_sp_780_62"/>
  <Relationship Id="r82"
    Type="http://schemas.openxmlformats.org/officeDocument/2006/relationships/hyperlink"
    TargetMode="External"
    Target="https://www.westlaw.com/Link/Document/FullText?findType=Y&amp;serNum=1992027089&amp;pubNum=0000350&amp;originatingDoc=Iec57e3906ca211f09f6e8eea23f4eb91&amp;refType=RP&amp;fi=co_pp_sp_350_616&amp;originationContext=document&amp;vr=3.0&amp;rs=cblt1.0&amp;transitionType=DocumentItem&amp;contextData=(sc.Default)#co_pp_sp_350_616"/>
  <Relationship Id="r83"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84"
    Type="http://schemas.openxmlformats.org/officeDocument/2006/relationships/hyperlink"
    TargetMode="External"
    Target="https://www.westlaw.com/Link/Document/FullText?findType=Y&amp;serNum=1984154719&amp;pubNum=0000350&amp;originatingDoc=Iec57e3906ca211f09f6e8eea23f4eb91&amp;refType=RP&amp;fi=co_pp_sp_350_697&amp;originationContext=document&amp;vr=3.0&amp;rs=cblt1.0&amp;transitionType=DocumentItem&amp;contextData=(sc.Default)#co_pp_sp_350_697"/>
  <Relationship Id="r85"
    Type="http://schemas.openxmlformats.org/officeDocument/2006/relationships/hyperlink"
    TargetMode="External"
    Target="https://www.westlaw.com/Link/Document/FullText?findType=Y&amp;serNum=1932123856&amp;pubNum=0000780&amp;originatingDoc=Iec57e3906ca211f09f6e8eea23f4eb91&amp;refType=RP&amp;fi=co_pp_sp_780_452&amp;originationContext=document&amp;vr=3.0&amp;rs=cblt1.0&amp;transitionType=DocumentItem&amp;contextData=(sc.Default)#co_pp_sp_780_452"/>
  <Relationship Id="r86"
    Type="http://schemas.openxmlformats.org/officeDocument/2006/relationships/hyperlink"
    TargetMode="External"
    Target="https://www.westlaw.com/Link/Document/FullText?findType=Y&amp;serNum=2053370433&amp;pubNum=0000506&amp;originatingDoc=Iec57e3906ca211f09f6e8eea23f4eb91&amp;refType=RP&amp;originationContext=document&amp;vr=3.0&amp;rs=cblt1.0&amp;transitionType=DocumentItem&amp;contextData=(sc.Default)"/>
  <Relationship Id="r87"
    Type="http://schemas.openxmlformats.org/officeDocument/2006/relationships/hyperlink"
    TargetMode="External"
    Target="https://www.westlaw.com/Link/Document/FullText?findType=L&amp;pubNum=1000546&amp;cite=18USCAS1591&amp;originatingDoc=Iec57e3906ca211f09f6e8eea23f4eb91&amp;refType=RB&amp;originationContext=document&amp;vr=3.0&amp;rs=cblt1.0&amp;transitionType=DocumentItem&amp;contextData=(sc.Default)#co_pp_8b3b0000958a4"/>
  <Relationship Id="r88"
    Type="http://schemas.openxmlformats.org/officeDocument/2006/relationships/hyperlink"
    TargetMode="External"
    Target="https://www.westlaw.com/Link/Document/FullText?findType=Y&amp;serNum=2053370433&amp;pubNum=0000506&amp;originatingDoc=Iec57e3906ca211f09f6e8eea23f4eb91&amp;refType=RP&amp;fi=co_pp_sp_506_843&amp;originationContext=document&amp;vr=3.0&amp;rs=cblt1.0&amp;transitionType=DocumentItem&amp;contextData=(sc.Default)#co_pp_sp_506_843"/>
  <Relationship Id="r89"
    Type="http://schemas.openxmlformats.org/officeDocument/2006/relationships/hyperlink"
    TargetMode="External"
    Target="https://www.westlaw.com/Link/Document/FullText?findType=Y&amp;serNum=2053370433&amp;pubNum=0000506&amp;originatingDoc=Iec57e3906ca211f09f6e8eea23f4eb91&amp;refType=RP&amp;fi=co_pp_sp_506_847&amp;originationContext=document&amp;vr=3.0&amp;rs=cblt1.0&amp;transitionType=DocumentItem&amp;contextData=(sc.Default)#co_pp_sp_506_847"/>
  <Relationship Id="r90"
    Type="http://schemas.openxmlformats.org/officeDocument/2006/relationships/hyperlink"
    TargetMode="External"
    Target="https://www.westlaw.com/Link/Document/FullText?findType=Y&amp;serNum=2005900843&amp;pubNum=0000506&amp;originatingDoc=Iec57e3906ca211f09f6e8eea23f4eb91&amp;refType=RP&amp;originationContext=document&amp;vr=3.0&amp;rs=cblt1.0&amp;transitionType=DocumentItem&amp;contextData=(sc.Default)"/>
  <Relationship Id="r91"
    Type="http://schemas.openxmlformats.org/officeDocument/2006/relationships/hyperlink"
    TargetMode="External"
    Target="https://www.westlaw.com/Link/Document/FullText?findType=Y&amp;serNum=2005900843&amp;pubNum=0000506&amp;originatingDoc=Iec57e3906ca211f09f6e8eea23f4eb91&amp;refType=RP&amp;fi=co_pp_sp_506_871&amp;originationContext=document&amp;vr=3.0&amp;rs=cblt1.0&amp;transitionType=DocumentItem&amp;contextData=(sc.Default)#co_pp_sp_506_871"/>
  <Relationship Id="r92"
    Type="http://schemas.openxmlformats.org/officeDocument/2006/relationships/hyperlink"
    TargetMode="External"
    Target="https://www.westlaw.com/Link/Document/FullText?findType=Y&amp;serNum=2005900843&amp;pubNum=0000506&amp;originatingDoc=Iec57e3906ca211f09f6e8eea23f4eb91&amp;refType=RP&amp;fi=co_pp_sp_506_872&amp;originationContext=document&amp;vr=3.0&amp;rs=cblt1.0&amp;transitionType=DocumentItem&amp;contextData=(sc.Default)#co_pp_sp_506_872"/>
  <Relationship Id="r93"
    Type="http://schemas.openxmlformats.org/officeDocument/2006/relationships/hyperlink"
    TargetMode="External"
    Target="https://www.westlaw.com/Link/Document/FullText?findType=Y&amp;serNum=2005900843&amp;pubNum=0000506&amp;originatingDoc=Iec57e3906ca211f09f6e8eea23f4eb91&amp;refType=RP&amp;fi=co_pp_sp_506_872&amp;originationContext=document&amp;vr=3.0&amp;rs=cblt1.0&amp;transitionType=DocumentItem&amp;contextData=(sc.Default)#co_pp_sp_506_872"/>
  <Relationship Id="r94"
    Type="http://schemas.openxmlformats.org/officeDocument/2006/relationships/hyperlink"
    TargetMode="External"
    Target="https://www.westlaw.com/Link/Document/FullText?findType=Y&amp;serNum=2053370433&amp;pubNum=0000506&amp;originatingDoc=Iec57e3906ca211f09f6e8eea23f4eb91&amp;refType=RP&amp;fi=co_pp_sp_506_847&amp;originationContext=document&amp;vr=3.0&amp;rs=cblt1.0&amp;transitionType=DocumentItem&amp;contextData=(sc.Default)#co_pp_sp_506_847"/>
  <Relationship Id="r95"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96"
    Type="http://schemas.openxmlformats.org/officeDocument/2006/relationships/hyperlink"
    TargetMode="External"
    Target="https://www.westlaw.com/Link/Document/FullText?findType=Y&amp;serNum=2016362185&amp;pubNum=0000780&amp;originatingDoc=Iec57e3906ca211f09f6e8eea23f4eb91&amp;refType=RP&amp;fi=co_pp_sp_780_244&amp;originationContext=document&amp;vr=3.0&amp;rs=cblt1.0&amp;transitionType=DocumentItem&amp;contextData=(sc.Default)#co_pp_sp_780_244"/>
  <Relationship Id="r97"
    Type="http://schemas.openxmlformats.org/officeDocument/2006/relationships/hyperlink"
    TargetMode="External"
    Target="https://www.westlaw.com/Link/Document/FullText?findType=Y&amp;serNum=1991093646&amp;pubNum=0000780&amp;originatingDoc=Iec57e3906ca211f09f6e8eea23f4eb91&amp;refType=RP&amp;fi=co_pp_sp_780_99&amp;originationContext=document&amp;vr=3.0&amp;rs=cblt1.0&amp;transitionType=DocumentItem&amp;contextData=(sc.Default)#co_pp_sp_780_99"/>
  <Relationship Id="r98"
    Type="http://schemas.openxmlformats.org/officeDocument/2006/relationships/hyperlink"
    TargetMode="External"
    Target="https://www.westlaw.com/Link/Document/FullText?findType=Y&amp;serNum=2082556399&amp;pubNum=0008173&amp;originatingDoc=Iec57e3906ca211f09f6e8eea23f4eb91&amp;refType=RP&amp;fi=co_pp_sp_8173_1129&amp;originationContext=document&amp;vr=3.0&amp;rs=cblt1.0&amp;transitionType=DocumentItem&amp;contextData=(sc.Default)#co_pp_sp_8173_1129"/>
  <Relationship Id="r99"
    Type="http://schemas.openxmlformats.org/officeDocument/2006/relationships/hyperlink"
    TargetMode="External"
    Target="https://www.westlaw.com/Link/Document/FullText?findType=Y&amp;serNum=2056729118&amp;pubNum=0008173&amp;originatingDoc=Iec57e3906ca211f09f6e8eea23f4eb91&amp;refType=RP&amp;fi=co_pp_sp_8173_1052&amp;originationContext=document&amp;vr=3.0&amp;rs=cblt1.0&amp;transitionType=DocumentItem&amp;contextData=(sc.Default)#co_pp_sp_8173_1052"/>
  <Relationship Id="r100"
    Type="http://schemas.openxmlformats.org/officeDocument/2006/relationships/hyperlink"
    TargetMode="External"
    Target="https://www.westlaw.com/Link/Document/FullText?findType=Y&amp;serNum=2082955584&amp;pubNum=0008173&amp;originatingDoc=Iec57e3906ca211f09f6e8eea23f4eb91&amp;refType=RP&amp;fi=co_pp_sp_8173_1327&amp;originationContext=document&amp;vr=3.0&amp;rs=cblt1.0&amp;transitionType=DocumentItem&amp;contextData=(sc.Default)#co_pp_sp_8173_1327"/>
  <Relationship Id="r101"
    Type="http://schemas.openxmlformats.org/officeDocument/2006/relationships/hyperlink"
    TargetMode="External"
    Target="https://www.westlaw.com/Link/Document/FullText?findType=Y&amp;serNum=2056729118&amp;pubNum=0008173&amp;originatingDoc=Iec57e3906ca211f09f6e8eea23f4eb91&amp;refType=RP&amp;fi=co_pp_sp_8173_1052&amp;originationContext=document&amp;vr=3.0&amp;rs=cblt1.0&amp;transitionType=DocumentItem&amp;contextData=(sc.Default)#co_pp_sp_8173_1052"/>
  <Relationship Id="r102"
    Type="http://schemas.openxmlformats.org/officeDocument/2006/relationships/hyperlink"
    TargetMode="External"
    Target="https://www.westlaw.com/Link/Document/FullText?findType=Y&amp;serNum=2024772633&amp;pubNum=0000506&amp;originatingDoc=Iec57e3906ca211f09f6e8eea23f4eb91&amp;refType=RP&amp;fi=co_pp_sp_506_1130&amp;originationContext=document&amp;vr=3.0&amp;rs=cblt1.0&amp;transitionType=DocumentItem&amp;contextData=(sc.Default)#co_pp_sp_506_1130"/>
  <Relationship Id="r103"
    Type="http://schemas.openxmlformats.org/officeDocument/2006/relationships/hyperlink"
    TargetMode="External"
    Target="https://www.westlaw.com/Link/Document/FullText?findType=Y&amp;serNum=1995225251&amp;pubNum=0000506&amp;originatingDoc=Iec57e3906ca211f09f6e8eea23f4eb91&amp;refType=RP&amp;fi=co_pp_sp_506_1093&amp;originationContext=document&amp;vr=3.0&amp;rs=cblt1.0&amp;transitionType=DocumentItem&amp;contextData=(sc.Default)#co_pp_sp_506_1093"/>
  <Relationship Id="r104"
    Type="http://schemas.openxmlformats.org/officeDocument/2006/relationships/hyperlink"
    TargetMode="External"
    Target="https://www.westlaw.com/Link/Document/FullText?findType=Y&amp;serNum=2077698223&amp;pubNum=0008173&amp;originatingDoc=Iec57e3906ca211f09f6e8eea23f4eb91&amp;refType=RP&amp;fi=co_pp_sp_8173_604&amp;originationContext=document&amp;vr=3.0&amp;rs=cblt1.0&amp;transitionType=DocumentItem&amp;contextData=(sc.Default)#co_pp_sp_8173_604"/>
  <Relationship Id="r105"
    Type="http://schemas.openxmlformats.org/officeDocument/2006/relationships/hyperlink"
    TargetMode="External"
    Target="https://www.westlaw.com/Link/Document/FullText?findType=Y&amp;serNum=2022614644&amp;pubNum=0000506&amp;originatingDoc=Iec57e3906ca211f09f6e8eea23f4eb91&amp;refType=RP&amp;fi=co_pp_sp_506_1249&amp;originationContext=document&amp;vr=3.0&amp;rs=cblt1.0&amp;transitionType=DocumentItem&amp;contextData=(sc.Default)#co_pp_sp_506_1249"/>
  <Relationship Id="r106"
    Type="http://schemas.openxmlformats.org/officeDocument/2006/relationships/hyperlink"
    TargetMode="External"
    Target="https://www.westlaw.com/Link/Document/FullText?findType=Y&amp;serNum=1958104158&amp;pubNum=0000780&amp;originatingDoc=Iec57e3906ca211f09f6e8eea23f4eb91&amp;refType=RP&amp;fi=co_pp_sp_780_372&amp;originationContext=document&amp;vr=3.0&amp;rs=cblt1.0&amp;transitionType=DocumentItem&amp;contextData=(sc.Default)#co_pp_sp_780_372"/>
  <Relationship Id="r107"
    Type="http://schemas.openxmlformats.org/officeDocument/2006/relationships/hyperlink"
    TargetMode="External"
    Target="https://www.westlaw.com/Link/Document/FullText?findType=Y&amp;serNum=1992027089&amp;pubNum=0000350&amp;originatingDoc=Iec57e3906ca211f09f6e8eea23f4eb91&amp;refType=RP&amp;fi=co_pp_sp_350_616&amp;originationContext=document&amp;vr=3.0&amp;rs=cblt1.0&amp;transitionType=DocumentItem&amp;contextData=(sc.Default)#co_pp_sp_350_616"/>
  <Relationship Id="r108"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 Id="r109"
    Type="http://schemas.openxmlformats.org/officeDocument/2006/relationships/hyperlink"
    TargetMode="External"
    Target="https://www.westlaw.com/Link/Document/FullText?findType=Y&amp;serNum=1996156634&amp;pubNum=0000506&amp;originatingDoc=Iec57e3906ca211f09f6e8eea23f4eb91&amp;refType=RP&amp;fi=co_pp_sp_506_1249&amp;originationContext=document&amp;vr=3.0&amp;rs=cblt1.0&amp;transitionType=DocumentItem&amp;contextData=(sc.Default)#co_pp_sp_506_1249"/>
  <Relationship Id="r110"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11"
    Type="http://schemas.openxmlformats.org/officeDocument/2006/relationships/hyperlink"
    TargetMode="External"
    Target="https://www.westlaw.com/Link/Document/FullText?findType=Y&amp;serNum=1973126376&amp;pubNum=0000780&amp;originatingDoc=Iec57e3906ca211f09f6e8eea23f4eb91&amp;refType=RP&amp;fi=co_pp_sp_780_432&amp;originationContext=document&amp;vr=3.0&amp;rs=cblt1.0&amp;transitionType=DocumentItem&amp;contextData=(sc.Default)#co_pp_sp_780_432"/>
  <Relationship Id="r112"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13"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14"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15"
    Type="http://schemas.openxmlformats.org/officeDocument/2006/relationships/hyperlink"
    TargetMode="External"
    Target="https://www.westlaw.com/Link/Document/FullText?findType=l&amp;pubNum=1077005&amp;cite=UUID(IC616FAB09B-1411EEB1C4A-D46A79A006B)&amp;originatingDoc=Iec57e3906ca211f09f6e8eea23f4eb91&amp;refType=SL&amp;originationContext=document&amp;vr=3.0&amp;rs=cblt1.0&amp;transitionType=DocumentItem&amp;contextData=(sc.Default)"/>
  <Relationship Id="r116"
    Type="http://schemas.openxmlformats.org/officeDocument/2006/relationships/hyperlink"
    TargetMode="External"
    Target="https://www.westlaw.com/Link/Document/FullText?findType=L&amp;pubNum=1001553&amp;cite=KSSTS21-6421&amp;originatingDoc=Iec57e3906ca211f09f6e8eea23f4eb91&amp;refType=RB&amp;originationContext=document&amp;vr=3.0&amp;rs=cblt1.0&amp;transitionType=DocumentItem&amp;contextData=(sc.Default)#co_pp_3fed000053a85"/>
  <Relationship Id="r117"
    Type="http://schemas.openxmlformats.org/officeDocument/2006/relationships/hyperlink"
    TargetMode="External"
    Target="https://www.westlaw.com/Link/Document/FullText?findType=L&amp;pubNum=1001553&amp;cite=KSSTS21-6422&amp;originatingDoc=Iec57e3906ca211f09f6e8eea23f4eb91&amp;refType=RB&amp;originationContext=document&amp;vr=3.0&amp;rs=cblt1.0&amp;transitionType=DocumentItem&amp;contextData=(sc.Default)#co_pp_7b9b000044381"/>
  <Relationship Id="r118"
    Type="http://schemas.openxmlformats.org/officeDocument/2006/relationships/hyperlink"
    TargetMode="External"
    Target="https://www.westlaw.com/Link/Document/FullText?findType=Y&amp;serNum=2082556399&amp;pubNum=0008173&amp;originatingDoc=Iec57e3906ca211f09f6e8eea23f4eb91&amp;refType=RP&amp;fi=co_pp_sp_8173_1119&amp;originationContext=document&amp;vr=3.0&amp;rs=cblt1.0&amp;transitionType=DocumentItem&amp;contextData=(sc.Default)#co_pp_sp_8173_1119"/>
  <Relationship Id="r119"
    Type="http://schemas.openxmlformats.org/officeDocument/2006/relationships/hyperlink"
    TargetMode="External"
    Target="https://www.westlaw.com/Link/Document/FullText?findType=Y&amp;serNum=2082556399&amp;pubNum=0008173&amp;originatingDoc=Iec57e3906ca211f09f6e8eea23f4eb91&amp;refType=RP&amp;fi=co_pp_sp_8173_1129&amp;originationContext=document&amp;vr=3.0&amp;rs=cblt1.0&amp;transitionType=DocumentItem&amp;contextData=(sc.Default)#co_pp_sp_8173_1129"/>
  <Relationship Id="r120"
    Type="http://schemas.openxmlformats.org/officeDocument/2006/relationships/hyperlink"
    TargetMode="External"
    Target="https://www.westlaw.com/Link/Document/FullText?findType=Y&amp;serNum=1996156634&amp;pubNum=0000506&amp;originatingDoc=Iec57e3906ca211f09f6e8eea23f4eb91&amp;refType=RP&amp;originationContext=document&amp;vr=3.0&amp;rs=cblt1.0&amp;transitionType=DocumentItem&amp;contextData=(sc.Default)"/>
  <Relationship Id="r121"
    Type="http://schemas.openxmlformats.org/officeDocument/2006/relationships/hyperlink"
    TargetMode="External"
    Target="https://www.westlaw.com/Link/Document/FullText?findType=Y&amp;serNum=1999067314&amp;pubNum=0000780&amp;originatingDoc=Iec57e3906ca211f09f6e8eea23f4eb91&amp;refType=RP&amp;fi=co_pp_sp_780_24&amp;originationContext=document&amp;vr=3.0&amp;rs=cblt1.0&amp;transitionType=DocumentItem&amp;contextData=(sc.Default)#co_pp_sp_780_24"/>
  <Relationship Id="r122"
    Type="http://schemas.openxmlformats.org/officeDocument/2006/relationships/hyperlink"
    TargetMode="External"
    Target="https://www.westlaw.com/Link/Document/FullText?findType=Y&amp;serNum=1991129295&amp;pubNum=0000350&amp;originatingDoc=Iec57e3906ca211f09f6e8eea23f4eb91&amp;refType=RP&amp;fi=co_pp_sp_350_1149&amp;originationContext=document&amp;vr=3.0&amp;rs=cblt1.0&amp;transitionType=DocumentItem&amp;contextData=(sc.Default)#co_pp_sp_350_1149"/>
  <Relationship Id="r123"
    Type="http://schemas.openxmlformats.org/officeDocument/2006/relationships/hyperlink"
    TargetMode="External"
    Target="https://www.westlaw.com/Link/Document/FullText?findType=Y&amp;serNum=2010973437&amp;pubNum=0000506&amp;originatingDoc=Iec57e3906ca211f09f6e8eea23f4eb91&amp;refType=RP&amp;fi=co_pp_sp_506_655&amp;originationContext=document&amp;vr=3.0&amp;rs=cblt1.0&amp;transitionType=DocumentItem&amp;contextData=(sc.Default)#co_pp_sp_506_655"/>
  <Relationship Id="r124"
    Type="http://schemas.openxmlformats.org/officeDocument/2006/relationships/hyperlink"
    TargetMode="External"
    Target="https://www.westlaw.com/Link/Document/FullText?findType=Y&amp;serNum=1981132784&amp;pubNum=0000350&amp;originatingDoc=Iec57e3906ca211f09f6e8eea23f4eb91&amp;refType=RP&amp;fi=co_pp_sp_350_516&amp;originationContext=document&amp;vr=3.0&amp;rs=cblt1.0&amp;transitionType=DocumentItem&amp;contextData=(sc.Default)#co_pp_sp_350_516"/>
  <Relationship Id="r125"
    Type="http://schemas.openxmlformats.org/officeDocument/2006/relationships/hyperlink"
    TargetMode="External"
    Target="https://www.westlaw.com/Link/Document/FullText?findType=Y&amp;serNum=1988090585&amp;pubNum=0000350&amp;originatingDoc=Iec57e3906ca211f09f6e8eea23f4eb91&amp;refType=RP&amp;fi=co_pp_sp_350_703&amp;originationContext=document&amp;vr=3.0&amp;rs=cblt1.0&amp;transitionType=DocumentItem&amp;contextData=(sc.Default)#co_pp_sp_350_703"/>
  <Relationship Id="r126"
    Type="http://schemas.openxmlformats.org/officeDocument/2006/relationships/hyperlink"
    TargetMode="External"
    Target="https://www.westlaw.com/Link/Document/FullText?findType=Y&amp;serNum=1988084167&amp;pubNum=0000350&amp;originatingDoc=Iec57e3906ca211f09f6e8eea23f4eb91&amp;refType=RP&amp;fi=co_pp_sp_350_165&amp;originationContext=document&amp;vr=3.0&amp;rs=cblt1.0&amp;transitionType=DocumentItem&amp;contextData=(sc.Default)#co_pp_sp_350_165"/>
  <Relationship Id="r127"
    Type="http://schemas.openxmlformats.org/officeDocument/2006/relationships/hyperlink"
    TargetMode="External"
    Target="https://www.westlaw.com/Link/Document/FullText?findType=Y&amp;serNum=2051952336&amp;pubNum=0000506&amp;originatingDoc=Iec57e3906ca211f09f6e8eea23f4eb91&amp;refType=RP&amp;fi=co_pp_sp_506_1203&amp;originationContext=document&amp;vr=3.0&amp;rs=cblt1.0&amp;transitionType=DocumentItem&amp;contextData=(sc.Default)#co_pp_sp_506_1203"/>
  <Relationship Id="r128"
    Type="http://schemas.openxmlformats.org/officeDocument/2006/relationships/hyperlink"
    TargetMode="External"
    Target="https://www.westlaw.com/Link/Document/FullText?findType=Y&amp;serNum=2025768353&amp;pubNum=0000506&amp;originatingDoc=Iec57e3906ca211f09f6e8eea23f4eb91&amp;refType=RP&amp;fi=co_pp_sp_506_1084&amp;originationContext=document&amp;vr=3.0&amp;rs=cblt1.0&amp;transitionType=DocumentItem&amp;contextData=(sc.Default)#co_pp_sp_506_1084"/>
  <Relationship Id="r129"
    Type="http://schemas.openxmlformats.org/officeDocument/2006/relationships/hyperlink"
    TargetMode="External"
    Target="https://www.westlaw.com/Link/Document/FullText?findType=L&amp;pubNum=1000546&amp;cite=18USCAS2423&amp;originatingDoc=Iec57e3906ca211f09f6e8eea23f4eb91&amp;refType=RB&amp;originationContext=document&amp;vr=3.0&amp;rs=cblt1.0&amp;transitionType=DocumentItem&amp;contextData=(sc.Default)#co_pp_a83b000018c76"/>
  <Relationship Id="r130"
    Type="http://schemas.openxmlformats.org/officeDocument/2006/relationships/hyperlink"
    TargetMode="External"
    Target="https://www.westlaw.com/Link/Document/FullText?findType=Y&amp;serNum=2018626426&amp;pubNum=0000506&amp;originatingDoc=Iec57e3906ca211f09f6e8eea23f4eb91&amp;refType=RP&amp;fi=co_pp_sp_506_19&amp;originationContext=document&amp;vr=3.0&amp;rs=cblt1.0&amp;transitionType=DocumentItem&amp;contextData=(sc.Default)#co_pp_sp_506_19"/>
  <Relationship Id="r131"
    Type="http://schemas.openxmlformats.org/officeDocument/2006/relationships/hyperlink"
    TargetMode="External"
    Target="https://www.westlaw.com/Link/Document/FullText?findType=Y&amp;serNum=2049595552&amp;pubNum=0000506&amp;originatingDoc=Iec57e3906ca211f09f6e8eea23f4eb91&amp;refType=RP&amp;fi=co_pp_sp_506_8&amp;originationContext=document&amp;vr=3.0&amp;rs=cblt1.0&amp;transitionType=DocumentItem&amp;contextData=(sc.Default)#co_pp_sp_506_8"/>
  <Relationship Id="r132"
    Type="http://schemas.openxmlformats.org/officeDocument/2006/relationships/hyperlink"
    TargetMode="External"
    Target="https://www.westlaw.com/Link/Document/FullText?findType=Y&amp;serNum=1991124860&amp;pubNum=0000350&amp;originatingDoc=Iec57e3906ca211f09f6e8eea23f4eb91&amp;refType=RP&amp;fi=co_pp_sp_350_1231&amp;originationContext=document&amp;vr=3.0&amp;rs=cblt1.0&amp;transitionType=DocumentItem&amp;contextData=(sc.Default)#co_pp_sp_350_1231"/>
  <Relationship Id="r133"
    Type="http://schemas.openxmlformats.org/officeDocument/2006/relationships/hyperlink"
    TargetMode="External"
    Target="https://www.westlaw.com/Link/Document/FullText?findType=L&amp;pubNum=1001553&amp;cite=KSSTS21-6422&amp;originatingDoc=Iec57e3906ca211f09f6e8eea23f4eb91&amp;refType=RB&amp;originationContext=document&amp;vr=3.0&amp;rs=cblt1.0&amp;transitionType=DocumentItem&amp;contextData=(sc.Default)#co_pp_7b9b000044381"/>
  <Relationship Id="r134"
    Type="http://schemas.openxmlformats.org/officeDocument/2006/relationships/hyperlink"
    TargetMode="External"
    Target="https://www.westlaw.com/Link/Document/FullText?findType=Y&amp;serNum=2040549451&amp;pubNum=0000506&amp;originatingDoc=Iec57e3906ca211f09f6e8eea23f4eb91&amp;refType=RP&amp;fi=co_pp_sp_506_67&amp;originationContext=document&amp;vr=3.0&amp;rs=cblt1.0&amp;transitionType=DocumentItem&amp;contextData=(sc.Default)#co_pp_sp_506_67"/>
  <Relationship Id="r135"
    Type="http://schemas.openxmlformats.org/officeDocument/2006/relationships/hyperlink"
    TargetMode="External"
    Target="https://www.westlaw.com/Link/Document/FullText?findType=Y&amp;serNum=1986154875&amp;pubNum=0000350&amp;originatingDoc=Iec57e3906ca211f09f6e8eea23f4eb91&amp;refType=RP&amp;fi=co_pp_sp_350_1165&amp;originationContext=document&amp;vr=3.0&amp;rs=cblt1.0&amp;transitionType=DocumentItem&amp;contextData=(sc.Default)#co_pp_sp_350_1165"/>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ec57e3906ca211f09f6e8eea23f4eb91_Targe"/>
      <w:bookmarkEnd w:id="1"/>
    </w:p>
    <w:bookmarkEnd w:id="0"/>
    <w:p>
      <w:pPr>
        <w:spacing w:before="0" w:after="0" w:line="275" w:lineRule="atLeast"/>
        <w:jc w:val="center"/>
      </w:pPr>
      <w:r>
        <w:rPr>
          <w:rFonts w:ascii="Georgia" w:hAnsi="Georgia"/>
          <w:color w:val="1f1f1f"/>
          <w:sz w:val="20"/>
        </w:rPr>
        <w:t>2025 WL 2111736</w:t>
      </w:r>
    </w:p>
    <w:p>
      <w:pPr>
        <w:spacing w:before="0" w:after="0" w:line="275" w:lineRule="atLeast"/>
        <w:jc w:val="center"/>
      </w:pPr>
      <w:r>
        <w:rPr>
          <w:rFonts w:ascii="Georgia" w:hAnsi="Georgia"/>
          <w:color w:val="1f1f1f"/>
          <w:sz w:val="20"/>
        </w:rPr>
        <w:t>Only the Westlaw citation is currently available.</w:t>
      </w:r>
    </w:p>
    <w:p>
      <w:pPr>
        <w:spacing w:before="0" w:after="0" w:line="275" w:lineRule="atLeast"/>
        <w:jc w:val="center"/>
      </w:pPr>
      <w:r>
        <w:rPr>
          <w:rFonts w:ascii="Georgia" w:hAnsi="Georgia"/>
          <w:color w:val="1f1f1f"/>
          <w:sz w:val="20"/>
        </w:rPr>
        <w:t>United States Court of Appeals, Tenth Circuit.</w:t>
      </w:r>
    </w:p>
    <w:p>
      <w:pPr>
        <w:spacing w:before="200" w:after="0" w:line="312" w:lineRule="auto"/>
        <w:ind w:left="100" w:right="100" w:firstLine="0"/>
        <w:jc w:val="center"/>
      </w:pPr>
      <w:r>
        <w:rPr>
          <w:rFonts w:ascii="Georgia" w:hAnsi="Georgia"/>
          <w:color w:val="212121"/>
          <w:sz w:val="20"/>
        </w:rPr>
        <w:t>UNITED STATES of America, Plaintiff - Appellee,</w:t>
      </w:r>
    </w:p>
    <w:p>
      <w:pPr>
        <w:spacing w:before="0" w:after="0" w:line="312" w:lineRule="auto"/>
        <w:ind w:left="100" w:right="100" w:firstLine="0"/>
        <w:jc w:val="center"/>
      </w:pPr>
      <w:r>
        <w:rPr>
          <w:rFonts w:ascii="Georgia" w:hAnsi="Georgia"/>
          <w:color w:val="212121"/>
          <w:sz w:val="20"/>
        </w:rPr>
        <w:t>v.</w:t>
      </w:r>
    </w:p>
    <w:p>
      <w:pPr>
        <w:spacing w:before="0" w:after="0" w:line="312" w:lineRule="auto"/>
        <w:ind w:left="100" w:right="100" w:firstLine="0"/>
        <w:jc w:val="center"/>
      </w:pPr>
      <w:r>
        <w:rPr>
          <w:rFonts w:ascii="Georgia" w:hAnsi="Georgia"/>
          <w:color w:val="212121"/>
          <w:sz w:val="20"/>
        </w:rPr>
        <w:t>Steven E. SPRADLEY, Defendant - Appellant.</w:t>
      </w:r>
    </w:p>
    <w:p>
      <w:pPr>
        <w:pBdr>
          <w:left w:val="none" w:space="8"/>
        </w:pBdr>
        <w:spacing w:before="200" w:after="0" w:line="275" w:lineRule="atLeast"/>
        <w:ind w:left="150" w:right="0" w:firstLine="0"/>
        <w:jc w:val="center"/>
      </w:pPr>
      <w:r>
        <w:rPr>
          <w:rFonts w:ascii="Georgia" w:hAnsi="Georgia"/>
          <w:color w:val="1f1f1f"/>
          <w:sz w:val="20"/>
        </w:rPr>
        <w:t>No. 23-3222</w:t>
      </w:r>
    </w:p>
    <w:p>
      <w:pPr>
        <w:pBdr>
          <w:left w:val="none" w:space="8"/>
        </w:pBdr>
        <w:spacing w:before="0" w:after="0" w:line="275" w:lineRule="atLeast"/>
        <w:ind w:left="150" w:right="0" w:firstLine="0"/>
        <w:jc w:val="center"/>
      </w:pPr>
      <w:r>
        <w:rPr>
          <w:rFonts w:ascii="Georgia" w:hAnsi="Georgia"/>
          <w:color w:val="1f1f1f"/>
          <w:sz w:val="20"/>
        </w:rPr>
        <w:t>|</w:t>
      </w:r>
    </w:p>
    <w:p>
      <w:pPr>
        <w:pBdr>
          <w:left w:val="none" w:space="8"/>
        </w:pBdr>
        <w:spacing w:before="0" w:after="0" w:line="275" w:lineRule="atLeast"/>
        <w:ind w:left="150" w:right="0" w:firstLine="0"/>
        <w:jc w:val="center"/>
      </w:pPr>
      <w:r>
        <w:rPr>
          <w:rFonts w:ascii="Georgia" w:hAnsi="Georgia"/>
          <w:color w:val="1f1f1f"/>
          <w:sz w:val="20"/>
        </w:rPr>
        <w:t>FILED July 29, 2025</w:t>
      </w:r>
    </w:p>
    <w:p>
      <w:pPr>
        <w:spacing w:before="400" w:after="0" w:line="275" w:lineRule="atLeast"/>
        <w:jc w:val="both"/>
      </w:pPr>
      <w:r>
        <w:rPr>
          <w:rFonts w:ascii="Times New Roman" w:hAnsi="Times New Roman"/>
          <w:b/>
          <w:color w:val="1f1f1f"/>
          <w:sz w:val="20"/>
        </w:rPr>
        <w:t>APPEAL FROM THE UNITED STATES DISTRICT COURT FOR THE DISTRICT OF KANSAS (D.C. No. 5:21-CR-40088-TC-1)</w:t>
      </w:r>
    </w:p>
    <w:bookmarkStart w:id="2" w:name="co_attorneysAndLawFirms_1"/>
    <w:p>
      <w:pPr>
        <w:keepNext/>
        <w:keepLines/>
        <w:spacing w:before="200" w:after="0" w:line="275" w:lineRule="atLeast"/>
        <w:jc w:val="both"/>
      </w:pPr>
      <w:r>
        <w:rPr>
          <w:rFonts w:ascii="Times New Roman" w:hAnsi="Times New Roman"/>
          <w:b/>
          <w:color w:val="212121"/>
          <w:sz w:val="20"/>
        </w:rPr>
        <w:t>Attorneys and Law Firms</w:t>
      </w:r>
    </w:p>
    <w:bookmarkEnd w:id="2"/>
    <w:p>
      <w:pPr>
        <w:spacing w:before="200" w:after="0" w:line="275" w:lineRule="atLeast"/>
        <w:jc w:val="both"/>
      </w:pPr>
      <w:hyperlink r:id="r7">
        <w:r>
          <w:rPr>
            <w:rFonts w:ascii="Times New Roman" w:hAnsi="Times New Roman"/>
            <w:color w:val="006fc4"/>
            <w:sz w:val="20"/>
          </w:rPr>
          <w:t>Paige A. Nichols</w:t>
        </w:r>
      </w:hyperlink>
      <w:r>
        <w:rPr>
          <w:rFonts w:ascii="Times New Roman" w:hAnsi="Times New Roman"/>
          <w:color w:val="1f1f1f"/>
          <w:sz w:val="20"/>
        </w:rPr>
        <w:t>, Assistant Federal Public Defender (</w:t>
      </w:r>
      <w:hyperlink r:id="r8">
        <w:r>
          <w:rPr>
            <w:rFonts w:ascii="Times New Roman" w:hAnsi="Times New Roman"/>
            <w:color w:val="006fc4"/>
            <w:sz w:val="20"/>
          </w:rPr>
          <w:t>Melody Brannon</w:t>
        </w:r>
      </w:hyperlink>
      <w:r>
        <w:rPr>
          <w:rFonts w:ascii="Times New Roman" w:hAnsi="Times New Roman"/>
          <w:color w:val="1f1f1f"/>
          <w:sz w:val="20"/>
        </w:rPr>
        <w:t>, Federal Public Defender, with her on the briefs), Office of the Federal Public Defender, Topeka, Kansas, for Defendant-Appellant.</w:t>
      </w:r>
    </w:p>
    <w:p>
      <w:pPr>
        <w:spacing w:before="200" w:after="0" w:line="275" w:lineRule="atLeast"/>
        <w:jc w:val="both"/>
      </w:pPr>
      <w:hyperlink r:id="r9">
        <w:r>
          <w:rPr>
            <w:rFonts w:ascii="Times New Roman" w:hAnsi="Times New Roman"/>
            <w:color w:val="006fc4"/>
            <w:sz w:val="20"/>
          </w:rPr>
          <w:t>James A. Brown</w:t>
        </w:r>
      </w:hyperlink>
      <w:r>
        <w:rPr>
          <w:rFonts w:ascii="Times New Roman" w:hAnsi="Times New Roman"/>
          <w:color w:val="1f1f1f"/>
          <w:sz w:val="20"/>
        </w:rPr>
        <w:t>, Appellate Chief (</w:t>
      </w:r>
      <w:hyperlink r:id="r10">
        <w:r>
          <w:rPr>
            <w:rFonts w:ascii="Times New Roman" w:hAnsi="Times New Roman"/>
            <w:color w:val="006fc4"/>
            <w:sz w:val="20"/>
          </w:rPr>
          <w:t>Kate E. Brubacher</w:t>
        </w:r>
      </w:hyperlink>
      <w:r>
        <w:rPr>
          <w:rFonts w:ascii="Times New Roman" w:hAnsi="Times New Roman"/>
          <w:color w:val="1f1f1f"/>
          <w:sz w:val="20"/>
        </w:rPr>
        <w:t>, United States Attorney, with him on the brief), Office of the United States Attorney, District of Kansas, Topeka, Kansas, for Plaintiff-Appellee.</w:t>
      </w:r>
    </w:p>
    <w:p>
      <w:pPr>
        <w:spacing w:before="0" w:after="0" w:line="275" w:lineRule="atLeast"/>
        <w:jc w:val="both"/>
      </w:pPr>
      <w:r>
        <w:rPr>
          <w:rFonts w:ascii="Times New Roman" w:hAnsi="Times New Roman"/>
          <w:color w:val="1f1f1f"/>
          <w:sz w:val="20"/>
        </w:rPr>
        <w:t xml:space="preserve">Before </w:t>
      </w:r>
      <w:hyperlink r:id="r11">
        <w:r>
          <w:rPr>
            <w:rFonts w:ascii="Times New Roman" w:hAnsi="Times New Roman"/>
            <w:color w:val="006fc4"/>
            <w:sz w:val="20"/>
          </w:rPr>
          <w:t>BACHARACH</w:t>
        </w:r>
      </w:hyperlink>
      <w:r>
        <w:rPr>
          <w:rFonts w:ascii="Times New Roman" w:hAnsi="Times New Roman"/>
          <w:color w:val="1f1f1f"/>
          <w:sz w:val="20"/>
        </w:rPr>
        <w:t xml:space="preserve">, </w:t>
      </w:r>
      <w:hyperlink r:id="r12">
        <w:r>
          <w:rPr>
            <w:rFonts w:ascii="Times New Roman" w:hAnsi="Times New Roman"/>
            <w:color w:val="006fc4"/>
            <w:sz w:val="20"/>
          </w:rPr>
          <w:t>MURPHY</w:t>
        </w:r>
      </w:hyperlink>
      <w:r>
        <w:rPr>
          <w:rFonts w:ascii="Times New Roman" w:hAnsi="Times New Roman"/>
          <w:color w:val="1f1f1f"/>
          <w:sz w:val="20"/>
        </w:rPr>
        <w:t xml:space="preserve">, and </w:t>
      </w:r>
      <w:hyperlink r:id="r13">
        <w:r>
          <w:rPr>
            <w:rFonts w:ascii="Times New Roman" w:hAnsi="Times New Roman"/>
            <w:color w:val="006fc4"/>
            <w:sz w:val="20"/>
          </w:rPr>
          <w:t>EID</w:t>
        </w:r>
      </w:hyperlink>
      <w:r>
        <w:rPr>
          <w:rFonts w:ascii="Times New Roman" w:hAnsi="Times New Roman"/>
          <w:color w:val="1f1f1f"/>
          <w:sz w:val="20"/>
        </w:rPr>
        <w:t>, Circuit Judges.</w:t>
      </w:r>
    </w:p>
    <w:bookmarkStart w:id="3" w:name="co_opinion_1"/>
    <w:p>
      <w:pPr>
        <w:keepNext/>
        <w:keepLines/>
        <w:spacing w:before="200" w:after="0" w:line="275" w:lineRule="atLeast"/>
        <w:jc w:val="both"/>
      </w:pPr>
      <w:r>
        <w:rPr>
          <w:rFonts w:ascii="Times New Roman" w:hAnsi="Times New Roman"/>
          <w:b/>
          <w:color w:val="212121"/>
          <w:sz w:val="20"/>
        </w:rPr>
        <w:t>Opinion</w:t>
      </w:r>
    </w:p>
    <w:bookmarkEnd w:id="3"/>
    <w:bookmarkStart w:id="4" w:name="co_anchor_I05f5e3956d4f11f0bfda9b9d9cca"/>
    <w:p>
      <w:pPr>
        <w:spacing w:before="200" w:after="0" w:line="275" w:lineRule="atLeast"/>
        <w:jc w:val="both"/>
      </w:pPr>
      <w:hyperlink r:id="r14">
        <w:r>
          <w:rPr>
            <w:rFonts w:ascii="Times New Roman" w:hAnsi="Times New Roman"/>
            <w:color w:val="006fc4"/>
            <w:sz w:val="20"/>
          </w:rPr>
          <w:t>BACHARACH</w:t>
        </w:r>
      </w:hyperlink>
      <w:r>
        <w:rPr>
          <w:rFonts w:ascii="Times New Roman" w:hAnsi="Times New Roman"/>
          <w:color w:val="1f1f1f"/>
          <w:sz w:val="20"/>
        </w:rPr>
        <w:t>, Circuit Judge.</w:t>
      </w:r>
    </w:p>
    <w:bookmarkEnd w:id="4"/>
    <w:bookmarkStart w:id="5" w:name="co_anchor_I061ca5726d4f11f0bfda9b9d9cca"/>
    <w:p>
      <w:pPr>
        <w:spacing w:before="200" w:after="0" w:line="275" w:lineRule="atLeast"/>
        <w:jc w:val="both"/>
      </w:pPr>
      <w:bookmarkStart w:id="6" w:name="co_pp_sp_999_1_1"/>
      <w:r>
        <w:rPr>
          <w:rFonts w:ascii="Times New Roman" w:hAnsi="Times New Roman"/>
          <w:b/>
          <w:color w:val="000000"/>
          <w:sz w:val="20"/>
        </w:rPr>
        <w:t>*1</w:t>
      </w:r>
      <w:bookmarkEnd w:id="6"/>
      <w:r>
        <w:rPr>
          <w:rFonts w:ascii="Times New Roman" w:hAnsi="Times New Roman"/>
          <w:color w:val="1f1f1f"/>
          <w:sz w:val="20"/>
        </w:rPr>
        <w:t xml:space="preserve"> In this appeal, we must decide whether the trial evidence could have supported a defense of entrapment. This issue arose when the defendant, Mr. Steven Spradley, drove to another state to meet a deputy sheriff pretending to be a 17-year-old girl. After Mr. Spradley made the drive, he was charged with crossing the state line to pay for sex with a minor. </w:t>
      </w:r>
      <w:hyperlink r:id="r15">
        <w:r>
          <w:rPr>
            <w:rFonts w:ascii="Times New Roman" w:hAnsi="Times New Roman"/>
            <w:color w:val="006fc4"/>
            <w:sz w:val="20"/>
          </w:rPr>
          <w:t>18 U.S.C. § 2423(b)</w:t>
        </w:r>
      </w:hyperlink>
      <w:r>
        <w:rPr>
          <w:rFonts w:ascii="Times New Roman" w:hAnsi="Times New Roman"/>
          <w:color w:val="1f1f1f"/>
          <w:sz w:val="20"/>
        </w:rPr>
        <w:t>.</w:t>
      </w:r>
    </w:p>
    <w:bookmarkEnd w:id="5"/>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 asserted a defense of entrapment; but the district court refused to instruct on this defense based on insufficiency of the evidence, and Mr. Spradley was convicted. In light of this conviction, we must decide whether a reasonable jury could have found entrapment based on the trial evidence. </w:t>
      </w:r>
      <w:hyperlink r:id="r16">
        <w:r>
          <w:rPr>
            <w:rFonts w:ascii="Times New Roman" w:hAnsi="Times New Roman"/>
            <w:i/>
            <w:color w:val="006fc4"/>
            <w:sz w:val="20"/>
          </w:rPr>
          <w:t>Mathews v. United States</w:t>
        </w:r>
        <w:r>
          <w:rPr>
            <w:rFonts w:ascii="Times New Roman" w:hAnsi="Times New Roman"/>
            <w:color w:val="006fc4"/>
            <w:sz w:val="20"/>
          </w:rPr>
          <w:t>, 485 U.S. 58, 63 (1988)</w:t>
        </w:r>
      </w:hyperlink>
      <w:r>
        <w:rPr>
          <w:rFonts w:ascii="Times New Roman" w:hAnsi="Times New Roman"/>
          <w:color w:val="1f1f1f"/>
          <w:sz w:val="20"/>
        </w:rPr>
        <w:t xml:space="preserve">. We answer </w:t>
      </w:r>
      <w:r>
        <w:rPr>
          <w:rFonts w:ascii="Times New Roman" w:hAnsi="Times New Roman"/>
          <w:i/>
          <w:color w:val="1f1f1f"/>
          <w:sz w:val="20"/>
        </w:rPr>
        <w:t>yes</w:t>
      </w:r>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7" w:name="co_anchor_I061d8fd16d4f11f0bfda9b9d9cca"/>
    <w:bookmarkStart w:id="8" w:name="co_anchor_I061d8fd16d4f11f0bfda9b9d92"/>
    <w:p>
      <w:pPr>
        <w:spacing w:before="400" w:after="0" w:line="275" w:lineRule="atLeast"/>
      </w:pPr>
      <w:r>
        <w:rPr>
          <w:rFonts w:ascii="Times New Roman" w:hAnsi="Times New Roman"/>
          <w:b/>
          <w:color w:val="1f1f1f"/>
          <w:sz w:val="20"/>
        </w:rPr>
        <w:t>1. Mr. Spradley is the target of a sting operation.</w:t>
      </w:r>
    </w:p>
    <w:bookmarkEnd w:id="8"/>
    <w:bookmarkEnd w:id="7"/>
    <w:p>
      <w:pPr>
        <w:spacing w:before="0" w:after="0" w:line="275" w:lineRule="atLeast"/>
        <w:jc w:val="both"/>
      </w:pPr>
      <w:r>
        <w:rPr>
          <w:rFonts w:ascii="Times New Roman" w:hAnsi="Times New Roman"/>
          <w:color w:val="1f1f1f"/>
          <w:sz w:val="20"/>
        </w:rPr>
        <w:t>When the incident took place, Mr. Spradley was 56 years old and living in Kansas City, Missouri. He expressed loneliness, testifying that he used the internet to “meet somebody.” R. vol. 3, at 387. Through the internet, Mr. Spradley spotted an advertisement posted by a deputy sheriff impersonating a young woman: “Needing to make some money. Recently graduated and looking to make money for a new ride to attend cosmetology school.” Supp. R. vol. 1, at 4.</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 responded: “I'll give you $500 to spend the weekend trading orgasms with me ... :)” </w:t>
      </w:r>
      <w:r>
        <w:rPr>
          <w:rFonts w:ascii="Times New Roman" w:hAnsi="Times New Roman"/>
          <w:i/>
          <w:color w:val="1f1f1f"/>
          <w:sz w:val="20"/>
        </w:rPr>
        <w:t>Id.</w:t>
      </w:r>
      <w:r>
        <w:rPr>
          <w:rFonts w:ascii="Times New Roman" w:hAnsi="Times New Roman"/>
          <w:color w:val="1f1f1f"/>
          <w:sz w:val="20"/>
        </w:rPr>
        <w:t xml:space="preserve"> at 5. The deputy sheriff, still impersonating the young woman, said that she was 17 and asked if her age would pose a problem. Mr. Spradley didn't answer directly, but he continued emailing and texting the fictitious girl. In these messages, Mr. Spradley said that he wanted a relationship with the girl, offering to take her around Kansas City, showing her photographs of a motorcycle and a pet bird, and asking if they could talk on the phone.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As the two arranged to meet, the fictitious girl indicated that Mr. Spradley would need to make the drive to Kansas, explaining that her car wouldn't make it to Missouri. Mr. Spradley agreed and said that he would bring $500 and whiskey. He made the drive but didn't have the $500 or the whiskey when he arrived.</w:t>
      </w:r>
    </w:p>
    <w:p>
      <w:pPr>
        <w:spacing w:before="0" w:after="0" w:line="275" w:lineRule="atLeast"/>
        <w:jc w:val="both"/>
      </w:pPr>
      <w:r>
        <w:rPr>
          <w:rFonts w:ascii="Times New Roman" w:hAnsi="Times New Roman"/>
          <w:color w:val="1f1f1f"/>
          <w:sz w:val="20"/>
        </w:rPr>
        <w:t> </w:t>
      </w:r>
    </w:p>
    <w:bookmarkStart w:id="9" w:name="co_anchor_I061f16716d4f11f0bfda9b9d9cca"/>
    <w:bookmarkStart w:id="10" w:name="co_anchor_I061f16716d4f11f0bfda9b9d92"/>
    <w:p>
      <w:pPr>
        <w:spacing w:before="400" w:after="0" w:line="275" w:lineRule="atLeast"/>
      </w:pPr>
      <w:r>
        <w:rPr>
          <w:rFonts w:ascii="Times New Roman" w:hAnsi="Times New Roman"/>
          <w:b/>
          <w:color w:val="1f1f1f"/>
          <w:sz w:val="20"/>
        </w:rPr>
        <w:t>2. The district court erred in failing to instruct on entrapment.</w:t>
      </w:r>
    </w:p>
    <w:bookmarkEnd w:id="10"/>
    <w:bookmarkEnd w:id="9"/>
    <w:p>
      <w:pPr>
        <w:spacing w:before="0" w:after="0" w:line="275" w:lineRule="atLeast"/>
        <w:jc w:val="both"/>
      </w:pPr>
      <w:r>
        <w:rPr>
          <w:rFonts w:ascii="Times New Roman" w:hAnsi="Times New Roman"/>
          <w:color w:val="1f1f1f"/>
          <w:sz w:val="20"/>
        </w:rPr>
        <w:t>We conclude that Mr. Spradley was entitled to an instruction on entrapment.</w:t>
      </w:r>
    </w:p>
    <w:p>
      <w:pPr>
        <w:spacing w:before="0" w:after="0" w:line="275" w:lineRule="atLeast"/>
        <w:jc w:val="both"/>
      </w:pPr>
      <w:r>
        <w:rPr>
          <w:rFonts w:ascii="Times New Roman" w:hAnsi="Times New Roman"/>
          <w:color w:val="1f1f1f"/>
          <w:sz w:val="20"/>
        </w:rPr>
        <w:t> </w:t>
      </w:r>
    </w:p>
    <w:bookmarkStart w:id="11" w:name="co_anchor_I061f64916d4f11f0bfda9b9d9cca"/>
    <w:bookmarkStart w:id="12" w:name="co_anchor_I061f64916d4f11f0bfda9b9d92"/>
    <w:p>
      <w:pPr>
        <w:pBdr>
          <w:left w:val="none" w:space="10"/>
        </w:pBdr>
        <w:spacing w:before="400" w:after="0" w:line="275" w:lineRule="atLeast"/>
        <w:ind w:left="200" w:right="0" w:firstLine="0"/>
      </w:pPr>
      <w:r>
        <w:rPr>
          <w:rFonts w:ascii="Times New Roman" w:hAnsi="Times New Roman"/>
          <w:b/>
          <w:color w:val="1f1f1f"/>
          <w:sz w:val="20"/>
        </w:rPr>
        <w:t>a. Standard of Review</w:t>
      </w:r>
    </w:p>
    <w:bookmarkEnd w:id="12"/>
    <w:bookmarkEnd w:id="11"/>
    <w:p>
      <w:pPr>
        <w:spacing w:before="0" w:after="0" w:line="275" w:lineRule="atLeast"/>
        <w:jc w:val="both"/>
      </w:pPr>
      <w:r>
        <w:rPr>
          <w:rFonts w:ascii="Times New Roman" w:hAnsi="Times New Roman"/>
          <w:color w:val="1f1f1f"/>
          <w:sz w:val="20"/>
        </w:rPr>
        <w:t xml:space="preserve">In determining whether the evidence could have supported a finding of entrapment, we conduct de novo review and resolve all reasonable inferences from the evidence in the light most favorable to Mr. Spradley. </w:t>
      </w:r>
      <w:hyperlink r:id="r17">
        <w:r>
          <w:rPr>
            <w:rFonts w:ascii="Times New Roman" w:hAnsi="Times New Roman"/>
            <w:i/>
            <w:color w:val="006fc4"/>
            <w:sz w:val="20"/>
          </w:rPr>
          <w:t>United States v. Stein</w:t>
        </w:r>
        <w:r>
          <w:rPr>
            <w:rFonts w:ascii="Times New Roman" w:hAnsi="Times New Roman"/>
            <w:color w:val="006fc4"/>
            <w:sz w:val="20"/>
          </w:rPr>
          <w:t>, 985 F.3d 1254, 1264 (10th Cir. 2021)</w:t>
        </w:r>
      </w:hyperlink>
      <w:r>
        <w:rPr>
          <w:rFonts w:ascii="Times New Roman" w:hAnsi="Times New Roman"/>
          <w:color w:val="1f1f1f"/>
          <w:sz w:val="20"/>
        </w:rPr>
        <w:t>. In that review, we consider the defense of entrapment, which is “fact-intensive,” often “mak[ing] jury consideration of demeanor and credibility evidence a pivotal factor.”</w:t>
      </w:r>
      <w:r>
        <w:rPr>
          <w:rFonts w:ascii="Times New Roman" w:hAnsi="Times New Roman"/>
          <w:color w:val="1f1f1f"/>
          <w:sz w:val="20"/>
        </w:rPr>
        <w:t xml:space="preserve"> </w:t>
      </w:r>
      <w:hyperlink r:id="r18">
        <w:r>
          <w:rPr>
            <w:rFonts w:ascii="Times New Roman" w:hAnsi="Times New Roman"/>
            <w:i/>
            <w:color w:val="006fc4"/>
            <w:sz w:val="20"/>
          </w:rPr>
          <w:t>United States v. Brown</w:t>
        </w:r>
        <w:r>
          <w:rPr>
            <w:rFonts w:ascii="Times New Roman" w:hAnsi="Times New Roman"/>
            <w:color w:val="006fc4"/>
            <w:sz w:val="20"/>
          </w:rPr>
          <w:t>, 43 F.3d 618, 625 (11th Cir. 1995)</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This fact-intensive defense contains two elements:</w:t>
      </w:r>
    </w:p>
    <w:p>
      <w:pPr>
        <w:spacing w:before="200" w:after="0" w:line="275" w:lineRule="atLeast"/>
        <w:ind w:left="400" w:right="0" w:hanging="200"/>
        <w:jc w:val="both"/>
      </w:pPr>
      <w:r>
        <w:rPr>
          <w:rFonts w:ascii="Times New Roman" w:hAnsi="Times New Roman"/>
          <w:color w:val="1f1f1f"/>
          <w:sz w:val="20"/>
        </w:rPr>
        <w:t>1. The defendant lacked a predisposition to commit the offense.</w:t>
      </w:r>
    </w:p>
    <w:p>
      <w:pPr>
        <w:spacing w:before="200" w:after="0" w:line="275" w:lineRule="atLeast"/>
        <w:ind w:left="400" w:right="0" w:hanging="200"/>
        <w:jc w:val="both"/>
      </w:pPr>
      <w:r>
        <w:rPr>
          <w:rFonts w:ascii="Times New Roman" w:hAnsi="Times New Roman"/>
          <w:color w:val="1f1f1f"/>
          <w:sz w:val="20"/>
        </w:rPr>
        <w:t>2. A governmental agent induced commission of the offense.</w:t>
      </w:r>
    </w:p>
    <w:p>
      <w:pPr>
        <w:spacing w:before="200" w:after="0" w:line="275" w:lineRule="atLeast"/>
        <w:jc w:val="both"/>
      </w:pPr>
      <w:hyperlink r:id="r19">
        <w:r>
          <w:rPr>
            <w:rFonts w:ascii="Times New Roman" w:hAnsi="Times New Roman"/>
            <w:i/>
            <w:color w:val="006fc4"/>
            <w:sz w:val="20"/>
          </w:rPr>
          <w:t>United States v. Fadel</w:t>
        </w:r>
        <w:r>
          <w:rPr>
            <w:rFonts w:ascii="Times New Roman" w:hAnsi="Times New Roman"/>
            <w:color w:val="006fc4"/>
            <w:sz w:val="20"/>
          </w:rPr>
          <w:t>, 844 F.2d 1425, 1429 (10th Cir. 1988)</w:t>
        </w:r>
      </w:hyperlink>
      <w:r>
        <w:rPr>
          <w:rFonts w:ascii="Times New Roman" w:hAnsi="Times New Roman"/>
          <w:color w:val="1f1f1f"/>
          <w:sz w:val="20"/>
        </w:rPr>
        <w:t xml:space="preserve">. We evaluate </w:t>
      </w:r>
      <w:r>
        <w:rPr>
          <w:rFonts w:ascii="Times New Roman" w:hAnsi="Times New Roman"/>
          <w:i/>
          <w:color w:val="1f1f1f"/>
          <w:sz w:val="20"/>
        </w:rPr>
        <w:t>predisposition</w:t>
      </w:r>
      <w:r>
        <w:rPr>
          <w:rFonts w:ascii="Times New Roman" w:hAnsi="Times New Roman"/>
          <w:color w:val="1f1f1f"/>
          <w:sz w:val="20"/>
        </w:rPr>
        <w:t xml:space="preserve"> and </w:t>
      </w:r>
      <w:r>
        <w:rPr>
          <w:rFonts w:ascii="Times New Roman" w:hAnsi="Times New Roman"/>
          <w:i/>
          <w:color w:val="1f1f1f"/>
          <w:sz w:val="20"/>
        </w:rPr>
        <w:t>inducement</w:t>
      </w:r>
      <w:r>
        <w:rPr>
          <w:rFonts w:ascii="Times New Roman" w:hAnsi="Times New Roman"/>
          <w:color w:val="1f1f1f"/>
          <w:sz w:val="20"/>
        </w:rPr>
        <w:t xml:space="preserve"> based on the underlying offense, which involves travel in interstate commerce with a motivating purpose to pay for sex with someone below the age of 18. </w:t>
      </w:r>
      <w:hyperlink r:id="r20">
        <w:r>
          <w:rPr>
            <w:rFonts w:ascii="Times New Roman" w:hAnsi="Times New Roman"/>
            <w:color w:val="006fc4"/>
            <w:sz w:val="20"/>
          </w:rPr>
          <w:t>18 U.S.C. § 2423(b) (2021)</w:t>
        </w:r>
      </w:hyperlink>
      <w:r>
        <w:rPr>
          <w:rFonts w:ascii="Times New Roman" w:hAnsi="Times New Roman"/>
          <w:color w:val="1f1f1f"/>
          <w:sz w:val="20"/>
        </w:rPr>
        <w:t>;</w:t>
      </w:r>
      <w:bookmarkStart w:id="13" w:name="co_fnRef_B00012057466007_ID0ECKAC_1"/>
      <w:hyperlink w:anchor="co_footnote_B00012057466007_1">
        <w:r>
          <w:rPr>
            <w:rFonts w:ascii="Times New Roman" w:hAnsi="Times New Roman"/>
            <w:color w:val="006fc4"/>
            <w:sz w:val="16"/>
            <w:vertAlign w:val="superscript"/>
          </w:rPr>
          <w:t>1</w:t>
        </w:r>
      </w:hyperlink>
      <w:bookmarkEnd w:id="13"/>
      <w:r>
        <w:rPr>
          <w:rFonts w:ascii="Times New Roman" w:hAnsi="Times New Roman"/>
          <w:color w:val="1f1f1f"/>
          <w:sz w:val="20"/>
        </w:rPr>
        <w:t xml:space="preserve"> </w:t>
      </w:r>
      <w:r>
        <w:rPr>
          <w:rFonts w:ascii="Times New Roman" w:hAnsi="Times New Roman"/>
          <w:i/>
          <w:color w:val="1f1f1f"/>
          <w:sz w:val="20"/>
        </w:rPr>
        <w:t>see</w:t>
      </w:r>
      <w:r>
        <w:rPr>
          <w:rFonts w:ascii="Times New Roman" w:hAnsi="Times New Roman"/>
          <w:color w:val="1f1f1f"/>
          <w:sz w:val="20"/>
        </w:rPr>
        <w:t xml:space="preserve"> p. 2, above. An instruction on entrapment is required if there is at least some evidence that (1) the defendant lacked predisposition and (2) a government agent induced commission of the offense. </w:t>
      </w:r>
      <w:r>
        <w:rPr>
          <w:rFonts w:ascii="Times New Roman" w:hAnsi="Times New Roman"/>
          <w:i/>
          <w:color w:val="1f1f1f"/>
          <w:sz w:val="20"/>
        </w:rPr>
        <w:t>See</w:t>
      </w:r>
      <w:r>
        <w:rPr>
          <w:rFonts w:ascii="Times New Roman" w:hAnsi="Times New Roman"/>
          <w:color w:val="1f1f1f"/>
          <w:sz w:val="20"/>
        </w:rPr>
        <w:t xml:space="preserve"> </w:t>
      </w:r>
      <w:hyperlink r:id="r21">
        <w:r>
          <w:rPr>
            <w:rFonts w:ascii="Times New Roman" w:hAnsi="Times New Roman"/>
            <w:i/>
            <w:color w:val="006fc4"/>
            <w:sz w:val="20"/>
          </w:rPr>
          <w:t>United States v. Mayfield</w:t>
        </w:r>
        <w:r>
          <w:rPr>
            <w:rFonts w:ascii="Times New Roman" w:hAnsi="Times New Roman"/>
            <w:color w:val="006fc4"/>
            <w:sz w:val="20"/>
          </w:rPr>
          <w:t>, 771 F.3d 417, 420 (7th Cir. 2014)</w:t>
        </w:r>
      </w:hyperlink>
      <w:r>
        <w:rPr>
          <w:rFonts w:ascii="Times New Roman" w:hAnsi="Times New Roman"/>
          <w:color w:val="1f1f1f"/>
          <w:sz w:val="20"/>
        </w:rPr>
        <w:t xml:space="preserve"> (en banc) (“The defendant is entitled to an entrapment jury instruction if he can show that some evidence supports both elements of the defense.”).</w:t>
      </w:r>
    </w:p>
    <w:p>
      <w:pPr>
        <w:spacing w:before="0" w:after="0" w:line="275" w:lineRule="atLeast"/>
        <w:jc w:val="both"/>
      </w:pPr>
      <w:r>
        <w:rPr>
          <w:rFonts w:ascii="Times New Roman" w:hAnsi="Times New Roman"/>
          <w:color w:val="1f1f1f"/>
          <w:sz w:val="20"/>
        </w:rPr>
        <w:t> </w:t>
      </w:r>
    </w:p>
    <w:bookmarkStart w:id="14" w:name="co_anchor_I0621d5916d4f11f0bfda9b9d9cca"/>
    <w:bookmarkStart w:id="15" w:name="co_anchor_I0621d5916d4f11f0bfda9b9d92"/>
    <w:p>
      <w:pPr>
        <w:pBdr>
          <w:left w:val="none" w:space="10"/>
        </w:pBdr>
        <w:spacing w:before="400" w:after="0" w:line="275" w:lineRule="atLeast"/>
        <w:ind w:left="200" w:right="0" w:firstLine="0"/>
      </w:pPr>
      <w:r>
        <w:rPr>
          <w:rFonts w:ascii="Times New Roman" w:hAnsi="Times New Roman"/>
          <w:b/>
          <w:color w:val="1f1f1f"/>
          <w:sz w:val="20"/>
        </w:rPr>
        <w:t>b. Predisposition</w:t>
      </w:r>
    </w:p>
    <w:bookmarkEnd w:id="15"/>
    <w:bookmarkEnd w:id="14"/>
    <w:p>
      <w:pPr>
        <w:spacing w:before="0" w:after="0" w:line="275" w:lineRule="atLeast"/>
        <w:jc w:val="both"/>
      </w:pPr>
      <w:bookmarkStart w:id="16" w:name="co_pp_sp_999_2_1"/>
      <w:r>
        <w:rPr>
          <w:rFonts w:ascii="Times New Roman" w:hAnsi="Times New Roman"/>
          <w:b/>
          <w:color w:val="000000"/>
          <w:sz w:val="20"/>
        </w:rPr>
        <w:t>*2</w:t>
      </w:r>
      <w:bookmarkEnd w:id="16"/>
      <w:r>
        <w:rPr>
          <w:rFonts w:ascii="Times New Roman" w:hAnsi="Times New Roman"/>
          <w:color w:val="1f1f1f"/>
          <w:sz w:val="20"/>
        </w:rPr>
        <w:t xml:space="preserve"> </w:t>
      </w:r>
      <w:r>
        <w:rPr>
          <w:rFonts w:ascii="Times New Roman" w:hAnsi="Times New Roman"/>
          <w:i/>
          <w:color w:val="1f1f1f"/>
          <w:sz w:val="20"/>
        </w:rPr>
        <w:t>Predisposition</w:t>
      </w:r>
      <w:r>
        <w:rPr>
          <w:rFonts w:ascii="Times New Roman" w:hAnsi="Times New Roman"/>
          <w:color w:val="1f1f1f"/>
          <w:sz w:val="20"/>
        </w:rPr>
        <w:t xml:space="preserve"> means a defendant's willingness to “engage in the illegal activity for which he has been charged ....” </w:t>
      </w:r>
      <w:hyperlink r:id="r22">
        <w:r>
          <w:rPr>
            <w:rFonts w:ascii="Times New Roman" w:hAnsi="Times New Roman"/>
            <w:i/>
            <w:color w:val="006fc4"/>
            <w:sz w:val="20"/>
          </w:rPr>
          <w:t>United States v. Ortiz</w:t>
        </w:r>
        <w:r>
          <w:rPr>
            <w:rFonts w:ascii="Times New Roman" w:hAnsi="Times New Roman"/>
            <w:color w:val="006fc4"/>
            <w:sz w:val="20"/>
          </w:rPr>
          <w:t>, 804 F.2d 1161, 1165 (10th Cir. 1986)</w:t>
        </w:r>
      </w:hyperlink>
      <w:r>
        <w:rPr>
          <w:rFonts w:ascii="Times New Roman" w:hAnsi="Times New Roman"/>
          <w:color w:val="1f1f1f"/>
          <w:sz w:val="20"/>
        </w:rPr>
        <w:t xml:space="preserve">. The jury can infer predisposition either from the defendant's previous conduct or readiness to accept a governmental agent's illicit offer. </w:t>
      </w:r>
      <w:hyperlink r:id="r23">
        <w:r>
          <w:rPr>
            <w:rFonts w:ascii="Times New Roman" w:hAnsi="Times New Roman"/>
            <w:i/>
            <w:color w:val="006fc4"/>
            <w:sz w:val="20"/>
          </w:rPr>
          <w:t>Id.</w:t>
        </w:r>
        <w:r>
          <w:rPr>
            <w:rFonts w:ascii="Times New Roman" w:hAnsi="Times New Roman"/>
            <w:color w:val="006fc4"/>
            <w:sz w:val="20"/>
          </w:rPr>
          <w:t xml:space="preserve"> at 1165–66</w:t>
        </w:r>
      </w:hyperlink>
      <w:r>
        <w:rPr>
          <w:rFonts w:ascii="Times New Roman" w:hAnsi="Times New Roman"/>
          <w:color w:val="1f1f1f"/>
          <w:sz w:val="20"/>
        </w:rPr>
        <w:t xml:space="preserve">. As a result, “[p]redisposition rarely will be susceptible to resolution as a matter of law.” </w:t>
      </w:r>
      <w:hyperlink r:id="r24">
        <w:r>
          <w:rPr>
            <w:rFonts w:ascii="Times New Roman" w:hAnsi="Times New Roman"/>
            <w:i/>
            <w:color w:val="006fc4"/>
            <w:sz w:val="20"/>
          </w:rPr>
          <w:t>Mayfield</w:t>
        </w:r>
        <w:r>
          <w:rPr>
            <w:rFonts w:ascii="Times New Roman" w:hAnsi="Times New Roman"/>
            <w:color w:val="006fc4"/>
            <w:sz w:val="20"/>
          </w:rPr>
          <w:t>, 771 F.3d at 441</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 argues that he lacked the predisposition either (1) to pay for sex or (2) to have sex with someone 17 years old or younger. For this argument, Mr. Spradley needed to show a factual dispute concerning the origin of his criminal purpose. </w:t>
      </w:r>
      <w:hyperlink r:id="r25">
        <w:r>
          <w:rPr>
            <w:rFonts w:ascii="Times New Roman" w:hAnsi="Times New Roman"/>
            <w:i/>
            <w:color w:val="006fc4"/>
            <w:sz w:val="20"/>
          </w:rPr>
          <w:t>Id.</w:t>
        </w:r>
        <w:r>
          <w:rPr>
            <w:rFonts w:ascii="Times New Roman" w:hAnsi="Times New Roman"/>
            <w:color w:val="006fc4"/>
            <w:sz w:val="20"/>
          </w:rPr>
          <w:t xml:space="preserve"> at 440</w:t>
        </w:r>
      </w:hyperlink>
      <w:r>
        <w:rPr>
          <w:rFonts w:ascii="Times New Roman" w:hAnsi="Times New Roman"/>
          <w:color w:val="1f1f1f"/>
          <w:sz w:val="20"/>
        </w:rPr>
        <w:t xml:space="preserve">. If he made that showing, the government would have needed to demonstrate predisposition beyond a reasonable doubt. </w:t>
      </w:r>
      <w:r>
        <w:rPr>
          <w:rFonts w:ascii="Times New Roman" w:hAnsi="Times New Roman"/>
          <w:i/>
          <w:color w:val="1f1f1f"/>
          <w:sz w:val="20"/>
        </w:rPr>
        <w:t>Id.</w:t>
      </w:r>
    </w:p>
    <w:p>
      <w:pPr>
        <w:spacing w:before="0" w:after="0" w:line="275" w:lineRule="atLeast"/>
        <w:jc w:val="both"/>
      </w:pPr>
      <w:r>
        <w:rPr>
          <w:rFonts w:ascii="Times New Roman" w:hAnsi="Times New Roman"/>
          <w:color w:val="1f1f1f"/>
          <w:sz w:val="20"/>
        </w:rPr>
        <w:t> </w:t>
      </w:r>
    </w:p>
    <w:bookmarkStart w:id="17" w:name="co_anchor_I062335216d4f11f0bfda9b9d9cca"/>
    <w:bookmarkStart w:id="18" w:name="co_anchor_I062335216d4f11f0bfda9b9d92"/>
    <w:p>
      <w:pPr>
        <w:pBdr>
          <w:left w:val="none" w:space="10"/>
        </w:pBdr>
        <w:spacing w:before="400" w:after="0" w:line="275" w:lineRule="atLeast"/>
        <w:ind w:left="200" w:right="0" w:firstLine="0"/>
      </w:pPr>
      <w:r>
        <w:rPr>
          <w:rFonts w:ascii="Times New Roman" w:hAnsi="Times New Roman"/>
          <w:b/>
          <w:color w:val="1f1f1f"/>
          <w:sz w:val="20"/>
        </w:rPr>
        <w:t>i. Paying for sex</w:t>
      </w:r>
    </w:p>
    <w:bookmarkEnd w:id="18"/>
    <w:bookmarkEnd w:id="17"/>
    <w:p>
      <w:pPr>
        <w:spacing w:before="0" w:after="0" w:line="275" w:lineRule="atLeast"/>
        <w:jc w:val="both"/>
      </w:pPr>
      <w:r>
        <w:rPr>
          <w:rFonts w:ascii="Times New Roman" w:hAnsi="Times New Roman"/>
          <w:color w:val="1f1f1f"/>
          <w:sz w:val="20"/>
        </w:rPr>
        <w:t>In considering whether Mr. Spradley was predisposed to pay for sex, the jury could rely on his trial testimony, messages, and lack of money when he drove to meet the girl.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Mr. Spradley testified that he</w:t>
      </w:r>
    </w:p>
    <w:p>
      <w:pPr>
        <w:spacing w:before="200" w:after="0" w:line="275" w:lineRule="atLeast"/>
        <w:ind w:left="400" w:right="0" w:hanging="200"/>
        <w:jc w:val="both"/>
      </w:pPr>
      <w:r>
        <w:rPr>
          <w:rFonts w:ascii="Times New Roman" w:hAnsi="Times New Roman"/>
          <w:color w:val="1f1f1f"/>
          <w:sz w:val="20"/>
        </w:rPr>
        <w:t>• had never paid for sex and</w:t>
      </w:r>
    </w:p>
    <w:p>
      <w:pPr>
        <w:spacing w:before="200" w:after="0" w:line="275" w:lineRule="atLeast"/>
        <w:ind w:left="400" w:right="0" w:hanging="200"/>
        <w:jc w:val="both"/>
      </w:pPr>
      <w:r>
        <w:rPr>
          <w:rFonts w:ascii="Times New Roman" w:hAnsi="Times New Roman"/>
          <w:color w:val="1f1f1f"/>
          <w:sz w:val="20"/>
        </w:rPr>
        <w:t>• had not intended to pay the fictitious girl for sex.</w:t>
      </w:r>
      <w:bookmarkStart w:id="19" w:name="co_fnRef_B00022057466007_ID0EBDAE_1"/>
      <w:hyperlink w:anchor="co_footnote_B00022057466007_1">
        <w:r>
          <w:rPr>
            <w:rFonts w:ascii="Times New Roman" w:hAnsi="Times New Roman"/>
            <w:color w:val="006fc4"/>
            <w:sz w:val="16"/>
            <w:vertAlign w:val="superscript"/>
          </w:rPr>
          <w:t>2</w:t>
        </w:r>
      </w:hyperlink>
      <w:bookmarkEnd w:id="19"/>
    </w:p>
    <w:p>
      <w:pPr>
        <w:spacing w:before="200" w:after="0" w:line="275" w:lineRule="atLeast"/>
        <w:jc w:val="both"/>
      </w:pPr>
      <w:r>
        <w:rPr>
          <w:rFonts w:ascii="Times New Roman" w:hAnsi="Times New Roman"/>
          <w:color w:val="1f1f1f"/>
          <w:sz w:val="20"/>
        </w:rPr>
        <w:t>To counter that testimony, the government points to Mr. Spradley's response to the advertisement, where he stated that he would pay $500 for sex. But Mr. Spradley testified that he had offered the money because a coworker had suggested a response so outrageous that the other person would either decline to respond or “come back on the affirmative” if her message had been fake. R. vol. 3, at 391.</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government also points out that Mr. Spradley and the fictitious girl continued to text about the $500. But these texts virtually always included internet slang for joking: </w:t>
      </w:r>
      <w:r>
        <w:rPr>
          <w:rFonts w:ascii="Times New Roman" w:hAnsi="Times New Roman"/>
          <w:i/>
          <w:color w:val="1f1f1f"/>
          <w:sz w:val="20"/>
        </w:rPr>
        <w:t>lol</w:t>
      </w:r>
      <w:r>
        <w:rPr>
          <w:rFonts w:ascii="Times New Roman" w:hAnsi="Times New Roman"/>
          <w:color w:val="1f1f1f"/>
          <w:sz w:val="20"/>
        </w:rPr>
        <w:t xml:space="preserve">, </w:t>
      </w:r>
      <w:r>
        <w:rPr>
          <w:rFonts w:ascii="Times New Roman" w:hAnsi="Times New Roman"/>
          <w:i/>
          <w:color w:val="1f1f1f"/>
          <w:sz w:val="20"/>
        </w:rPr>
        <w:t>Lawlz</w:t>
      </w:r>
      <w:r>
        <w:rPr>
          <w:rFonts w:ascii="Times New Roman" w:hAnsi="Times New Roman"/>
          <w:color w:val="1f1f1f"/>
          <w:sz w:val="20"/>
        </w:rPr>
        <w:t>, or</w:t>
      </w:r>
    </w:p>
    <w:bookmarkStart w:id="20" w:name="co_anchor_I0614b6306d4f11f0bfda9b9d9cca"/>
    <w:p>
      <w:pPr>
        <w:spacing w:before="200" w:after="0" w:line="275" w:lineRule="atLeast"/>
        <w:ind w:left="0" w:right="0" w:hanging="1999800"/>
        <w:jc w:val="both"/>
      </w:pPr>
      <w:r>
        <w:rPr>
          <w:rFonts w:ascii="Times New Roman" w:hAnsi="Times New Roman"/>
          <w:color w:val="1f1f1f"/>
          <w:sz w:val="20"/>
        </w:rPr>
        <w:t>Tabular or graphic material set at this point is not displayable.</w:t>
      </w:r>
    </w:p>
    <w:bookmarkEnd w:id="20"/>
    <w:p>
      <w:pPr>
        <w:spacing w:before="0" w:after="0" w:line="275" w:lineRule="atLeast"/>
        <w:jc w:val="both"/>
      </w:pPr>
      <w:r>
        <w:rPr>
          <w:rFonts w:ascii="Times New Roman" w:hAnsi="Times New Roman"/>
          <w:i/>
          <w:color w:val="1f1f1f"/>
          <w:sz w:val="20"/>
        </w:rPr>
        <w:t>just playing</w:t>
      </w:r>
      <w:r>
        <w:rPr>
          <w:rFonts w:ascii="Times New Roman" w:hAnsi="Times New Roman"/>
          <w:color w:val="1f1f1f"/>
          <w:sz w:val="20"/>
        </w:rPr>
        <w:t>. This slang might have been meaningless, but it might also have indicated that Mr. Spradley regarded the continued talk about the $500 as a running joke.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addition, the government notes that Mr. Spradley said that he would bring $500 when they met. But when he traveled to meet the fictitious girl, he didn't have the money.</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Given the trial testimony, the messages, and the facts surrounding the trip, the jury could reasonably find that Mr. Spradley had lacked a predisposition to pay for sex. Of course, the jury might also have distrusted Mr. Spradley's trial testimony, downplaying his use of internet slang for jokes and concluding that he would have retrieved the $500 after meeting the girl. Viewing the evidence and reasonable inferences favorably to Mr. Spradley, however, a jury could reasonably have found no predisposition to pay for sex.</w:t>
      </w:r>
    </w:p>
    <w:p>
      <w:pPr>
        <w:spacing w:before="0" w:after="0" w:line="275" w:lineRule="atLeast"/>
        <w:jc w:val="both"/>
      </w:pPr>
      <w:r>
        <w:rPr>
          <w:rFonts w:ascii="Times New Roman" w:hAnsi="Times New Roman"/>
          <w:color w:val="1f1f1f"/>
          <w:sz w:val="20"/>
        </w:rPr>
        <w:t> </w:t>
      </w:r>
    </w:p>
    <w:bookmarkStart w:id="21" w:name="co_anchor_I0625a6216d4f11f0bfda9b9d9cca"/>
    <w:bookmarkStart w:id="22" w:name="co_anchor_I0625a6216d4f11f0bfda9b9d92"/>
    <w:p>
      <w:pPr>
        <w:pBdr>
          <w:left w:val="none" w:space="10"/>
        </w:pBdr>
        <w:spacing w:before="400" w:after="0" w:line="275" w:lineRule="atLeast"/>
        <w:ind w:left="200" w:right="0" w:firstLine="0"/>
      </w:pPr>
      <w:r>
        <w:rPr>
          <w:rFonts w:ascii="Times New Roman" w:hAnsi="Times New Roman"/>
          <w:b/>
          <w:color w:val="1f1f1f"/>
          <w:sz w:val="20"/>
        </w:rPr>
        <w:t>ii. Engaging in sex with someone younger than 18</w:t>
      </w:r>
    </w:p>
    <w:bookmarkEnd w:id="22"/>
    <w:bookmarkEnd w:id="21"/>
    <w:p>
      <w:pPr>
        <w:spacing w:before="0" w:after="0" w:line="275" w:lineRule="atLeast"/>
        <w:jc w:val="both"/>
      </w:pPr>
      <w:r>
        <w:rPr>
          <w:rFonts w:ascii="Times New Roman" w:hAnsi="Times New Roman"/>
          <w:color w:val="1f1f1f"/>
          <w:sz w:val="20"/>
        </w:rPr>
        <w:t>Even if Mr. Spradley had been predisposed to pay for sex, he could still satisfy this element of the defense if he lacked a predisposition to engage in sex with someone who was younger than 18.</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our view, a jury could reasonably find that Mr. Spradley wasn't predisposed to have sex with someone younger than 18. For this finding, the jury could reasonably rely on Mr. Spradley's trial testimony and his messages with the fictitious girl.</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23" w:name="co_pp_sp_999_3_1"/>
      <w:r>
        <w:rPr>
          <w:rFonts w:ascii="Times New Roman" w:hAnsi="Times New Roman"/>
          <w:b/>
          <w:color w:val="000000"/>
          <w:sz w:val="20"/>
        </w:rPr>
        <w:t>*3</w:t>
      </w:r>
      <w:bookmarkEnd w:id="23"/>
      <w:r>
        <w:rPr>
          <w:rFonts w:ascii="Times New Roman" w:hAnsi="Times New Roman"/>
          <w:color w:val="1f1f1f"/>
          <w:sz w:val="20"/>
        </w:rPr>
        <w:t xml:space="preserve"> Mr. Spradley testified that when the girl said she was only 17, he immediately regarded the ad as a fake:</w:t>
      </w:r>
    </w:p>
    <w:p>
      <w:pPr>
        <w:spacing w:before="200" w:after="0" w:line="275" w:lineRule="atLeast"/>
        <w:ind w:left="400" w:right="0" w:hanging="200"/>
        <w:jc w:val="both"/>
      </w:pPr>
      <w:r>
        <w:rPr>
          <w:rFonts w:ascii="Times New Roman" w:hAnsi="Times New Roman"/>
          <w:color w:val="1f1f1f"/>
          <w:sz w:val="20"/>
        </w:rPr>
        <w:t>Q. Did you believe she was 17?</w:t>
      </w:r>
    </w:p>
    <w:p>
      <w:pPr>
        <w:spacing w:before="200" w:after="0" w:line="275" w:lineRule="atLeast"/>
        <w:ind w:left="400" w:right="0" w:hanging="200"/>
        <w:jc w:val="both"/>
      </w:pPr>
      <w:r>
        <w:rPr>
          <w:rFonts w:ascii="Times New Roman" w:hAnsi="Times New Roman"/>
          <w:color w:val="1f1f1f"/>
          <w:sz w:val="20"/>
        </w:rPr>
        <w:t>A. No.</w:t>
      </w:r>
    </w:p>
    <w:p>
      <w:pPr>
        <w:spacing w:before="200" w:after="0" w:line="275" w:lineRule="atLeast"/>
        <w:ind w:left="400" w:right="0" w:hanging="200"/>
        <w:jc w:val="both"/>
      </w:pPr>
      <w:r>
        <w:rPr>
          <w:rFonts w:ascii="Times New Roman" w:hAnsi="Times New Roman"/>
          <w:color w:val="1f1f1f"/>
          <w:sz w:val="20"/>
        </w:rPr>
        <w:t>Q. Why did you not believe that she was accepting your offer?</w:t>
      </w:r>
    </w:p>
    <w:p>
      <w:pPr>
        <w:spacing w:before="200" w:after="0" w:line="275" w:lineRule="atLeast"/>
        <w:ind w:left="400" w:right="0" w:hanging="200"/>
        <w:jc w:val="both"/>
      </w:pPr>
      <w:r>
        <w:rPr>
          <w:rFonts w:ascii="Times New Roman" w:hAnsi="Times New Roman"/>
          <w:color w:val="1f1f1f"/>
          <w:sz w:val="20"/>
        </w:rPr>
        <w:t>A. On the face of the ad, when I saw that ad, it's been my experience that it's posted in the wrong place. It had a -- and I don't even know how to describe it, but I knew it was fake. And when I responded to it and they replied with -- almost immediately -- with an affirmative “sure, yeah,” it told me everything that I needed to know that the ad was fake.</w:t>
      </w:r>
    </w:p>
    <w:p>
      <w:pPr>
        <w:spacing w:before="200" w:after="0" w:line="275" w:lineRule="atLeast"/>
        <w:jc w:val="both"/>
      </w:pPr>
      <w:r>
        <w:rPr>
          <w:rFonts w:ascii="Times New Roman" w:hAnsi="Times New Roman"/>
          <w:color w:val="1f1f1f"/>
          <w:sz w:val="20"/>
        </w:rPr>
        <w:t xml:space="preserve">R. vol. 3, at 374. Mr. Spradley was then asked why he continued messaging. </w:t>
      </w:r>
      <w:r>
        <w:rPr>
          <w:rFonts w:ascii="Times New Roman" w:hAnsi="Times New Roman"/>
          <w:i/>
          <w:color w:val="1f1f1f"/>
          <w:sz w:val="20"/>
        </w:rPr>
        <w:t>Id.</w:t>
      </w:r>
      <w:r>
        <w:rPr>
          <w:rFonts w:ascii="Times New Roman" w:hAnsi="Times New Roman"/>
          <w:color w:val="1f1f1f"/>
          <w:sz w:val="20"/>
        </w:rPr>
        <w:t xml:space="preserve"> He responded that he had continued messaging to find out who the person was and why the person was lying:</w:t>
      </w:r>
    </w:p>
    <w:p>
      <w:pPr>
        <w:spacing w:before="200" w:after="0" w:line="275" w:lineRule="atLeast"/>
        <w:ind w:left="400" w:right="0" w:hanging="200"/>
        <w:jc w:val="both"/>
      </w:pPr>
      <w:r>
        <w:rPr>
          <w:rFonts w:ascii="Times New Roman" w:hAnsi="Times New Roman"/>
          <w:color w:val="1f1f1f"/>
          <w:sz w:val="20"/>
        </w:rPr>
        <w:t>Q. Okay. You're saying that the ad was fake. Question arises: Why did you persist?</w:t>
      </w:r>
    </w:p>
    <w:p>
      <w:pPr>
        <w:spacing w:before="200" w:after="0" w:line="275" w:lineRule="atLeast"/>
        <w:ind w:left="400" w:right="0" w:hanging="200"/>
        <w:jc w:val="both"/>
      </w:pPr>
      <w:r>
        <w:rPr>
          <w:rFonts w:ascii="Times New Roman" w:hAnsi="Times New Roman"/>
          <w:color w:val="1f1f1f"/>
          <w:sz w:val="20"/>
        </w:rPr>
        <w:t>A. Part of my OCT, and it's actually a strength in the IT field, is an obsession to follow through, to see things through the end. If you're troubleshooting a PC, find out why the problem occurred. If -- if you think you're being lied to or taken advantage of, find out who it is; find out why. Why are they lying to you?</w:t>
      </w:r>
    </w:p>
    <w:p>
      <w:pPr>
        <w:spacing w:before="200" w:after="0" w:line="275" w:lineRule="atLeast"/>
        <w:jc w:val="both"/>
      </w:pPr>
      <w:r>
        <w:rPr>
          <w:rFonts w:ascii="Times New Roman" w:hAnsi="Times New Roman"/>
          <w:i/>
          <w:color w:val="1f1f1f"/>
          <w:sz w:val="20"/>
        </w:rPr>
        <w:t>Id.</w:t>
      </w:r>
      <w:r>
        <w:rPr>
          <w:rFonts w:ascii="Times New Roman" w:hAnsi="Times New Roman"/>
          <w:color w:val="1f1f1f"/>
          <w:sz w:val="20"/>
        </w:rPr>
        <w:t xml:space="preserve"> Mr. Spradley added that he not only used the messages to identify the person and the reason for the lies, but also</w:t>
      </w:r>
    </w:p>
    <w:p>
      <w:pPr>
        <w:spacing w:before="200" w:after="0" w:line="275" w:lineRule="atLeast"/>
        <w:ind w:left="400" w:right="0" w:hanging="200"/>
        <w:jc w:val="both"/>
      </w:pPr>
      <w:r>
        <w:rPr>
          <w:rFonts w:ascii="Times New Roman" w:hAnsi="Times New Roman"/>
          <w:color w:val="1f1f1f"/>
          <w:sz w:val="20"/>
        </w:rPr>
        <w:t>• tried to trace the person's IP address,</w:t>
      </w:r>
    </w:p>
    <w:p>
      <w:pPr>
        <w:spacing w:before="200" w:after="0" w:line="275" w:lineRule="atLeast"/>
        <w:ind w:left="400" w:right="0" w:hanging="200"/>
        <w:jc w:val="both"/>
      </w:pPr>
      <w:r>
        <w:rPr>
          <w:rFonts w:ascii="Times New Roman" w:hAnsi="Times New Roman"/>
          <w:color w:val="1f1f1f"/>
          <w:sz w:val="20"/>
        </w:rPr>
        <w:t>• insisted on a telephone call in order to find clues about the person's reasons for lying, and</w:t>
      </w:r>
    </w:p>
    <w:p>
      <w:pPr>
        <w:spacing w:before="200" w:after="0" w:line="275" w:lineRule="atLeast"/>
        <w:ind w:left="400" w:right="0" w:hanging="200"/>
        <w:jc w:val="both"/>
      </w:pPr>
      <w:r>
        <w:rPr>
          <w:rFonts w:ascii="Times New Roman" w:hAnsi="Times New Roman"/>
          <w:color w:val="1f1f1f"/>
          <w:sz w:val="20"/>
        </w:rPr>
        <w:t>• learned that the metadata on the girl's photo had been altered.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jury could have credited Mr. Spradley's testimony based on the messages themselves. In these messages, Mr. Spradley asked again and again for a chance to talk on the telephone. The fictitious girl disregarded several of these requests, which could have fostered Mr. Spradley's skepticism about what the person had been saying.</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Mr. Spradley also asked for a photo and received it minutes after the fictitious girl had said that she was seventeen:</w:t>
      </w:r>
    </w:p>
    <w:p>
      <w:pPr>
        <w:spacing w:before="0" w:after="0" w:line="275" w:lineRule="atLeast"/>
        <w:jc w:val="both"/>
      </w:pPr>
      <w:r>
        <w:rPr>
          <w:rFonts w:ascii="Times New Roman" w:hAnsi="Times New Roman"/>
          <w:color w:val="1f1f1f"/>
          <w:sz w:val="20"/>
        </w:rPr>
        <w:t> </w:t>
      </w:r>
    </w:p>
    <w:bookmarkStart w:id="24" w:name="co_anchor_I0614b6326d4f11f0bfda9b9d9cca"/>
    <w:p>
      <w:pPr>
        <w:spacing w:before="200" w:after="0" w:line="275" w:lineRule="atLeast"/>
        <w:ind w:left="0" w:right="0" w:hanging="1999800"/>
        <w:jc w:val="both"/>
      </w:pPr>
      <w:r>
        <w:rPr>
          <w:rFonts w:ascii="Times New Roman" w:hAnsi="Times New Roman"/>
          <w:color w:val="1f1f1f"/>
          <w:sz w:val="20"/>
        </w:rPr>
        <w:t>Tabular or graphic material set at this point is not displayable.</w:t>
      </w:r>
    </w:p>
    <w:bookmarkEnd w:id="24"/>
    <w:p>
      <w:pPr>
        <w:spacing w:before="200" w:after="0" w:line="275" w:lineRule="atLeast"/>
        <w:jc w:val="both"/>
      </w:pPr>
      <w:r>
        <w:rPr>
          <w:rFonts w:ascii="Times New Roman" w:hAnsi="Times New Roman"/>
          <w:color w:val="1f1f1f"/>
          <w:sz w:val="20"/>
        </w:rPr>
        <w:t>Supp. R. vol. 1, at 13. The photo was actually a female officer in her 30s. From the photo, Mr. Spradley could reasonably infer that he had been right to doubt the person's truthfulness when she said she was 17 years old.</w:t>
      </w:r>
    </w:p>
    <w:p>
      <w:pPr>
        <w:spacing w:before="0" w:after="0" w:line="275" w:lineRule="atLeast"/>
        <w:jc w:val="both"/>
      </w:pPr>
      <w:r>
        <w:rPr>
          <w:rFonts w:ascii="Times New Roman" w:hAnsi="Times New Roman"/>
          <w:color w:val="1f1f1f"/>
          <w:sz w:val="20"/>
        </w:rPr>
        <w:t>Granted, the jury might have disbelieved Mr. Spradley's testimony. But a reasonable jury could have credited Mr. Spradley's testimony and supporting evidence to find that he lacked a predisposition to have sex with someone younger than 18.</w:t>
      </w:r>
    </w:p>
    <w:p>
      <w:pPr>
        <w:spacing w:before="0" w:after="0" w:line="275" w:lineRule="atLeast"/>
        <w:jc w:val="both"/>
      </w:pPr>
      <w:r>
        <w:rPr>
          <w:rFonts w:ascii="Times New Roman" w:hAnsi="Times New Roman"/>
          <w:color w:val="1f1f1f"/>
          <w:sz w:val="20"/>
        </w:rPr>
        <w:t> </w:t>
      </w:r>
    </w:p>
    <w:bookmarkStart w:id="25" w:name="co_anchor_I062928916d4f11f0bfda9b9d9cca"/>
    <w:bookmarkStart w:id="26" w:name="co_anchor_I062928916d4f11f0bfda9b9d92"/>
    <w:p>
      <w:pPr>
        <w:pBdr>
          <w:left w:val="none" w:space="10"/>
        </w:pBdr>
        <w:spacing w:before="400" w:after="0" w:line="275" w:lineRule="atLeast"/>
        <w:ind w:left="200" w:right="0" w:firstLine="0"/>
      </w:pPr>
      <w:r>
        <w:rPr>
          <w:rFonts w:ascii="Times New Roman" w:hAnsi="Times New Roman"/>
          <w:b/>
          <w:color w:val="1f1f1f"/>
          <w:sz w:val="20"/>
        </w:rPr>
        <w:t>c. Inducement</w:t>
      </w:r>
    </w:p>
    <w:bookmarkEnd w:id="26"/>
    <w:bookmarkEnd w:id="25"/>
    <w:p>
      <w:pPr>
        <w:spacing w:before="0" w:after="0" w:line="275" w:lineRule="atLeast"/>
        <w:jc w:val="both"/>
      </w:pPr>
      <w:r>
        <w:rPr>
          <w:rFonts w:ascii="Times New Roman" w:hAnsi="Times New Roman"/>
          <w:color w:val="1f1f1f"/>
          <w:sz w:val="20"/>
        </w:rPr>
        <w:t xml:space="preserve">Entrapment also requires </w:t>
      </w:r>
      <w:r>
        <w:rPr>
          <w:rFonts w:ascii="Times New Roman" w:hAnsi="Times New Roman"/>
          <w:i/>
          <w:color w:val="1f1f1f"/>
          <w:sz w:val="20"/>
        </w:rPr>
        <w:t>inducement</w:t>
      </w:r>
      <w:r>
        <w:rPr>
          <w:rFonts w:ascii="Times New Roman" w:hAnsi="Times New Roman"/>
          <w:color w:val="1f1f1f"/>
          <w:sz w:val="20"/>
        </w:rPr>
        <w:t xml:space="preserve">, which is governmental conduct creating “a substantial risk that an undisposed person or otherwise law-abiding citizen would commit the offense.” </w:t>
      </w:r>
      <w:hyperlink r:id="r26">
        <w:r>
          <w:rPr>
            <w:rFonts w:ascii="Times New Roman" w:hAnsi="Times New Roman"/>
            <w:i/>
            <w:color w:val="006fc4"/>
            <w:sz w:val="20"/>
          </w:rPr>
          <w:t>United States v. Ortiz</w:t>
        </w:r>
        <w:r>
          <w:rPr>
            <w:rFonts w:ascii="Times New Roman" w:hAnsi="Times New Roman"/>
            <w:color w:val="006fc4"/>
            <w:sz w:val="20"/>
          </w:rPr>
          <w:t>, 804 F.2d 1161, 1165 (10th Cir. 1986)</w:t>
        </w:r>
      </w:hyperlink>
      <w:r>
        <w:rPr>
          <w:rFonts w:ascii="Times New Roman" w:hAnsi="Times New Roman"/>
          <w:color w:val="1f1f1f"/>
          <w:sz w:val="20"/>
        </w:rPr>
        <w:t xml:space="preserve">. </w:t>
      </w:r>
      <w:r>
        <w:rPr>
          <w:rFonts w:ascii="Times New Roman" w:hAnsi="Times New Roman"/>
          <w:i/>
          <w:color w:val="1f1f1f"/>
          <w:sz w:val="20"/>
        </w:rPr>
        <w:t>Inducement</w:t>
      </w:r>
      <w:r>
        <w:rPr>
          <w:rFonts w:ascii="Times New Roman" w:hAnsi="Times New Roman"/>
          <w:color w:val="1f1f1f"/>
          <w:sz w:val="20"/>
        </w:rPr>
        <w:t xml:space="preserve"> can consist of persuasion or false promises of companionship. </w:t>
      </w:r>
      <w:r>
        <w:rPr>
          <w:rFonts w:ascii="Times New Roman" w:hAnsi="Times New Roman"/>
          <w:i/>
          <w:color w:val="1f1f1f"/>
          <w:sz w:val="20"/>
        </w:rPr>
        <w:t>Id.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our view, a reasonable jury could find that the deputy sheriff had recognized Mr. Spradley's loneliness and exploited it, enticing him to drive to Kansas in order to fulfill his fantasy of a romantic relationship. For example, the jury could infer deception to exploit Mr. Spradley's loneliness. </w:t>
      </w:r>
      <w:r>
        <w:rPr>
          <w:rFonts w:ascii="Times New Roman" w:hAnsi="Times New Roman"/>
          <w:i/>
          <w:color w:val="1f1f1f"/>
          <w:sz w:val="20"/>
        </w:rPr>
        <w:t>See</w:t>
      </w:r>
      <w:r>
        <w:rPr>
          <w:rFonts w:ascii="Times New Roman" w:hAnsi="Times New Roman"/>
          <w:color w:val="1f1f1f"/>
          <w:sz w:val="20"/>
        </w:rPr>
        <w:t xml:space="preserve"> </w:t>
      </w:r>
      <w:hyperlink r:id="r27">
        <w:r>
          <w:rPr>
            <w:rFonts w:ascii="Times New Roman" w:hAnsi="Times New Roman"/>
            <w:i/>
            <w:color w:val="006fc4"/>
            <w:sz w:val="20"/>
          </w:rPr>
          <w:t>United States v. Shinderman</w:t>
        </w:r>
        <w:r>
          <w:rPr>
            <w:rFonts w:ascii="Times New Roman" w:hAnsi="Times New Roman"/>
            <w:color w:val="006fc4"/>
            <w:sz w:val="20"/>
          </w:rPr>
          <w:t>, 515 F.3d 5, 15 (1st Cir. 2008)</w:t>
        </w:r>
      </w:hyperlink>
      <w:r>
        <w:rPr>
          <w:rFonts w:ascii="Times New Roman" w:hAnsi="Times New Roman"/>
          <w:color w:val="1f1f1f"/>
          <w:sz w:val="20"/>
        </w:rPr>
        <w:t xml:space="preserve"> (stating that inducement can consist of deception designed to prey on a defendant's weakness); </w:t>
      </w:r>
      <w:hyperlink r:id="r28">
        <w:r>
          <w:rPr>
            <w:rFonts w:ascii="Times New Roman" w:hAnsi="Times New Roman"/>
            <w:i/>
            <w:color w:val="006fc4"/>
            <w:sz w:val="20"/>
          </w:rPr>
          <w:t>United States v. Plowman</w:t>
        </w:r>
        <w:r>
          <w:rPr>
            <w:rFonts w:ascii="Times New Roman" w:hAnsi="Times New Roman"/>
            <w:color w:val="006fc4"/>
            <w:sz w:val="20"/>
          </w:rPr>
          <w:t>, 700 F.3d 1052, 1059 (7th Cir. 2012)</w:t>
        </w:r>
      </w:hyperlink>
      <w:r>
        <w:rPr>
          <w:rFonts w:ascii="Times New Roman" w:hAnsi="Times New Roman"/>
          <w:color w:val="1f1f1f"/>
          <w:sz w:val="20"/>
        </w:rPr>
        <w:t xml:space="preserve"> (“We recognize that inducement can occur when a government agent preys on a defendant's emotional weaknesses.”); </w:t>
      </w:r>
      <w:r>
        <w:rPr>
          <w:rFonts w:ascii="Times New Roman" w:hAnsi="Times New Roman"/>
          <w:i/>
          <w:color w:val="1f1f1f"/>
          <w:sz w:val="20"/>
        </w:rPr>
        <w:t>see also</w:t>
      </w:r>
      <w:r>
        <w:rPr>
          <w:rFonts w:ascii="Times New Roman" w:hAnsi="Times New Roman"/>
          <w:color w:val="1f1f1f"/>
          <w:sz w:val="20"/>
        </w:rPr>
        <w:t xml:space="preserve"> </w:t>
      </w:r>
      <w:hyperlink r:id="r29">
        <w:r>
          <w:rPr>
            <w:rFonts w:ascii="Times New Roman" w:hAnsi="Times New Roman"/>
            <w:i/>
            <w:color w:val="006fc4"/>
            <w:sz w:val="20"/>
          </w:rPr>
          <w:t>United States v. Theagene</w:t>
        </w:r>
        <w:r>
          <w:rPr>
            <w:rFonts w:ascii="Times New Roman" w:hAnsi="Times New Roman"/>
            <w:color w:val="006fc4"/>
            <w:sz w:val="20"/>
          </w:rPr>
          <w:t>, 565 F.3d 911, 922 (5th Cir. 2009)</w:t>
        </w:r>
      </w:hyperlink>
      <w:r>
        <w:rPr>
          <w:rFonts w:ascii="Times New Roman" w:hAnsi="Times New Roman"/>
          <w:color w:val="1f1f1f"/>
          <w:sz w:val="20"/>
        </w:rPr>
        <w:t xml:space="preserve"> (recognizing that “courts have identified inducement when government agents ... take ‘actions designed specifically to take advantage of the defendant's weaknesses’ ” (quoting </w:t>
      </w:r>
      <w:hyperlink r:id="r30">
        <w:r>
          <w:rPr>
            <w:rFonts w:ascii="Times New Roman" w:hAnsi="Times New Roman"/>
            <w:i/>
            <w:color w:val="006fc4"/>
            <w:sz w:val="20"/>
          </w:rPr>
          <w:t>United States v. Gutierrez</w:t>
        </w:r>
        <w:r>
          <w:rPr>
            <w:rFonts w:ascii="Times New Roman" w:hAnsi="Times New Roman"/>
            <w:color w:val="006fc4"/>
            <w:sz w:val="20"/>
          </w:rPr>
          <w:t>, 343 F.3d 415, 420 (5th Cir. 2003)</w:t>
        </w:r>
      </w:hyperlink>
      <w:r>
        <w:rPr>
          <w:rFonts w:ascii="Times New Roman" w:hAnsi="Times New Roman"/>
          <w:color w:val="1f1f1f"/>
          <w:sz w:val="20"/>
        </w:rPr>
        <w:t xml:space="preserve">)); </w:t>
      </w:r>
      <w:hyperlink r:id="r31">
        <w:r>
          <w:rPr>
            <w:rFonts w:ascii="Times New Roman" w:hAnsi="Times New Roman"/>
            <w:i/>
            <w:color w:val="006fc4"/>
            <w:sz w:val="20"/>
          </w:rPr>
          <w:t>United States v. Poehlman</w:t>
        </w:r>
        <w:r>
          <w:rPr>
            <w:rFonts w:ascii="Times New Roman" w:hAnsi="Times New Roman"/>
            <w:color w:val="006fc4"/>
            <w:sz w:val="20"/>
          </w:rPr>
          <w:t>, 217 F.3d 692, 698–99 (9th Cir. 2000)</w:t>
        </w:r>
      </w:hyperlink>
      <w:r>
        <w:rPr>
          <w:rFonts w:ascii="Times New Roman" w:hAnsi="Times New Roman"/>
          <w:color w:val="1f1f1f"/>
          <w:sz w:val="20"/>
        </w:rPr>
        <w:t xml:space="preserve"> (concluding that the jury could find inducement based on the government agents’ use of friendship, sympathy, and psychological pressure over a defendant seeking a long-term relationship).</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27" w:name="co_pp_sp_999_4_1"/>
      <w:r>
        <w:rPr>
          <w:rFonts w:ascii="Times New Roman" w:hAnsi="Times New Roman"/>
          <w:b/>
          <w:color w:val="000000"/>
          <w:sz w:val="20"/>
        </w:rPr>
        <w:t>*4</w:t>
      </w:r>
      <w:bookmarkEnd w:id="27"/>
      <w:r>
        <w:rPr>
          <w:rFonts w:ascii="Times New Roman" w:hAnsi="Times New Roman"/>
          <w:color w:val="1f1f1f"/>
          <w:sz w:val="20"/>
        </w:rPr>
        <w:t xml:space="preserve"> A reasonable jury could have regarded Mr. Spradley as lonely based on his testimony and his messages. For example, he testified that he had been lonely and messaged the fictitious girl, saying that</w:t>
      </w:r>
    </w:p>
    <w:p>
      <w:pPr>
        <w:spacing w:before="200" w:after="0" w:line="275" w:lineRule="atLeast"/>
        <w:ind w:left="400" w:right="0" w:hanging="200"/>
        <w:jc w:val="both"/>
      </w:pPr>
      <w:r>
        <w:rPr>
          <w:rFonts w:ascii="Times New Roman" w:hAnsi="Times New Roman"/>
          <w:color w:val="1f1f1f"/>
          <w:sz w:val="20"/>
        </w:rPr>
        <w:t>• “[b]eing single sucks” and</w:t>
      </w:r>
    </w:p>
    <w:p>
      <w:pPr>
        <w:spacing w:before="200" w:after="0" w:line="275" w:lineRule="atLeast"/>
        <w:ind w:left="400" w:right="0" w:hanging="200"/>
        <w:jc w:val="both"/>
      </w:pPr>
      <w:r>
        <w:rPr>
          <w:rFonts w:ascii="Times New Roman" w:hAnsi="Times New Roman"/>
          <w:color w:val="1f1f1f"/>
          <w:sz w:val="20"/>
        </w:rPr>
        <w:t>• he missed “having someone to do things with.”</w:t>
      </w:r>
    </w:p>
    <w:p>
      <w:pPr>
        <w:spacing w:before="200" w:after="0" w:line="275" w:lineRule="atLeast"/>
        <w:jc w:val="both"/>
      </w:pPr>
      <w:r>
        <w:rPr>
          <w:rFonts w:ascii="Times New Roman" w:hAnsi="Times New Roman"/>
          <w:color w:val="1f1f1f"/>
          <w:sz w:val="20"/>
        </w:rPr>
        <w:t xml:space="preserve">Supp. R. vol. 1, at 15, 20. Given the testimony and the messages, the jury could reasonably find that Mr. Spradley had acted out of loneliness. </w:t>
      </w:r>
      <w:r>
        <w:rPr>
          <w:rFonts w:ascii="Times New Roman" w:hAnsi="Times New Roman"/>
          <w:i/>
          <w:color w:val="1f1f1f"/>
          <w:sz w:val="20"/>
        </w:rPr>
        <w:t>See</w:t>
      </w:r>
      <w:r>
        <w:rPr>
          <w:rFonts w:ascii="Times New Roman" w:hAnsi="Times New Roman"/>
          <w:color w:val="1f1f1f"/>
          <w:sz w:val="20"/>
        </w:rPr>
        <w:t xml:space="preserve"> </w:t>
      </w:r>
      <w:hyperlink r:id="r32">
        <w:r>
          <w:rPr>
            <w:rFonts w:ascii="Times New Roman" w:hAnsi="Times New Roman"/>
            <w:i/>
            <w:color w:val="006fc4"/>
            <w:sz w:val="20"/>
          </w:rPr>
          <w:t>United States v. Poehlman</w:t>
        </w:r>
        <w:r>
          <w:rPr>
            <w:rFonts w:ascii="Times New Roman" w:hAnsi="Times New Roman"/>
            <w:color w:val="006fc4"/>
            <w:sz w:val="20"/>
          </w:rPr>
          <w:t>, 217 F.3d 692, 695, 702 (9th Cir. 2000)</w:t>
        </w:r>
      </w:hyperlink>
      <w:r>
        <w:rPr>
          <w:rFonts w:ascii="Times New Roman" w:hAnsi="Times New Roman"/>
          <w:color w:val="1f1f1f"/>
          <w:sz w:val="20"/>
        </w:rPr>
        <w:t xml:space="preserve"> (concluding that a jury could find inducement based on the government's exploitation of a “lonely and depressed” person's “obvious need for an adult relationship”).</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jury could also reasonably find that the deputy sheriff had exploited Mr. Spradley by appealing to his desire for a romantic relationship. For this finding, the jury could point to the deputy sheriff's messages, which disclosed intimate details about the fictitious girl's life, suggesting her receptiveness to Mr. Spradley's expressions of loneliness and desire for a girlfriend. For example, the fictitious girl</w:t>
      </w:r>
    </w:p>
    <w:p>
      <w:pPr>
        <w:spacing w:before="200" w:after="0" w:line="275" w:lineRule="atLeast"/>
        <w:ind w:left="400" w:right="0" w:hanging="200"/>
        <w:jc w:val="both"/>
      </w:pPr>
      <w:r>
        <w:rPr>
          <w:rFonts w:ascii="Times New Roman" w:hAnsi="Times New Roman"/>
          <w:color w:val="1f1f1f"/>
          <w:sz w:val="20"/>
        </w:rPr>
        <w:t>• shared that she had been raised by a single mother,</w:t>
      </w:r>
    </w:p>
    <w:p>
      <w:pPr>
        <w:spacing w:before="200" w:after="0" w:line="275" w:lineRule="atLeast"/>
        <w:ind w:left="400" w:right="0" w:hanging="200"/>
        <w:jc w:val="both"/>
      </w:pPr>
      <w:r>
        <w:rPr>
          <w:rFonts w:ascii="Times New Roman" w:hAnsi="Times New Roman"/>
          <w:color w:val="1f1f1f"/>
          <w:sz w:val="20"/>
        </w:rPr>
        <w:t>• discussed food and movies,</w:t>
      </w:r>
    </w:p>
    <w:p>
      <w:pPr>
        <w:spacing w:before="200" w:after="0" w:line="275" w:lineRule="atLeast"/>
        <w:ind w:left="400" w:right="0" w:hanging="200"/>
        <w:jc w:val="both"/>
      </w:pPr>
      <w:r>
        <w:rPr>
          <w:rFonts w:ascii="Times New Roman" w:hAnsi="Times New Roman"/>
          <w:color w:val="1f1f1f"/>
          <w:sz w:val="20"/>
        </w:rPr>
        <w:t>• discussed marijuana preferences,</w:t>
      </w:r>
    </w:p>
    <w:p>
      <w:pPr>
        <w:spacing w:before="200" w:after="0" w:line="275" w:lineRule="atLeast"/>
        <w:ind w:left="400" w:right="0" w:hanging="200"/>
        <w:jc w:val="both"/>
      </w:pPr>
      <w:r>
        <w:rPr>
          <w:rFonts w:ascii="Times New Roman" w:hAnsi="Times New Roman"/>
          <w:color w:val="1f1f1f"/>
          <w:sz w:val="20"/>
        </w:rPr>
        <w:t>• disclosed her middle name and asked Mr. Spradley what his middle name was,</w:t>
      </w:r>
    </w:p>
    <w:p>
      <w:pPr>
        <w:spacing w:before="200" w:after="0" w:line="275" w:lineRule="atLeast"/>
        <w:ind w:left="400" w:right="0" w:hanging="200"/>
        <w:jc w:val="both"/>
      </w:pPr>
      <w:r>
        <w:rPr>
          <w:rFonts w:ascii="Times New Roman" w:hAnsi="Times New Roman"/>
          <w:color w:val="1f1f1f"/>
          <w:sz w:val="20"/>
        </w:rPr>
        <w:t>• shared her birthday month, and</w:t>
      </w:r>
    </w:p>
    <w:p>
      <w:pPr>
        <w:spacing w:before="200" w:after="0" w:line="275" w:lineRule="atLeast"/>
        <w:ind w:left="400" w:right="0" w:hanging="200"/>
        <w:jc w:val="both"/>
      </w:pPr>
      <w:r>
        <w:rPr>
          <w:rFonts w:ascii="Times New Roman" w:hAnsi="Times New Roman"/>
          <w:color w:val="1f1f1f"/>
          <w:sz w:val="20"/>
        </w:rPr>
        <w:t>• asked Mr. Spradley about his pet bird.</w:t>
      </w:r>
    </w:p>
    <w:p>
      <w:pPr>
        <w:spacing w:before="200" w:after="0" w:line="275" w:lineRule="atLeast"/>
        <w:jc w:val="both"/>
      </w:pPr>
      <w:r>
        <w:rPr>
          <w:rFonts w:ascii="Times New Roman" w:hAnsi="Times New Roman"/>
          <w:color w:val="1f1f1f"/>
          <w:sz w:val="20"/>
        </w:rPr>
        <w:t>Mr. Spradley answered these questions and sometimes elaborated, suggesting that the fictitious girl's effort to build rapport had worked.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A reasonable jury could also find that the deputy sheriff had downplayed the harm of interaction by</w:t>
      </w:r>
    </w:p>
    <w:p>
      <w:pPr>
        <w:spacing w:before="200" w:after="0" w:line="275" w:lineRule="atLeast"/>
        <w:ind w:left="400" w:right="0" w:hanging="200"/>
        <w:jc w:val="both"/>
      </w:pPr>
      <w:r>
        <w:rPr>
          <w:rFonts w:ascii="Times New Roman" w:hAnsi="Times New Roman"/>
          <w:color w:val="1f1f1f"/>
          <w:sz w:val="20"/>
        </w:rPr>
        <w:t>• telling Mr. Spradley that the girl was nearly 18 and</w:t>
      </w:r>
    </w:p>
    <w:p>
      <w:pPr>
        <w:spacing w:before="200" w:after="0" w:line="275" w:lineRule="atLeast"/>
        <w:ind w:left="400" w:right="0" w:hanging="200"/>
        <w:jc w:val="both"/>
      </w:pPr>
      <w:r>
        <w:rPr>
          <w:rFonts w:ascii="Times New Roman" w:hAnsi="Times New Roman"/>
          <w:color w:val="1f1f1f"/>
          <w:sz w:val="20"/>
        </w:rPr>
        <w:t>• implying that she had sexual experience and would enjoy a sexual encounter.</w:t>
      </w:r>
    </w:p>
    <w:p>
      <w:pPr>
        <w:spacing w:before="200" w:after="0" w:line="275" w:lineRule="atLeast"/>
        <w:jc w:val="both"/>
      </w:pPr>
      <w:r>
        <w:rPr>
          <w:rFonts w:ascii="Times New Roman" w:hAnsi="Times New Roman"/>
          <w:i/>
          <w:color w:val="1f1f1f"/>
          <w:sz w:val="20"/>
        </w:rPr>
        <w:t>See</w:t>
      </w:r>
      <w:r>
        <w:rPr>
          <w:rFonts w:ascii="Times New Roman" w:hAnsi="Times New Roman"/>
          <w:color w:val="1f1f1f"/>
          <w:sz w:val="20"/>
        </w:rPr>
        <w:t xml:space="preserve"> </w:t>
      </w:r>
      <w:hyperlink r:id="r33">
        <w:r>
          <w:rPr>
            <w:rFonts w:ascii="Times New Roman" w:hAnsi="Times New Roman"/>
            <w:i/>
            <w:color w:val="006fc4"/>
            <w:sz w:val="20"/>
          </w:rPr>
          <w:t>United States v. Pérez-Rodríguez</w:t>
        </w:r>
        <w:r>
          <w:rPr>
            <w:rFonts w:ascii="Times New Roman" w:hAnsi="Times New Roman"/>
            <w:color w:val="006fc4"/>
            <w:sz w:val="20"/>
          </w:rPr>
          <w:t>, 13 F.4th 1, 20 (1st Cir. 2021)</w:t>
        </w:r>
      </w:hyperlink>
      <w:r>
        <w:rPr>
          <w:rFonts w:ascii="Times New Roman" w:hAnsi="Times New Roman"/>
          <w:color w:val="1f1f1f"/>
          <w:sz w:val="20"/>
        </w:rPr>
        <w:t xml:space="preserve"> (“[R]epeated suggestions ‘downplay[ing] the harm’ caused by child sexual abuse, or otherwise justifying it, can constitute a ‘plus factor’ which a jury may rely on to find improper inducement.”).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First, the deputy sheriff said that the girl was 17 years old and gave a birth date in August, meaning that she would turn 18 in just two months. Though the girl wasn't 18, she was above the age of legal consent for sex where she lived. </w:t>
      </w:r>
      <w:r>
        <w:rPr>
          <w:rFonts w:ascii="Times New Roman" w:hAnsi="Times New Roman"/>
          <w:i/>
          <w:color w:val="1f1f1f"/>
          <w:sz w:val="20"/>
        </w:rPr>
        <w:t>See</w:t>
      </w:r>
      <w:r>
        <w:rPr>
          <w:rFonts w:ascii="Times New Roman" w:hAnsi="Times New Roman"/>
          <w:color w:val="1f1f1f"/>
          <w:sz w:val="20"/>
        </w:rPr>
        <w:t xml:space="preserve"> </w:t>
      </w:r>
      <w:hyperlink r:id="r34">
        <w:r>
          <w:rPr>
            <w:rFonts w:ascii="Times New Roman" w:hAnsi="Times New Roman"/>
            <w:color w:val="006fc4"/>
            <w:sz w:val="20"/>
          </w:rPr>
          <w:t>Kan. Stat. Ann. § 21-5507</w:t>
        </w:r>
      </w:hyperlink>
      <w:r>
        <w:rPr>
          <w:rFonts w:ascii="Times New Roman" w:hAnsi="Times New Roman"/>
          <w:color w:val="1f1f1f"/>
          <w:sz w:val="20"/>
        </w:rPr>
        <w:t>. So non-commercial consensual sex with the girl would have been legal.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Second, the fictitious girl sent messages suggesting sexual experience, such as “standard rules” for sex. Supp. R. vol. 1, at 25. And when Mr. Spradley offered to spend the weekend “trading orgasms,” the fictitious girl asked “[w]hen can we do this,” implying familiarity with sex. </w:t>
      </w:r>
      <w:r>
        <w:rPr>
          <w:rFonts w:ascii="Times New Roman" w:hAnsi="Times New Roman"/>
          <w:i/>
          <w:color w:val="1f1f1f"/>
          <w:sz w:val="20"/>
        </w:rPr>
        <w:t>Id.</w:t>
      </w:r>
      <w:r>
        <w:rPr>
          <w:rFonts w:ascii="Times New Roman" w:hAnsi="Times New Roman"/>
          <w:color w:val="1f1f1f"/>
          <w:sz w:val="20"/>
        </w:rPr>
        <w:t xml:space="preserve"> at 5.</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After offering a relationship and suggesting that the girl was sexually experienced, the deputy sheriff needed Mr. Spradley to drive across the Kansas border in order to convict him of a federal crime.</w:t>
      </w:r>
      <w:bookmarkStart w:id="28" w:name="co_fnRef_B00032057466007_ID0EX2AE_1"/>
      <w:hyperlink w:anchor="co_footnote_B00032057466007_1">
        <w:r>
          <w:rPr>
            <w:rFonts w:ascii="Times New Roman" w:hAnsi="Times New Roman"/>
            <w:color w:val="006fc4"/>
            <w:sz w:val="16"/>
            <w:vertAlign w:val="superscript"/>
          </w:rPr>
          <w:t>3</w:t>
        </w:r>
      </w:hyperlink>
      <w:bookmarkEnd w:id="28"/>
      <w:r>
        <w:rPr>
          <w:rFonts w:ascii="Times New Roman" w:hAnsi="Times New Roman"/>
          <w:color w:val="1f1f1f"/>
          <w:sz w:val="20"/>
        </w:rPr>
        <w:t xml:space="preserve"> So the fictitious girl asked Mr. Spradley to visit her in Kansas.</w:t>
      </w:r>
      <w:bookmarkStart w:id="29" w:name="co_fnRef_B00042057466007_ID0EB3AE_1"/>
      <w:hyperlink w:anchor="co_footnote_B00042057466007_1">
        <w:r>
          <w:rPr>
            <w:rFonts w:ascii="Times New Roman" w:hAnsi="Times New Roman"/>
            <w:color w:val="006fc4"/>
            <w:sz w:val="16"/>
            <w:vertAlign w:val="superscript"/>
          </w:rPr>
          <w:t>4</w:t>
        </w:r>
      </w:hyperlink>
      <w:bookmarkEnd w:id="29"/>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30" w:name="co_pp_sp_999_5_1"/>
      <w:r>
        <w:rPr>
          <w:rFonts w:ascii="Times New Roman" w:hAnsi="Times New Roman"/>
          <w:b/>
          <w:color w:val="000000"/>
          <w:sz w:val="20"/>
        </w:rPr>
        <w:t>*5</w:t>
      </w:r>
      <w:bookmarkEnd w:id="30"/>
      <w:r>
        <w:rPr>
          <w:rFonts w:ascii="Times New Roman" w:hAnsi="Times New Roman"/>
          <w:color w:val="1f1f1f"/>
          <w:sz w:val="20"/>
        </w:rPr>
        <w:t xml:space="preserve"> But before Mr. Spradley would make the drive, he wanted to talk to whoever was messaging him. So Mr. Spradley asked the person to talk on the phone; however, the fictitious girl declined. Mr. Spradley asked again; she again declined. This process repeated itself until the deputy sheriff determined that Mr. Spradley would likely need to hear “a female voice” before making the drive. R. vol. 3, at 238, 313. Only then did a female officer call, pretending to be the girl messaging with Mr. Spradley. After this call, Mr. Spradley made the drive from Missouri to Kansas.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jury could reasonably find inducement, attributing Mr. Spradley's acquiescence to the deputy sheriff's exploitation of a lonely man searching for companionship and intimacy.</w:t>
      </w:r>
    </w:p>
    <w:p>
      <w:pPr>
        <w:spacing w:before="0" w:after="0" w:line="275" w:lineRule="atLeast"/>
        <w:jc w:val="both"/>
      </w:pPr>
      <w:r>
        <w:rPr>
          <w:rFonts w:ascii="Times New Roman" w:hAnsi="Times New Roman"/>
          <w:color w:val="1f1f1f"/>
          <w:sz w:val="20"/>
        </w:rPr>
        <w:t> </w:t>
      </w:r>
    </w:p>
    <w:bookmarkStart w:id="31" w:name="co_anchor_I06307b916d4f11f0bfda9b9d9cca"/>
    <w:bookmarkStart w:id="32" w:name="co_anchor_I06307b916d4f11f0bfda9b9d92"/>
    <w:p>
      <w:pPr>
        <w:spacing w:before="400" w:after="0" w:line="275" w:lineRule="atLeast"/>
      </w:pPr>
      <w:r>
        <w:rPr>
          <w:rFonts w:ascii="Times New Roman" w:hAnsi="Times New Roman"/>
          <w:b/>
          <w:color w:val="1f1f1f"/>
          <w:sz w:val="20"/>
        </w:rPr>
        <w:t>3. We shouldn't affirm based on the dissent's theory that Mr. Spradley could have “backed out.”</w:t>
      </w:r>
    </w:p>
    <w:bookmarkEnd w:id="32"/>
    <w:bookmarkEnd w:id="31"/>
    <w:p>
      <w:pPr>
        <w:spacing w:before="0" w:after="0" w:line="275" w:lineRule="atLeast"/>
        <w:jc w:val="both"/>
      </w:pPr>
      <w:r>
        <w:rPr>
          <w:rFonts w:ascii="Times New Roman" w:hAnsi="Times New Roman"/>
          <w:color w:val="1f1f1f"/>
          <w:sz w:val="20"/>
        </w:rPr>
        <w:t>The dissent contends that the jury couldn't have found entrapment because Mr. Spradley had a chance to “back out” when the fictitious girl asked if her age posed a problem. This contention is new.</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Unlike the dissent, the government hasn't</w:t>
      </w:r>
    </w:p>
    <w:p>
      <w:pPr>
        <w:spacing w:before="200" w:after="0" w:line="275" w:lineRule="atLeast"/>
        <w:ind w:left="400" w:right="0" w:hanging="200"/>
        <w:jc w:val="both"/>
      </w:pPr>
      <w:r>
        <w:rPr>
          <w:rFonts w:ascii="Times New Roman" w:hAnsi="Times New Roman"/>
          <w:color w:val="1f1f1f"/>
          <w:sz w:val="20"/>
        </w:rPr>
        <w:t>• characterized the fictitious girl's disclosure of her age as an opportunity for Mr. Spradley to “back out” or</w:t>
      </w:r>
    </w:p>
    <w:p>
      <w:pPr>
        <w:spacing w:before="200" w:after="0" w:line="275" w:lineRule="atLeast"/>
        <w:ind w:left="400" w:right="0" w:hanging="200"/>
        <w:jc w:val="both"/>
      </w:pPr>
      <w:r>
        <w:rPr>
          <w:rFonts w:ascii="Times New Roman" w:hAnsi="Times New Roman"/>
          <w:color w:val="1f1f1f"/>
          <w:sz w:val="20"/>
        </w:rPr>
        <w:t>• argued that the chance to “back out” would have foreclosed a finding of entrapment.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dissent resists characterization of its position as “new,” calling it an “application of governing law” on the issue of inducement. Dissent at 10. But this position is new regardless of the dissent's characterization as an application of law to the broader issue of inducement. After all, the government doesn't refer to a chance to “back out” or argue that this chance would alone prevent an instruction on entrapment.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dissent disagrees, interpreting the government's appeal brief as arguing that an instruction on entrapment was unnecessary because Mr. Spradley had turned down a chance to back out. </w:t>
      </w:r>
      <w:r>
        <w:rPr>
          <w:rFonts w:ascii="Times New Roman" w:hAnsi="Times New Roman"/>
          <w:i/>
          <w:color w:val="1f1f1f"/>
          <w:sz w:val="20"/>
        </w:rPr>
        <w:t>Id.</w:t>
      </w:r>
      <w:r>
        <w:rPr>
          <w:rFonts w:ascii="Times New Roman" w:hAnsi="Times New Roman"/>
          <w:color w:val="1f1f1f"/>
          <w:sz w:val="20"/>
        </w:rPr>
        <w:t xml:space="preserve"> at 8–9. For this interpretation, the dissent relies on several sentences pointing out that Mr. Spradley continued to message the fictitious girl after she had said she was seventeen. </w:t>
      </w:r>
      <w:r>
        <w:rPr>
          <w:rFonts w:ascii="Times New Roman" w:hAnsi="Times New Roman"/>
          <w:i/>
          <w:color w:val="1f1f1f"/>
          <w:sz w:val="20"/>
        </w:rPr>
        <w:t>Id.</w:t>
      </w:r>
      <w:r>
        <w:rPr>
          <w:rFonts w:ascii="Times New Roman" w:hAnsi="Times New Roman"/>
          <w:color w:val="1f1f1f"/>
          <w:sz w:val="20"/>
        </w:rPr>
        <w:t xml:space="preserve"> Of course, the jury could consider Mr. Spradley's continued messaging in connection with an entrapment defense; no one suggests otherwise. But the dissent goes an additional step, arguing that a chance to back out—in itself—would prevent a finding of inducement irrespective of any other factors. The government never made this argument.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dissent also relies on two parts of a motion in limine in district court. </w:t>
      </w:r>
      <w:r>
        <w:rPr>
          <w:rFonts w:ascii="Times New Roman" w:hAnsi="Times New Roman"/>
          <w:i/>
          <w:color w:val="1f1f1f"/>
          <w:sz w:val="20"/>
        </w:rPr>
        <w:t>Id.</w:t>
      </w:r>
      <w:r>
        <w:rPr>
          <w:rFonts w:ascii="Times New Roman" w:hAnsi="Times New Roman"/>
          <w:color w:val="1f1f1f"/>
          <w:sz w:val="20"/>
        </w:rPr>
        <w:t xml:space="preserve"> at 9. But we focus on the parties’ arguments here rather than in district court. </w:t>
      </w:r>
      <w:r>
        <w:rPr>
          <w:rFonts w:ascii="Times New Roman" w:hAnsi="Times New Roman"/>
          <w:i/>
          <w:color w:val="1f1f1f"/>
          <w:sz w:val="20"/>
        </w:rPr>
        <w:t>See</w:t>
      </w:r>
      <w:r>
        <w:rPr>
          <w:rFonts w:ascii="Times New Roman" w:hAnsi="Times New Roman"/>
          <w:color w:val="1f1f1f"/>
          <w:sz w:val="20"/>
        </w:rPr>
        <w:t xml:space="preserve"> </w:t>
      </w:r>
      <w:hyperlink r:id="r35">
        <w:r>
          <w:rPr>
            <w:rFonts w:ascii="Times New Roman" w:hAnsi="Times New Roman"/>
            <w:i/>
            <w:color w:val="006fc4"/>
            <w:sz w:val="20"/>
          </w:rPr>
          <w:t>Safeway Stores 46 Inc. v. WY Plaza LC</w:t>
        </w:r>
        <w:r>
          <w:rPr>
            <w:rFonts w:ascii="Times New Roman" w:hAnsi="Times New Roman"/>
            <w:color w:val="006fc4"/>
            <w:sz w:val="20"/>
          </w:rPr>
          <w:t>, 65 F.4th 474, 496 (10th Cir. 2023)</w:t>
        </w:r>
      </w:hyperlink>
      <w:r>
        <w:rPr>
          <w:rFonts w:ascii="Times New Roman" w:hAnsi="Times New Roman"/>
          <w:color w:val="1f1f1f"/>
          <w:sz w:val="20"/>
        </w:rPr>
        <w:t xml:space="preserve"> (restricting consideration of arguments to affirm on alternative grounds to those arguments that the appellee presented on appeal rather than in district court).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Given the government's failure to argue that the chance to back out was alone fatal to an entrapment defense, “we follow the principle of party presentation.” </w:t>
      </w:r>
      <w:hyperlink r:id="r36">
        <w:r>
          <w:rPr>
            <w:rFonts w:ascii="Times New Roman" w:hAnsi="Times New Roman"/>
            <w:i/>
            <w:color w:val="006fc4"/>
            <w:sz w:val="20"/>
          </w:rPr>
          <w:t>United States v. Sineneng-Smith</w:t>
        </w:r>
        <w:r>
          <w:rPr>
            <w:rFonts w:ascii="Times New Roman" w:hAnsi="Times New Roman"/>
            <w:color w:val="006fc4"/>
            <w:sz w:val="20"/>
          </w:rPr>
          <w:t>, 590 U.S. 371, 375 (2020)</w:t>
        </w:r>
      </w:hyperlink>
      <w:r>
        <w:rPr>
          <w:rFonts w:ascii="Times New Roman" w:hAnsi="Times New Roman"/>
          <w:color w:val="1f1f1f"/>
          <w:sz w:val="20"/>
        </w:rPr>
        <w:t xml:space="preserve">. This principle counsels against “craft[ing] arguments sua sponte to affirm on alternate grounds” and reaffirms our role as neutral adjudicators of the parties’ arguments. </w:t>
      </w:r>
      <w:hyperlink r:id="r37">
        <w:r>
          <w:rPr>
            <w:rFonts w:ascii="Times New Roman" w:hAnsi="Times New Roman"/>
            <w:i/>
            <w:color w:val="006fc4"/>
            <w:sz w:val="20"/>
          </w:rPr>
          <w:t>United States v. Woodard</w:t>
        </w:r>
        <w:r>
          <w:rPr>
            <w:rFonts w:ascii="Times New Roman" w:hAnsi="Times New Roman"/>
            <w:color w:val="006fc4"/>
            <w:sz w:val="20"/>
          </w:rPr>
          <w:t>, 5 F.4th 1148, 1154 (10th Cir. 2021)</w:t>
        </w:r>
      </w:hyperlink>
      <w:r>
        <w:rPr>
          <w:rFonts w:ascii="Times New Roman" w:hAnsi="Times New Roman"/>
          <w:color w:val="1f1f1f"/>
          <w:sz w:val="20"/>
        </w:rPr>
        <w:t xml:space="preserve">. Given our role as neutral adjudicators, we ordinarily decline to affirm on a ground sua sponte when “the parties have not had an opportunity” to brief the issue. </w:t>
      </w:r>
      <w:hyperlink r:id="r38">
        <w:r>
          <w:rPr>
            <w:rFonts w:ascii="Times New Roman" w:hAnsi="Times New Roman"/>
            <w:i/>
            <w:color w:val="006fc4"/>
            <w:sz w:val="20"/>
          </w:rPr>
          <w:t>United States v. Chavez</w:t>
        </w:r>
        <w:r>
          <w:rPr>
            <w:rFonts w:ascii="Times New Roman" w:hAnsi="Times New Roman"/>
            <w:color w:val="006fc4"/>
            <w:sz w:val="20"/>
          </w:rPr>
          <w:t>, 976 F.3d 1178, 1203 n.17 (10th Cir. 2020)</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Granted, we can (1) independently state the law even when the parties share a misunderstanding, </w:t>
      </w:r>
      <w:hyperlink r:id="r39">
        <w:r>
          <w:rPr>
            <w:rFonts w:ascii="Times New Roman" w:hAnsi="Times New Roman"/>
            <w:i/>
            <w:color w:val="006fc4"/>
            <w:sz w:val="20"/>
          </w:rPr>
          <w:t>Kamen v. Kemper Fin. Servs., Inc.</w:t>
        </w:r>
        <w:r>
          <w:rPr>
            <w:rFonts w:ascii="Times New Roman" w:hAnsi="Times New Roman"/>
            <w:color w:val="006fc4"/>
            <w:sz w:val="20"/>
          </w:rPr>
          <w:t>, 500 U.S. 90, 99 (1991)</w:t>
        </w:r>
      </w:hyperlink>
      <w:r>
        <w:rPr>
          <w:rFonts w:ascii="Times New Roman" w:hAnsi="Times New Roman"/>
          <w:color w:val="1f1f1f"/>
          <w:sz w:val="20"/>
        </w:rPr>
        <w:t xml:space="preserve">, and (2) affirm on alternative ground when the record is developed on a point of law, </w:t>
      </w:r>
      <w:hyperlink r:id="r40">
        <w:r>
          <w:rPr>
            <w:rFonts w:ascii="Times New Roman" w:hAnsi="Times New Roman"/>
            <w:i/>
            <w:color w:val="006fc4"/>
            <w:sz w:val="20"/>
          </w:rPr>
          <w:t>Elkins v. Comfort</w:t>
        </w:r>
        <w:r>
          <w:rPr>
            <w:rFonts w:ascii="Times New Roman" w:hAnsi="Times New Roman"/>
            <w:color w:val="006fc4"/>
            <w:sz w:val="20"/>
          </w:rPr>
          <w:t>, 392 F.3d 1159, 1162 (10th Cir. 2004)</w:t>
        </w:r>
      </w:hyperlink>
      <w:r>
        <w:rPr>
          <w:rFonts w:ascii="Times New Roman" w:hAnsi="Times New Roman"/>
          <w:color w:val="1f1f1f"/>
          <w:sz w:val="20"/>
        </w:rPr>
        <w:t xml:space="preserve">. So when a party presents an argument, we aren't constrained by the parties’ legal theories. </w:t>
      </w:r>
      <w:r>
        <w:rPr>
          <w:rFonts w:ascii="Times New Roman" w:hAnsi="Times New Roman"/>
          <w:i/>
          <w:color w:val="1f1f1f"/>
          <w:sz w:val="20"/>
        </w:rPr>
        <w:t>See</w:t>
      </w:r>
      <w:r>
        <w:rPr>
          <w:rFonts w:ascii="Times New Roman" w:hAnsi="Times New Roman"/>
          <w:color w:val="1f1f1f"/>
          <w:sz w:val="20"/>
        </w:rPr>
        <w:t xml:space="preserve"> </w:t>
      </w:r>
      <w:hyperlink r:id="r41">
        <w:r>
          <w:rPr>
            <w:rFonts w:ascii="Times New Roman" w:hAnsi="Times New Roman"/>
            <w:i/>
            <w:color w:val="006fc4"/>
            <w:sz w:val="20"/>
          </w:rPr>
          <w:t>Kamen</w:t>
        </w:r>
        <w:r>
          <w:rPr>
            <w:rFonts w:ascii="Times New Roman" w:hAnsi="Times New Roman"/>
            <w:color w:val="006fc4"/>
            <w:sz w:val="20"/>
          </w:rPr>
          <w:t>, 500 U.S. at 99</w:t>
        </w:r>
      </w:hyperlink>
      <w:r>
        <w:rPr>
          <w:rFonts w:ascii="Times New Roman" w:hAnsi="Times New Roman"/>
          <w:color w:val="1f1f1f"/>
          <w:sz w:val="20"/>
        </w:rPr>
        <w:t xml:space="preserve"> (“When an issue or claim is properly before the court,” the court can “identify and apply the proper construction of governing law.”). For example, we can sua sponte</w:t>
      </w:r>
    </w:p>
    <w:p>
      <w:pPr>
        <w:spacing w:before="200" w:after="0" w:line="275" w:lineRule="atLeast"/>
        <w:ind w:left="400" w:right="0" w:hanging="200"/>
        <w:jc w:val="both"/>
      </w:pPr>
      <w:bookmarkStart w:id="33" w:name="co_pp_sp_999_6_1"/>
      <w:r>
        <w:rPr>
          <w:rFonts w:ascii="Times New Roman" w:hAnsi="Times New Roman"/>
          <w:b/>
          <w:color w:val="000000"/>
          <w:sz w:val="20"/>
        </w:rPr>
        <w:t>*6</w:t>
      </w:r>
      <w:bookmarkEnd w:id="33"/>
      <w:r>
        <w:rPr>
          <w:rFonts w:ascii="Times New Roman" w:hAnsi="Times New Roman"/>
          <w:color w:val="1f1f1f"/>
          <w:sz w:val="20"/>
        </w:rPr>
        <w:t xml:space="preserve"> • arrive at our own interpretation of a statute even when the parties share a different understanding, </w:t>
      </w:r>
      <w:hyperlink r:id="r42">
        <w:r>
          <w:rPr>
            <w:rFonts w:ascii="Times New Roman" w:hAnsi="Times New Roman"/>
            <w:i/>
            <w:color w:val="006fc4"/>
            <w:sz w:val="20"/>
          </w:rPr>
          <w:t>Oklahoma v. United States Dep't of Health &amp; Hum. Servs.</w:t>
        </w:r>
        <w:r>
          <w:rPr>
            <w:rFonts w:ascii="Times New Roman" w:hAnsi="Times New Roman"/>
            <w:color w:val="006fc4"/>
            <w:sz w:val="20"/>
          </w:rPr>
          <w:t>, 107 F.4th 1209, 1222 n.11 (10th Cir. 2024)</w:t>
        </w:r>
      </w:hyperlink>
      <w:r>
        <w:rPr>
          <w:rFonts w:ascii="Times New Roman" w:hAnsi="Times New Roman"/>
          <w:color w:val="1f1f1f"/>
          <w:sz w:val="20"/>
        </w:rPr>
        <w:t xml:space="preserve"> (stating that “we must independently interpret the [applicable] statutory phrase irrespective of the parties’ positions”), </w:t>
      </w:r>
      <w:r>
        <w:rPr>
          <w:rFonts w:ascii="Times New Roman" w:hAnsi="Times New Roman"/>
          <w:i/>
          <w:color w:val="1f1f1f"/>
          <w:sz w:val="20"/>
        </w:rPr>
        <w:t>cert. granted, judgment vacated on other grounds sub nom.</w:t>
      </w:r>
      <w:r>
        <w:rPr>
          <w:rFonts w:ascii="Times New Roman" w:hAnsi="Times New Roman"/>
          <w:color w:val="1f1f1f"/>
          <w:sz w:val="20"/>
        </w:rPr>
        <w:t xml:space="preserve"> </w:t>
      </w:r>
      <w:hyperlink r:id="r43">
        <w:r>
          <w:rPr>
            <w:rFonts w:ascii="Times New Roman" w:hAnsi="Times New Roman"/>
            <w:i/>
            <w:color w:val="006fc4"/>
            <w:sz w:val="20"/>
          </w:rPr>
          <w:t>Oklahoma v. Dep't of Health &amp; Hum. Servs.</w:t>
        </w:r>
        <w:r>
          <w:rPr>
            <w:rFonts w:ascii="Times New Roman" w:hAnsi="Times New Roman"/>
            <w:color w:val="006fc4"/>
            <w:sz w:val="20"/>
          </w:rPr>
          <w:t>, No. 24-437, 2025 WL 1787685 (U.S. June 30, 2025)</w:t>
        </w:r>
      </w:hyperlink>
      <w:r>
        <w:rPr>
          <w:rFonts w:ascii="Times New Roman" w:hAnsi="Times New Roman"/>
          <w:color w:val="1f1f1f"/>
          <w:sz w:val="20"/>
        </w:rPr>
        <w:t xml:space="preserve">; </w:t>
      </w:r>
      <w:hyperlink r:id="r44">
        <w:r>
          <w:rPr>
            <w:rFonts w:ascii="Times New Roman" w:hAnsi="Times New Roman"/>
            <w:i/>
            <w:color w:val="006fc4"/>
            <w:sz w:val="20"/>
          </w:rPr>
          <w:t>WWC Holding Co. v. Sopkin</w:t>
        </w:r>
        <w:r>
          <w:rPr>
            <w:rFonts w:ascii="Times New Roman" w:hAnsi="Times New Roman"/>
            <w:color w:val="006fc4"/>
            <w:sz w:val="20"/>
          </w:rPr>
          <w:t>, 488 F.3d 1262, 1276 n.10 (10th Cir. 2007)</w:t>
        </w:r>
      </w:hyperlink>
      <w:r>
        <w:rPr>
          <w:rFonts w:ascii="Times New Roman" w:hAnsi="Times New Roman"/>
          <w:color w:val="1f1f1f"/>
          <w:sz w:val="20"/>
        </w:rPr>
        <w:t xml:space="preserve"> (“[W]e are not limited to the parties’ positions on what a statute means, because we review a question of statutory construction de novo.”),</w:t>
      </w:r>
    </w:p>
    <w:p>
      <w:pPr>
        <w:spacing w:before="200" w:after="0" w:line="275" w:lineRule="atLeast"/>
        <w:ind w:left="400" w:right="0" w:hanging="200"/>
        <w:jc w:val="both"/>
      </w:pPr>
      <w:r>
        <w:rPr>
          <w:rFonts w:ascii="Times New Roman" w:hAnsi="Times New Roman"/>
          <w:color w:val="1f1f1f"/>
          <w:sz w:val="20"/>
        </w:rPr>
        <w:t xml:space="preserve">• characterize a contract as ambiguous even when the parties regard the meaning as clear, </w:t>
      </w:r>
      <w:hyperlink r:id="r45">
        <w:r>
          <w:rPr>
            <w:rFonts w:ascii="Times New Roman" w:hAnsi="Times New Roman"/>
            <w:i/>
            <w:color w:val="006fc4"/>
            <w:sz w:val="20"/>
          </w:rPr>
          <w:t>United States v. Cortez-Nieto</w:t>
        </w:r>
        <w:r>
          <w:rPr>
            <w:rFonts w:ascii="Times New Roman" w:hAnsi="Times New Roman"/>
            <w:color w:val="006fc4"/>
            <w:sz w:val="20"/>
          </w:rPr>
          <w:t>, 43 F.4th 1034, 1052 (10th Cir. 2022)</w:t>
        </w:r>
      </w:hyperlink>
      <w:r>
        <w:rPr>
          <w:rFonts w:ascii="Times New Roman" w:hAnsi="Times New Roman"/>
          <w:color w:val="1f1f1f"/>
          <w:sz w:val="20"/>
        </w:rPr>
        <w:t>,</w:t>
      </w:r>
      <w:bookmarkStart w:id="34" w:name="co_fnRef_B00052057466007_ID0EGMAG_1"/>
      <w:hyperlink w:anchor="co_footnote_B00052057466007_1">
        <w:r>
          <w:rPr>
            <w:rFonts w:ascii="Times New Roman" w:hAnsi="Times New Roman"/>
            <w:color w:val="006fc4"/>
            <w:sz w:val="16"/>
            <w:vertAlign w:val="superscript"/>
          </w:rPr>
          <w:t>5</w:t>
        </w:r>
      </w:hyperlink>
      <w:bookmarkEnd w:id="34"/>
      <w:r>
        <w:rPr>
          <w:rFonts w:ascii="Times New Roman" w:hAnsi="Times New Roman"/>
          <w:color w:val="1f1f1f"/>
          <w:sz w:val="20"/>
        </w:rPr>
        <w:t xml:space="preserve"> or</w:t>
      </w:r>
    </w:p>
    <w:p>
      <w:pPr>
        <w:spacing w:before="200" w:after="0" w:line="275" w:lineRule="atLeast"/>
        <w:ind w:left="400" w:right="0" w:hanging="200"/>
        <w:jc w:val="both"/>
      </w:pPr>
      <w:r>
        <w:rPr>
          <w:rFonts w:ascii="Times New Roman" w:hAnsi="Times New Roman"/>
          <w:color w:val="1f1f1f"/>
          <w:sz w:val="20"/>
        </w:rPr>
        <w:t xml:space="preserve">• define the standard of review even when the parties share a different understanding of the standard, </w:t>
      </w:r>
      <w:hyperlink r:id="r46">
        <w:r>
          <w:rPr>
            <w:rFonts w:ascii="Times New Roman" w:hAnsi="Times New Roman"/>
            <w:i/>
            <w:color w:val="006fc4"/>
            <w:sz w:val="20"/>
          </w:rPr>
          <w:t>United States v. Garcia</w:t>
        </w:r>
        <w:r>
          <w:rPr>
            <w:rFonts w:ascii="Times New Roman" w:hAnsi="Times New Roman"/>
            <w:color w:val="006fc4"/>
            <w:sz w:val="20"/>
          </w:rPr>
          <w:t>, 74 F.4th 1073, 1094 (10th Cir. 2023)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this case, however, the dissent isn't suggesting that the parties are wrong about the law. Instead, the dissent is making a new argument that Mr. Spradley can't assert entrapment because he declined to back out when the fictitious girl said she was 17.</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For new arguments, we have discretion to affirm on any ground supported by the record. </w:t>
      </w:r>
      <w:hyperlink r:id="r47">
        <w:r>
          <w:rPr>
            <w:rFonts w:ascii="Times New Roman" w:hAnsi="Times New Roman"/>
            <w:i/>
            <w:color w:val="006fc4"/>
            <w:sz w:val="20"/>
          </w:rPr>
          <w:t>Richison v. Ernest Grp., Inc.</w:t>
        </w:r>
        <w:r>
          <w:rPr>
            <w:rFonts w:ascii="Times New Roman" w:hAnsi="Times New Roman"/>
            <w:color w:val="006fc4"/>
            <w:sz w:val="20"/>
          </w:rPr>
          <w:t>, 634 F.3d 1123, 1130 (10th Cir. 2011)</w:t>
        </w:r>
      </w:hyperlink>
      <w:r>
        <w:rPr>
          <w:rFonts w:ascii="Times New Roman" w:hAnsi="Times New Roman"/>
          <w:color w:val="1f1f1f"/>
          <w:sz w:val="20"/>
        </w:rPr>
        <w:t>. But when deciding whether to exercise that discretion, we consider whether</w:t>
      </w:r>
    </w:p>
    <w:p>
      <w:pPr>
        <w:spacing w:before="200" w:after="0" w:line="275" w:lineRule="atLeast"/>
        <w:ind w:left="400" w:right="0" w:hanging="200"/>
        <w:jc w:val="both"/>
      </w:pPr>
      <w:r>
        <w:rPr>
          <w:rFonts w:ascii="Times New Roman" w:hAnsi="Times New Roman"/>
          <w:color w:val="1f1f1f"/>
          <w:sz w:val="20"/>
        </w:rPr>
        <w:t>• the alternative theory was briefed,</w:t>
      </w:r>
    </w:p>
    <w:p>
      <w:pPr>
        <w:spacing w:before="200" w:after="0" w:line="275" w:lineRule="atLeast"/>
        <w:ind w:left="400" w:right="0" w:hanging="200"/>
        <w:jc w:val="both"/>
      </w:pPr>
      <w:r>
        <w:rPr>
          <w:rFonts w:ascii="Times New Roman" w:hAnsi="Times New Roman"/>
          <w:color w:val="1f1f1f"/>
          <w:sz w:val="20"/>
        </w:rPr>
        <w:t>• the parties had an opportunity to develop the factual record, and</w:t>
      </w:r>
    </w:p>
    <w:p>
      <w:pPr>
        <w:spacing w:before="200" w:after="0" w:line="275" w:lineRule="atLeast"/>
        <w:ind w:left="400" w:right="0" w:hanging="200"/>
        <w:jc w:val="both"/>
      </w:pPr>
      <w:r>
        <w:rPr>
          <w:rFonts w:ascii="Times New Roman" w:hAnsi="Times New Roman"/>
          <w:color w:val="1f1f1f"/>
          <w:sz w:val="20"/>
        </w:rPr>
        <w:t>• the question presented is one of law or fact.</w:t>
      </w:r>
    </w:p>
    <w:p>
      <w:pPr>
        <w:spacing w:before="200" w:after="0" w:line="275" w:lineRule="atLeast"/>
        <w:jc w:val="both"/>
      </w:pPr>
      <w:hyperlink r:id="r48">
        <w:r>
          <w:rPr>
            <w:rFonts w:ascii="Times New Roman" w:hAnsi="Times New Roman"/>
            <w:i/>
            <w:color w:val="006fc4"/>
            <w:sz w:val="20"/>
          </w:rPr>
          <w:t>Elkins v. Comfort</w:t>
        </w:r>
        <w:r>
          <w:rPr>
            <w:rFonts w:ascii="Times New Roman" w:hAnsi="Times New Roman"/>
            <w:color w:val="006fc4"/>
            <w:sz w:val="20"/>
          </w:rPr>
          <w:t>, 392 F.3d 1159, 1162 (10th Cir. 2004)</w:t>
        </w:r>
      </w:hyperlink>
      <w:r>
        <w:rPr>
          <w:rFonts w:ascii="Times New Roman" w:hAnsi="Times New Roman"/>
          <w:color w:val="1f1f1f"/>
          <w:sz w:val="20"/>
        </w:rPr>
        <w:t>. Here, however, the government hasn't argued that Mr. Spradley's chance to back out would alone prevent a defense of entrapment. And given the absence of such an argument, the parties haven't pointed to a record on the issue.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government could have argued, as the dissent does, that Mr. Spradley can't assert entrapment based solely on his failure to “back out” when the fictitious girl said she was seventeen. If the government had urged affirmance on this ground, Mr. Spradley might have countered with other appellate arguments. But even without any appellate argument on the issue, the record contains testimony that Mr. Spradley didn't believe the fictitious girl when she said she was seventeen.</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Spradley's skepticism is supported by his actions. Those actions did involve continued messaging, as the dissent points out. But Mr. Spradley also insisted on a photo, researched the metadata on the eventual photo, determined that it had been heavily altered, and insisted on a phone call. </w:t>
      </w:r>
      <w:r>
        <w:rPr>
          <w:rFonts w:ascii="Times New Roman" w:hAnsi="Times New Roman"/>
          <w:i/>
          <w:color w:val="1f1f1f"/>
          <w:sz w:val="20"/>
        </w:rPr>
        <w:t>See</w:t>
      </w:r>
      <w:r>
        <w:rPr>
          <w:rFonts w:ascii="Times New Roman" w:hAnsi="Times New Roman"/>
          <w:color w:val="1f1f1f"/>
          <w:sz w:val="20"/>
        </w:rPr>
        <w:t xml:space="preserve"> pp. 7–10, above. From Mr. Spradley's testimony and his actions, a reasonable jury could find that Mr. Spradley hadn't believed that the fictitious girl was under 18. </w:t>
      </w:r>
      <w:r>
        <w:rPr>
          <w:rFonts w:ascii="Times New Roman" w:hAnsi="Times New Roman"/>
          <w:i/>
          <w:color w:val="1f1f1f"/>
          <w:sz w:val="20"/>
        </w:rPr>
        <w:t>Id.</w:t>
      </w:r>
      <w:r>
        <w:rPr>
          <w:rFonts w:ascii="Times New Roman" w:hAnsi="Times New Roman"/>
          <w:color w:val="1f1f1f"/>
          <w:sz w:val="20"/>
        </w:rPr>
        <w:t xml:space="preserve"> And if Mr. Spradley didn't believe that he was messaging with a 17-year-old girl, as he testified, he would have had no reason to “back out” when the fictitious girl asked if her age would create a problem.</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35" w:name="co_pp_sp_999_7_1"/>
      <w:r>
        <w:rPr>
          <w:rFonts w:ascii="Times New Roman" w:hAnsi="Times New Roman"/>
          <w:b/>
          <w:color w:val="000000"/>
          <w:sz w:val="20"/>
        </w:rPr>
        <w:t>*7</w:t>
      </w:r>
      <w:bookmarkEnd w:id="35"/>
      <w:r>
        <w:rPr>
          <w:rFonts w:ascii="Times New Roman" w:hAnsi="Times New Roman"/>
          <w:color w:val="1f1f1f"/>
          <w:sz w:val="20"/>
        </w:rPr>
        <w:t xml:space="preserve"> Of course, the jury ultimately found that Mr. Spradley had believed that the fictitious girl was 17 by the time that he drove to Kansas. By that time, however, the law-enforcement officer had sent multiple messages, which the jury could interpret as efforts to develop a rapport with Mr. Spradley and to loosen his resistance. </w:t>
      </w:r>
      <w:r>
        <w:rPr>
          <w:rFonts w:ascii="Times New Roman" w:hAnsi="Times New Roman"/>
          <w:i/>
          <w:color w:val="1f1f1f"/>
          <w:sz w:val="20"/>
        </w:rPr>
        <w:t>See</w:t>
      </w:r>
      <w:r>
        <w:rPr>
          <w:rFonts w:ascii="Times New Roman" w:hAnsi="Times New Roman"/>
          <w:color w:val="1f1f1f"/>
          <w:sz w:val="20"/>
        </w:rPr>
        <w:t xml:space="preserve"> pp. 10–11, above. But the dissent's theory of a chance to back out involves Mr. Spradley's belief when the fictitious girl said she was 17—not when Mr. Spradley later made the drive to Kansas.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Even if the issue were otherwise suitable for us to consider, we would typically affirm on a new ground only if the disposition were clear. </w:t>
      </w:r>
      <w:r>
        <w:rPr>
          <w:rFonts w:ascii="Times New Roman" w:hAnsi="Times New Roman"/>
          <w:i/>
          <w:color w:val="1f1f1f"/>
          <w:sz w:val="20"/>
        </w:rPr>
        <w:t>See</w:t>
      </w:r>
      <w:r>
        <w:rPr>
          <w:rFonts w:ascii="Times New Roman" w:hAnsi="Times New Roman"/>
          <w:color w:val="1f1f1f"/>
          <w:sz w:val="20"/>
        </w:rPr>
        <w:t xml:space="preserve"> </w:t>
      </w:r>
      <w:hyperlink r:id="r49">
        <w:r>
          <w:rPr>
            <w:rFonts w:ascii="Times New Roman" w:hAnsi="Times New Roman"/>
            <w:i/>
            <w:color w:val="006fc4"/>
            <w:sz w:val="20"/>
          </w:rPr>
          <w:t>Griffith v. El Paso Cnty.</w:t>
        </w:r>
        <w:r>
          <w:rPr>
            <w:rFonts w:ascii="Times New Roman" w:hAnsi="Times New Roman"/>
            <w:color w:val="006fc4"/>
            <w:sz w:val="20"/>
          </w:rPr>
          <w:t>, 129 F.4th 790, 816 (10th Cir. 2025)</w:t>
        </w:r>
      </w:hyperlink>
      <w:r>
        <w:rPr>
          <w:rFonts w:ascii="Times New Roman" w:hAnsi="Times New Roman"/>
          <w:color w:val="1f1f1f"/>
          <w:sz w:val="20"/>
        </w:rPr>
        <w:t xml:space="preserve"> (declining to affirm on an unpresented argument because the outcome would be “unclear” “at best”); </w:t>
      </w:r>
      <w:hyperlink r:id="r50">
        <w:r>
          <w:rPr>
            <w:rFonts w:ascii="Times New Roman" w:hAnsi="Times New Roman"/>
            <w:i/>
            <w:color w:val="006fc4"/>
            <w:sz w:val="20"/>
          </w:rPr>
          <w:t>Ave. Cap. Mgmt. II, L.P. v. Schaden</w:t>
        </w:r>
        <w:r>
          <w:rPr>
            <w:rFonts w:ascii="Times New Roman" w:hAnsi="Times New Roman"/>
            <w:color w:val="006fc4"/>
            <w:sz w:val="20"/>
          </w:rPr>
          <w:t>, 843 F.3d 876, 886 (10th Cir. 2016)</w:t>
        </w:r>
      </w:hyperlink>
      <w:r>
        <w:rPr>
          <w:rFonts w:ascii="Times New Roman" w:hAnsi="Times New Roman"/>
          <w:color w:val="1f1f1f"/>
          <w:sz w:val="20"/>
        </w:rPr>
        <w:t xml:space="preserve"> (“[E]ven for matters of law, we decline to consider newly presented legal arguments unless the proper legal disposition is beyond reasonable doubt.”); </w:t>
      </w:r>
      <w:hyperlink r:id="r51">
        <w:r>
          <w:rPr>
            <w:rFonts w:ascii="Times New Roman" w:hAnsi="Times New Roman"/>
            <w:i/>
            <w:color w:val="006fc4"/>
            <w:sz w:val="20"/>
          </w:rPr>
          <w:t>United States v. Lyons</w:t>
        </w:r>
        <w:r>
          <w:rPr>
            <w:rFonts w:ascii="Times New Roman" w:hAnsi="Times New Roman"/>
            <w:color w:val="006fc4"/>
            <w:sz w:val="20"/>
          </w:rPr>
          <w:t>, 510 F.3d 1225, 1238 (10th Cir. 2007)</w:t>
        </w:r>
      </w:hyperlink>
      <w:r>
        <w:rPr>
          <w:rFonts w:ascii="Times New Roman" w:hAnsi="Times New Roman"/>
          <w:color w:val="1f1f1f"/>
          <w:sz w:val="20"/>
        </w:rPr>
        <w:t xml:space="preserve"> (“Our discretion allows us to determine an issue raised for the first time on appeal if it is a pure matter of law and its proper resolution is certain.”). If we were to entertain the dissent's theory, its applicability here would be unclear.</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Granted, we have not required an entrapment instruction when the government argued that the defendant (1) had believed that he was communicating with an underage girl and (2) had turned down a chance to “back out.” For example, these arguments appeared in </w:t>
      </w:r>
      <w:hyperlink r:id="r52">
        <w:r>
          <w:rPr>
            <w:rFonts w:ascii="Times New Roman" w:hAnsi="Times New Roman"/>
            <w:i/>
            <w:color w:val="006fc4"/>
            <w:sz w:val="20"/>
          </w:rPr>
          <w:t>United States v. Robinson</w:t>
        </w:r>
        <w:r>
          <w:rPr>
            <w:rFonts w:ascii="Times New Roman" w:hAnsi="Times New Roman"/>
            <w:color w:val="006fc4"/>
            <w:sz w:val="20"/>
          </w:rPr>
          <w:t>, 993 F.3d 839 (10th Cir. 2021)</w:t>
        </w:r>
      </w:hyperlink>
      <w:r>
        <w:rPr>
          <w:rFonts w:ascii="Times New Roman" w:hAnsi="Times New Roman"/>
          <w:color w:val="1f1f1f"/>
          <w:sz w:val="20"/>
        </w:rPr>
        <w:t xml:space="preserve">, and </w:t>
      </w:r>
      <w:hyperlink r:id="r53">
        <w:r>
          <w:rPr>
            <w:rFonts w:ascii="Times New Roman" w:hAnsi="Times New Roman"/>
            <w:i/>
            <w:color w:val="006fc4"/>
            <w:sz w:val="20"/>
          </w:rPr>
          <w:t>United States v. Munro</w:t>
        </w:r>
        <w:r>
          <w:rPr>
            <w:rFonts w:ascii="Times New Roman" w:hAnsi="Times New Roman"/>
            <w:color w:val="006fc4"/>
            <w:sz w:val="20"/>
          </w:rPr>
          <w:t>, 394 F.3d 865 (10th Cir. 2005)</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w:t>
      </w:r>
      <w:r>
        <w:rPr>
          <w:rFonts w:ascii="Times New Roman" w:hAnsi="Times New Roman"/>
          <w:i/>
          <w:color w:val="1f1f1f"/>
          <w:sz w:val="20"/>
        </w:rPr>
        <w:t>Robinson</w:t>
      </w:r>
      <w:r>
        <w:rPr>
          <w:rFonts w:ascii="Times New Roman" w:hAnsi="Times New Roman"/>
          <w:color w:val="1f1f1f"/>
          <w:sz w:val="20"/>
        </w:rPr>
        <w:t xml:space="preserve">, a law-enforcement officer posed as a 17-year-old girl. </w:t>
      </w:r>
      <w:hyperlink r:id="r54">
        <w:r>
          <w:rPr>
            <w:rFonts w:ascii="Times New Roman" w:hAnsi="Times New Roman"/>
            <w:color w:val="006fc4"/>
            <w:sz w:val="20"/>
          </w:rPr>
          <w:t>993 F.3d at 845</w:t>
        </w:r>
      </w:hyperlink>
      <w:r>
        <w:rPr>
          <w:rFonts w:ascii="Times New Roman" w:hAnsi="Times New Roman"/>
          <w:color w:val="1f1f1f"/>
          <w:sz w:val="20"/>
        </w:rPr>
        <w:t xml:space="preserve">. But the defendant never suggested that he had questioned whether he was communicating with a 17-year-old girl. Instead, he testified only that he was “hesitant to proceed” upon learning that the girl was only 17. </w:t>
      </w:r>
      <w:r>
        <w:rPr>
          <w:rFonts w:ascii="Times New Roman" w:hAnsi="Times New Roman"/>
          <w:i/>
          <w:color w:val="1f1f1f"/>
          <w:sz w:val="20"/>
        </w:rPr>
        <w:t>Id.</w:t>
      </w:r>
      <w:r>
        <w:rPr>
          <w:rFonts w:ascii="Times New Roman" w:hAnsi="Times New Roman"/>
          <w:color w:val="1f1f1f"/>
          <w:sz w:val="20"/>
        </w:rPr>
        <w:t xml:space="preserve"> We concluded that rather than back out, the defendant “caused the relationship to progress” by making plans to get a fake ID, asking the fictitious girl to delete messages, and buying her a bus ticket. </w:t>
      </w:r>
      <w:hyperlink r:id="r55">
        <w:r>
          <w:rPr>
            <w:rFonts w:ascii="Times New Roman" w:hAnsi="Times New Roman"/>
            <w:i/>
            <w:color w:val="006fc4"/>
            <w:sz w:val="20"/>
          </w:rPr>
          <w:t>Id.</w:t>
        </w:r>
        <w:r>
          <w:rPr>
            <w:rFonts w:ascii="Times New Roman" w:hAnsi="Times New Roman"/>
            <w:color w:val="006fc4"/>
            <w:sz w:val="20"/>
          </w:rPr>
          <w:t xml:space="preserve"> at 847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Similarly, </w:t>
      </w:r>
      <w:r>
        <w:rPr>
          <w:rFonts w:ascii="Times New Roman" w:hAnsi="Times New Roman"/>
          <w:i/>
          <w:color w:val="1f1f1f"/>
          <w:sz w:val="20"/>
        </w:rPr>
        <w:t>Munro</w:t>
      </w:r>
      <w:r>
        <w:rPr>
          <w:rFonts w:ascii="Times New Roman" w:hAnsi="Times New Roman"/>
          <w:color w:val="1f1f1f"/>
          <w:sz w:val="20"/>
        </w:rPr>
        <w:t xml:space="preserve"> involved an undercover operation with a law-enforcement officer pretending to be a 13-year-old girl. </w:t>
      </w:r>
      <w:hyperlink r:id="r56">
        <w:r>
          <w:rPr>
            <w:rFonts w:ascii="Times New Roman" w:hAnsi="Times New Roman"/>
            <w:color w:val="006fc4"/>
            <w:sz w:val="20"/>
          </w:rPr>
          <w:t>394 F.3d at 868</w:t>
        </w:r>
      </w:hyperlink>
      <w:r>
        <w:rPr>
          <w:rFonts w:ascii="Times New Roman" w:hAnsi="Times New Roman"/>
          <w:color w:val="1f1f1f"/>
          <w:sz w:val="20"/>
        </w:rPr>
        <w:t xml:space="preserve">. When the fictitious girl said that she was just 13, the defendant asked about sex and proposed oral sex. </w:t>
      </w:r>
      <w:r>
        <w:rPr>
          <w:rFonts w:ascii="Times New Roman" w:hAnsi="Times New Roman"/>
          <w:i/>
          <w:color w:val="1f1f1f"/>
          <w:sz w:val="20"/>
        </w:rPr>
        <w:t>Id.</w:t>
      </w:r>
      <w:r>
        <w:rPr>
          <w:rFonts w:ascii="Times New Roman" w:hAnsi="Times New Roman"/>
          <w:color w:val="1f1f1f"/>
          <w:sz w:val="20"/>
        </w:rPr>
        <w:t xml:space="preserve"> We concluded that the evidence was insufficient for an instruction on entrapment, pointing to the officer's testimony that he had given the defendant multiple chances to back out and he declined. </w:t>
      </w:r>
      <w:hyperlink r:id="r57">
        <w:r>
          <w:rPr>
            <w:rFonts w:ascii="Times New Roman" w:hAnsi="Times New Roman"/>
            <w:i/>
            <w:color w:val="006fc4"/>
            <w:sz w:val="20"/>
          </w:rPr>
          <w:t>Id.</w:t>
        </w:r>
        <w:r>
          <w:rPr>
            <w:rFonts w:ascii="Times New Roman" w:hAnsi="Times New Roman"/>
            <w:color w:val="006fc4"/>
            <w:sz w:val="20"/>
          </w:rPr>
          <w:t xml:space="preserve"> at 871–72</w:t>
        </w:r>
      </w:hyperlink>
      <w:r>
        <w:rPr>
          <w:rFonts w:ascii="Times New Roman" w:hAnsi="Times New Roman"/>
          <w:color w:val="1f1f1f"/>
          <w:sz w:val="20"/>
        </w:rPr>
        <w:t xml:space="preserve">. But the defendant didn't deny that he had believed that he was communicating with a 13-year-old girl. </w:t>
      </w:r>
      <w:r>
        <w:rPr>
          <w:rFonts w:ascii="Times New Roman" w:hAnsi="Times New Roman"/>
          <w:i/>
          <w:color w:val="1f1f1f"/>
          <w:sz w:val="20"/>
        </w:rPr>
        <w:t>See</w:t>
      </w:r>
      <w:r>
        <w:rPr>
          <w:rFonts w:ascii="Times New Roman" w:hAnsi="Times New Roman"/>
          <w:color w:val="1f1f1f"/>
          <w:sz w:val="20"/>
        </w:rPr>
        <w:t xml:space="preserve"> </w:t>
      </w:r>
      <w:r>
        <w:rPr>
          <w:rFonts w:ascii="Times New Roman" w:hAnsi="Times New Roman"/>
          <w:i/>
          <w:color w:val="1f1f1f"/>
          <w:sz w:val="20"/>
        </w:rPr>
        <w:t>id.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dissent argues that </w:t>
      </w:r>
      <w:r>
        <w:rPr>
          <w:rFonts w:ascii="Times New Roman" w:hAnsi="Times New Roman"/>
          <w:i/>
          <w:color w:val="1f1f1f"/>
          <w:sz w:val="20"/>
        </w:rPr>
        <w:t>Robinson</w:t>
      </w:r>
      <w:r>
        <w:rPr>
          <w:rFonts w:ascii="Times New Roman" w:hAnsi="Times New Roman"/>
          <w:color w:val="1f1f1f"/>
          <w:sz w:val="20"/>
        </w:rPr>
        <w:t xml:space="preserve"> and </w:t>
      </w:r>
      <w:r>
        <w:rPr>
          <w:rFonts w:ascii="Times New Roman" w:hAnsi="Times New Roman"/>
          <w:i/>
          <w:color w:val="1f1f1f"/>
          <w:sz w:val="20"/>
        </w:rPr>
        <w:t>Munro</w:t>
      </w:r>
      <w:r>
        <w:rPr>
          <w:rFonts w:ascii="Times New Roman" w:hAnsi="Times New Roman"/>
          <w:color w:val="1f1f1f"/>
          <w:sz w:val="20"/>
        </w:rPr>
        <w:t xml:space="preserve"> show that when a defendant bypasses a chance to back out from a crime, the district court can decline to instruct on entrapment irrespective of any other factors. Dissent at 4–5. In these cases, however, the defendants never questioned whether they were messaging with underage girls. In contrast, Mr. Spradley testified that he had</w:t>
      </w:r>
    </w:p>
    <w:p>
      <w:pPr>
        <w:spacing w:before="200" w:after="0" w:line="275" w:lineRule="atLeast"/>
        <w:ind w:left="400" w:right="0" w:hanging="200"/>
        <w:jc w:val="both"/>
      </w:pPr>
      <w:r>
        <w:rPr>
          <w:rFonts w:ascii="Times New Roman" w:hAnsi="Times New Roman"/>
          <w:color w:val="1f1f1f"/>
          <w:sz w:val="20"/>
        </w:rPr>
        <w:t>• decided from the outset that the other person wasn't who she was pretending to be,</w:t>
      </w:r>
    </w:p>
    <w:p>
      <w:pPr>
        <w:spacing w:before="200" w:after="0" w:line="275" w:lineRule="atLeast"/>
        <w:ind w:left="400" w:right="0" w:hanging="200"/>
        <w:jc w:val="both"/>
      </w:pPr>
      <w:r>
        <w:rPr>
          <w:rFonts w:ascii="Times New Roman" w:hAnsi="Times New Roman"/>
          <w:color w:val="1f1f1f"/>
          <w:sz w:val="20"/>
        </w:rPr>
        <w:t>• not believed that the person was 17 years old,</w:t>
      </w:r>
    </w:p>
    <w:p>
      <w:pPr>
        <w:spacing w:before="200" w:after="0" w:line="275" w:lineRule="atLeast"/>
        <w:ind w:left="400" w:right="0" w:hanging="200"/>
        <w:jc w:val="both"/>
      </w:pPr>
      <w:r>
        <w:rPr>
          <w:rFonts w:ascii="Times New Roman" w:hAnsi="Times New Roman"/>
          <w:color w:val="1f1f1f"/>
          <w:sz w:val="20"/>
        </w:rPr>
        <w:t>• insisted on a photo and phone call to try to determine why the person was lying, and</w:t>
      </w:r>
    </w:p>
    <w:p>
      <w:pPr>
        <w:spacing w:before="200" w:after="0" w:line="275" w:lineRule="atLeast"/>
        <w:ind w:left="400" w:right="0" w:hanging="200"/>
        <w:jc w:val="both"/>
      </w:pPr>
      <w:r>
        <w:rPr>
          <w:rFonts w:ascii="Times New Roman" w:hAnsi="Times New Roman"/>
          <w:color w:val="1f1f1f"/>
          <w:sz w:val="20"/>
        </w:rPr>
        <w:t>• researched the metadata on the photo and determined that it was heavily altered.</w:t>
      </w:r>
    </w:p>
    <w:p>
      <w:pPr>
        <w:spacing w:before="200" w:after="0" w:line="275" w:lineRule="atLeast"/>
        <w:jc w:val="both"/>
      </w:pPr>
      <w:r>
        <w:rPr>
          <w:rFonts w:ascii="Times New Roman" w:hAnsi="Times New Roman"/>
          <w:color w:val="1f1f1f"/>
          <w:sz w:val="20"/>
        </w:rPr>
        <w:t xml:space="preserve">Nothing similar existed in </w:t>
      </w:r>
      <w:r>
        <w:rPr>
          <w:rFonts w:ascii="Times New Roman" w:hAnsi="Times New Roman"/>
          <w:i/>
          <w:color w:val="1f1f1f"/>
          <w:sz w:val="20"/>
        </w:rPr>
        <w:t>Robinson</w:t>
      </w:r>
      <w:r>
        <w:rPr>
          <w:rFonts w:ascii="Times New Roman" w:hAnsi="Times New Roman"/>
          <w:color w:val="1f1f1f"/>
          <w:sz w:val="20"/>
        </w:rPr>
        <w:t xml:space="preserve"> or </w:t>
      </w:r>
      <w:r>
        <w:rPr>
          <w:rFonts w:ascii="Times New Roman" w:hAnsi="Times New Roman"/>
          <w:i/>
          <w:color w:val="1f1f1f"/>
          <w:sz w:val="20"/>
        </w:rPr>
        <w:t>Munro</w:t>
      </w:r>
      <w:r>
        <w:rPr>
          <w:rFonts w:ascii="Times New Roman" w:hAnsi="Times New Roman"/>
          <w:color w:val="1f1f1f"/>
          <w:sz w:val="20"/>
        </w:rPr>
        <w:t xml:space="preserve">; in those cases, the defendants hadn't doubted the fictitious girls’ statements. </w:t>
      </w:r>
      <w:r>
        <w:rPr>
          <w:rFonts w:ascii="Times New Roman" w:hAnsi="Times New Roman"/>
          <w:i/>
          <w:color w:val="1f1f1f"/>
          <w:sz w:val="20"/>
        </w:rPr>
        <w:t>See</w:t>
      </w:r>
      <w:r>
        <w:rPr>
          <w:rFonts w:ascii="Times New Roman" w:hAnsi="Times New Roman"/>
          <w:color w:val="1f1f1f"/>
          <w:sz w:val="20"/>
        </w:rPr>
        <w:t xml:space="preserve"> pp. 19–20, above.</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36" w:name="co_pp_sp_999_8_1"/>
      <w:r>
        <w:rPr>
          <w:rFonts w:ascii="Times New Roman" w:hAnsi="Times New Roman"/>
          <w:b/>
          <w:color w:val="000000"/>
          <w:sz w:val="20"/>
        </w:rPr>
        <w:t>*8</w:t>
      </w:r>
      <w:bookmarkEnd w:id="36"/>
      <w:r>
        <w:rPr>
          <w:rFonts w:ascii="Times New Roman" w:hAnsi="Times New Roman"/>
          <w:color w:val="1f1f1f"/>
          <w:sz w:val="20"/>
        </w:rPr>
        <w:t xml:space="preserve"> The dissent also suggests that we should focus solely on the government's conduct and disregard Mr. Spradley's actual beliefs because the inducement test is objective. Dissent at 13–15. This suggestion assumes that a refusal to “back out” requires disregard of Mr. Spradley's skepticism about the girl's truthfulness when presented with the purported chance to back out.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We lack briefing on the issue, and our court hasn't decided whether the test for </w:t>
      </w:r>
      <w:r>
        <w:rPr>
          <w:rFonts w:ascii="Times New Roman" w:hAnsi="Times New Roman"/>
          <w:i/>
          <w:color w:val="1f1f1f"/>
          <w:sz w:val="20"/>
        </w:rPr>
        <w:t>inducement</w:t>
      </w:r>
      <w:r>
        <w:rPr>
          <w:rFonts w:ascii="Times New Roman" w:hAnsi="Times New Roman"/>
          <w:color w:val="1f1f1f"/>
          <w:sz w:val="20"/>
        </w:rPr>
        <w:t xml:space="preserve"> is objective, subjective, or mixed. But two circuits have addressed the test: The D.C. Circuit says the test is objective, the Ninth Circuit subjective. </w:t>
      </w:r>
      <w:r>
        <w:rPr>
          <w:rFonts w:ascii="Times New Roman" w:hAnsi="Times New Roman"/>
          <w:i/>
          <w:color w:val="1f1f1f"/>
          <w:sz w:val="20"/>
        </w:rPr>
        <w:t>Contrast</w:t>
      </w:r>
      <w:r>
        <w:rPr>
          <w:rFonts w:ascii="Times New Roman" w:hAnsi="Times New Roman"/>
          <w:color w:val="1f1f1f"/>
          <w:sz w:val="20"/>
        </w:rPr>
        <w:t xml:space="preserve"> </w:t>
      </w:r>
      <w:hyperlink r:id="r58">
        <w:r>
          <w:rPr>
            <w:rFonts w:ascii="Times New Roman" w:hAnsi="Times New Roman"/>
            <w:i/>
            <w:color w:val="006fc4"/>
            <w:sz w:val="20"/>
          </w:rPr>
          <w:t>United States v. Sanchez</w:t>
        </w:r>
        <w:r>
          <w:rPr>
            <w:rFonts w:ascii="Times New Roman" w:hAnsi="Times New Roman"/>
            <w:color w:val="006fc4"/>
            <w:sz w:val="20"/>
          </w:rPr>
          <w:t>, 88 F.3d 1243, 1249 (D.C. Cir. 1996)</w:t>
        </w:r>
      </w:hyperlink>
      <w:r>
        <w:rPr>
          <w:rFonts w:ascii="Times New Roman" w:hAnsi="Times New Roman"/>
          <w:color w:val="1f1f1f"/>
          <w:sz w:val="20"/>
        </w:rPr>
        <w:t xml:space="preserve"> (objective test), </w:t>
      </w:r>
      <w:r>
        <w:rPr>
          <w:rFonts w:ascii="Times New Roman" w:hAnsi="Times New Roman"/>
          <w:i/>
          <w:color w:val="1f1f1f"/>
          <w:sz w:val="20"/>
        </w:rPr>
        <w:t>abrogated in part on other grounds by</w:t>
      </w:r>
      <w:r>
        <w:rPr>
          <w:rFonts w:ascii="Times New Roman" w:hAnsi="Times New Roman"/>
          <w:color w:val="1f1f1f"/>
          <w:sz w:val="20"/>
        </w:rPr>
        <w:t xml:space="preserve"> </w:t>
      </w:r>
      <w:hyperlink r:id="r59">
        <w:r>
          <w:rPr>
            <w:rFonts w:ascii="Times New Roman" w:hAnsi="Times New Roman"/>
            <w:i/>
            <w:color w:val="006fc4"/>
            <w:sz w:val="20"/>
          </w:rPr>
          <w:t>Peguero v. United States</w:t>
        </w:r>
        <w:r>
          <w:rPr>
            <w:rFonts w:ascii="Times New Roman" w:hAnsi="Times New Roman"/>
            <w:color w:val="006fc4"/>
            <w:sz w:val="20"/>
          </w:rPr>
          <w:t>, 526 U.S. 23, 24 (1999)</w:t>
        </w:r>
      </w:hyperlink>
      <w:r>
        <w:rPr>
          <w:rFonts w:ascii="Times New Roman" w:hAnsi="Times New Roman"/>
          <w:color w:val="1f1f1f"/>
          <w:sz w:val="20"/>
        </w:rPr>
        <w:t xml:space="preserve">, </w:t>
      </w:r>
      <w:r>
        <w:rPr>
          <w:rFonts w:ascii="Times New Roman" w:hAnsi="Times New Roman"/>
          <w:i/>
          <w:color w:val="1f1f1f"/>
          <w:sz w:val="20"/>
        </w:rPr>
        <w:t>with</w:t>
      </w:r>
      <w:r>
        <w:rPr>
          <w:rFonts w:ascii="Times New Roman" w:hAnsi="Times New Roman"/>
          <w:color w:val="1f1f1f"/>
          <w:sz w:val="20"/>
        </w:rPr>
        <w:t xml:space="preserve"> </w:t>
      </w:r>
      <w:hyperlink r:id="r60">
        <w:r>
          <w:rPr>
            <w:rFonts w:ascii="Times New Roman" w:hAnsi="Times New Roman"/>
            <w:i/>
            <w:color w:val="006fc4"/>
            <w:sz w:val="20"/>
          </w:rPr>
          <w:t>United States v. Williams</w:t>
        </w:r>
        <w:r>
          <w:rPr>
            <w:rFonts w:ascii="Times New Roman" w:hAnsi="Times New Roman"/>
            <w:color w:val="006fc4"/>
            <w:sz w:val="20"/>
          </w:rPr>
          <w:t>, 547 F.3d 1187, 1197 (9th Cir. 2008)</w:t>
        </w:r>
      </w:hyperlink>
      <w:r>
        <w:rPr>
          <w:rFonts w:ascii="Times New Roman" w:hAnsi="Times New Roman"/>
          <w:color w:val="1f1f1f"/>
          <w:sz w:val="20"/>
        </w:rPr>
        <w:t xml:space="preserve"> (subjective test). We not only have a circuit split but also lack any briefing on the objectivity or subjectivity of the test. Despite this lack of pertinent briefing on the issue, the dissent sides with the D.C. Circuit, treating the test as objective. Dissent at 13–15. We view it as imprudent to sua sponte decide the issue without any briefing.</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Even if we were to side with the D.C. Circuit, however, it hasn't suggested that courts should disregard the defendant's actual characteristics. After all, some individuals are “particularly susceptible to inducement,” which is a subjective inquiry. </w:t>
      </w:r>
      <w:hyperlink r:id="r61">
        <w:r>
          <w:rPr>
            <w:rFonts w:ascii="Times New Roman" w:hAnsi="Times New Roman"/>
            <w:i/>
            <w:color w:val="006fc4"/>
            <w:sz w:val="20"/>
          </w:rPr>
          <w:t>United States v. McGill</w:t>
        </w:r>
        <w:r>
          <w:rPr>
            <w:rFonts w:ascii="Times New Roman" w:hAnsi="Times New Roman"/>
            <w:color w:val="006fc4"/>
            <w:sz w:val="20"/>
          </w:rPr>
          <w:t>, 754 F.3d 452, 459 (7th Cir. 2014)</w:t>
        </w:r>
      </w:hyperlink>
      <w:r>
        <w:rPr>
          <w:rFonts w:ascii="Times New Roman" w:hAnsi="Times New Roman"/>
          <w:color w:val="1f1f1f"/>
          <w:sz w:val="20"/>
        </w:rPr>
        <w:t xml:space="preserve">. So even under an objective test, the court might consider a defendant's particular susceptibility to inducement. </w:t>
      </w:r>
      <w:r>
        <w:rPr>
          <w:rFonts w:ascii="Times New Roman" w:hAnsi="Times New Roman"/>
          <w:i/>
          <w:color w:val="1f1f1f"/>
          <w:sz w:val="20"/>
        </w:rPr>
        <w:t>Id.</w:t>
      </w:r>
      <w:bookmarkStart w:id="37" w:name="co_fnRef_B00062057466007_ID0ETBBG_1"/>
      <w:hyperlink w:anchor="co_footnote_B00062057466007_1">
        <w:r>
          <w:rPr>
            <w:rFonts w:ascii="Times New Roman" w:hAnsi="Times New Roman"/>
            <w:color w:val="006fc4"/>
            <w:sz w:val="16"/>
            <w:vertAlign w:val="superscript"/>
          </w:rPr>
          <w:t>6</w:t>
        </w:r>
      </w:hyperlink>
      <w:bookmarkEnd w:id="37"/>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Given the lack of input from the parties, we have little reason to reach beyond the parties’ arguments. The existence of a chance to back out turns on facts involving Mr. Spradley's susceptibility to inducement, and those underlying factual questions cast uncertainty on the outcome under the dissent's approach.</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38" w:name="co_pp_sp_999_9_1"/>
      <w:r>
        <w:rPr>
          <w:rFonts w:ascii="Times New Roman" w:hAnsi="Times New Roman"/>
          <w:b/>
          <w:color w:val="000000"/>
          <w:sz w:val="20"/>
        </w:rPr>
        <w:t>*9</w:t>
      </w:r>
      <w:bookmarkEnd w:id="38"/>
      <w:r>
        <w:rPr>
          <w:rFonts w:ascii="Times New Roman" w:hAnsi="Times New Roman"/>
          <w:color w:val="1f1f1f"/>
          <w:sz w:val="20"/>
        </w:rPr>
        <w:t xml:space="preserve"> We addressed similar circumstances in </w:t>
      </w:r>
      <w:hyperlink r:id="r62">
        <w:r>
          <w:rPr>
            <w:rFonts w:ascii="Times New Roman" w:hAnsi="Times New Roman"/>
            <w:i/>
            <w:color w:val="006fc4"/>
            <w:sz w:val="20"/>
          </w:rPr>
          <w:t>United States v. Chavez</w:t>
        </w:r>
        <w:r>
          <w:rPr>
            <w:rFonts w:ascii="Times New Roman" w:hAnsi="Times New Roman"/>
            <w:color w:val="006fc4"/>
            <w:sz w:val="20"/>
          </w:rPr>
          <w:t>, 976 F.3d 1178 (10th Cir. 2020)</w:t>
        </w:r>
      </w:hyperlink>
      <w:r>
        <w:rPr>
          <w:rFonts w:ascii="Times New Roman" w:hAnsi="Times New Roman"/>
          <w:color w:val="1f1f1f"/>
          <w:sz w:val="20"/>
        </w:rPr>
        <w:t xml:space="preserve">. There too, we considered whether to affirm a conviction on a theory that the government hadn't argued. We declined to do so, reasoning that it would be imprudent to do so. </w:t>
      </w:r>
      <w:hyperlink r:id="r63">
        <w:r>
          <w:rPr>
            <w:rFonts w:ascii="Times New Roman" w:hAnsi="Times New Roman"/>
            <w:i/>
            <w:color w:val="006fc4"/>
            <w:sz w:val="20"/>
          </w:rPr>
          <w:t>Id.</w:t>
        </w:r>
        <w:r>
          <w:rPr>
            <w:rFonts w:ascii="Times New Roman" w:hAnsi="Times New Roman"/>
            <w:color w:val="006fc4"/>
            <w:sz w:val="20"/>
          </w:rPr>
          <w:t xml:space="preserve"> at 1203 n.17</w:t>
        </w:r>
      </w:hyperlink>
      <w:r>
        <w:rPr>
          <w:rFonts w:ascii="Times New Roman" w:hAnsi="Times New Roman"/>
          <w:color w:val="1f1f1f"/>
          <w:sz w:val="20"/>
        </w:rPr>
        <w:t xml:space="preserve">. In declining to entertain the theory, we reasoned that it would be imprudent to “craft[ ] arguments for affirmance completely </w:t>
      </w:r>
      <w:r>
        <w:rPr>
          <w:rFonts w:ascii="Times New Roman" w:hAnsi="Times New Roman"/>
          <w:i/>
          <w:color w:val="1f1f1f"/>
          <w:sz w:val="20"/>
        </w:rPr>
        <w:t>sua sponte</w:t>
      </w:r>
      <w:r>
        <w:rPr>
          <w:rFonts w:ascii="Times New Roman" w:hAnsi="Times New Roman"/>
          <w:color w:val="1f1f1f"/>
          <w:sz w:val="20"/>
        </w:rPr>
        <w:t xml:space="preserve"> and, more specifically, without the benefit of the parties’ adversarial exchange.” </w:t>
      </w:r>
      <w:r>
        <w:rPr>
          <w:rFonts w:ascii="Times New Roman" w:hAnsi="Times New Roman"/>
          <w:i/>
          <w:color w:val="1f1f1f"/>
          <w:sz w:val="20"/>
        </w:rPr>
        <w:t>Id.</w:t>
      </w:r>
      <w:bookmarkStart w:id="39" w:name="co_fnRef_B00072057466007_ID0EMJBG_1"/>
      <w:hyperlink w:anchor="co_footnote_B00072057466007_1">
        <w:r>
          <w:rPr>
            <w:rFonts w:ascii="Times New Roman" w:hAnsi="Times New Roman"/>
            <w:color w:val="006fc4"/>
            <w:sz w:val="16"/>
            <w:vertAlign w:val="superscript"/>
          </w:rPr>
          <w:t>7</w:t>
        </w:r>
      </w:hyperlink>
      <w:bookmarkEnd w:id="39"/>
      <w:r>
        <w:rPr>
          <w:rFonts w:ascii="Times New Roman" w:hAnsi="Times New Roman"/>
          <w:color w:val="1f1f1f"/>
          <w:sz w:val="20"/>
        </w:rPr>
        <w:t xml:space="preserve"> We also addressed the issue in </w:t>
      </w:r>
      <w:r>
        <w:rPr>
          <w:rFonts w:ascii="Times New Roman" w:hAnsi="Times New Roman"/>
          <w:i/>
          <w:color w:val="1f1f1f"/>
          <w:sz w:val="20"/>
        </w:rPr>
        <w:t>United States v. Woodard</w:t>
      </w:r>
      <w:r>
        <w:rPr>
          <w:rFonts w:ascii="Times New Roman" w:hAnsi="Times New Roman"/>
          <w:color w:val="1f1f1f"/>
          <w:sz w:val="20"/>
        </w:rPr>
        <w:t xml:space="preserve">, where we again regarded it as imprudent to affirm on a ground that the government hadn't raised. </w:t>
      </w:r>
      <w:hyperlink r:id="r64">
        <w:r>
          <w:rPr>
            <w:rFonts w:ascii="Times New Roman" w:hAnsi="Times New Roman"/>
            <w:color w:val="006fc4"/>
            <w:sz w:val="20"/>
          </w:rPr>
          <w:t>5 F.4th 1148, 1154 (10th Cir. 2021)</w:t>
        </w:r>
      </w:hyperlink>
      <w:r>
        <w:rPr>
          <w:rFonts w:ascii="Times New Roman" w:hAnsi="Times New Roman"/>
          <w:color w:val="1f1f1f"/>
          <w:sz w:val="20"/>
        </w:rPr>
        <w:t xml:space="preserve">; </w:t>
      </w:r>
      <w:r>
        <w:rPr>
          <w:rFonts w:ascii="Times New Roman" w:hAnsi="Times New Roman"/>
          <w:i/>
          <w:color w:val="1f1f1f"/>
          <w:sz w:val="20"/>
        </w:rPr>
        <w:t>see also</w:t>
      </w:r>
      <w:r>
        <w:rPr>
          <w:rFonts w:ascii="Times New Roman" w:hAnsi="Times New Roman"/>
          <w:color w:val="1f1f1f"/>
          <w:sz w:val="20"/>
        </w:rPr>
        <w:t xml:space="preserve"> </w:t>
      </w:r>
      <w:hyperlink r:id="r65">
        <w:r>
          <w:rPr>
            <w:rFonts w:ascii="Times New Roman" w:hAnsi="Times New Roman"/>
            <w:i/>
            <w:color w:val="006fc4"/>
            <w:sz w:val="20"/>
          </w:rPr>
          <w:t>Safeway Stores 46 Inc. v. WY Plaza LC</w:t>
        </w:r>
        <w:r>
          <w:rPr>
            <w:rFonts w:ascii="Times New Roman" w:hAnsi="Times New Roman"/>
            <w:color w:val="006fc4"/>
            <w:sz w:val="20"/>
          </w:rPr>
          <w:t>, 65 F.4th 474, 496 (10th Cir. 2023)</w:t>
        </w:r>
      </w:hyperlink>
      <w:r>
        <w:rPr>
          <w:rFonts w:ascii="Times New Roman" w:hAnsi="Times New Roman"/>
          <w:color w:val="1f1f1f"/>
          <w:sz w:val="20"/>
        </w:rPr>
        <w:t xml:space="preserve"> (stating in a civil case that “we generally consider it imprudent to consider grounds for affirmance that the appellee has not argued on appeal”).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Like the majorities in </w:t>
      </w:r>
      <w:r>
        <w:rPr>
          <w:rFonts w:ascii="Times New Roman" w:hAnsi="Times New Roman"/>
          <w:i/>
          <w:color w:val="1f1f1f"/>
          <w:sz w:val="20"/>
        </w:rPr>
        <w:t>Chavez</w:t>
      </w:r>
      <w:r>
        <w:rPr>
          <w:rFonts w:ascii="Times New Roman" w:hAnsi="Times New Roman"/>
          <w:color w:val="1f1f1f"/>
          <w:sz w:val="20"/>
        </w:rPr>
        <w:t xml:space="preserve"> and </w:t>
      </w:r>
      <w:r>
        <w:rPr>
          <w:rFonts w:ascii="Times New Roman" w:hAnsi="Times New Roman"/>
          <w:i/>
          <w:color w:val="1f1f1f"/>
          <w:sz w:val="20"/>
        </w:rPr>
        <w:t>Woodard</w:t>
      </w:r>
      <w:r>
        <w:rPr>
          <w:rFonts w:ascii="Times New Roman" w:hAnsi="Times New Roman"/>
          <w:color w:val="1f1f1f"/>
          <w:sz w:val="20"/>
        </w:rPr>
        <w:t>, we consider it imprudent to affirm on a theory that the government hasn't raised. We can speculate about how Mr. Spradley might have countered if the government had argued that a chance to back out would alone prevent an instruction on entrapment. Even without knowing how Mr. Spradley would have countered, however, the record contains testimony that Mr. Spradley had disbelieved the fictitious girl when she said that she was 17. We thus view it as imprudent to affirm on a theory of our own device, particularly when the outcome isn't clear.</w:t>
      </w:r>
    </w:p>
    <w:p>
      <w:pPr>
        <w:spacing w:before="0" w:after="0" w:line="275" w:lineRule="atLeast"/>
        <w:jc w:val="both"/>
      </w:pPr>
      <w:r>
        <w:rPr>
          <w:rFonts w:ascii="Times New Roman" w:hAnsi="Times New Roman"/>
          <w:color w:val="1f1f1f"/>
          <w:sz w:val="20"/>
        </w:rPr>
        <w:t> </w:t>
      </w:r>
    </w:p>
    <w:bookmarkStart w:id="40" w:name="co_anchor_I0645d8516d4f11f0bfda9b9d9cca"/>
    <w:bookmarkStart w:id="41" w:name="co_anchor_I0645d8516d4f11f0bfda9b9d92"/>
    <w:p>
      <w:pPr>
        <w:spacing w:before="400" w:after="0" w:line="275" w:lineRule="atLeast"/>
      </w:pPr>
      <w:r>
        <w:rPr>
          <w:rFonts w:ascii="Times New Roman" w:hAnsi="Times New Roman"/>
          <w:b/>
          <w:color w:val="1f1f1f"/>
          <w:sz w:val="20"/>
        </w:rPr>
        <w:t>4. The failure to instruct on entrapment is not harmless.</w:t>
      </w:r>
    </w:p>
    <w:bookmarkEnd w:id="41"/>
    <w:bookmarkEnd w:id="40"/>
    <w:p>
      <w:pPr>
        <w:spacing w:before="0" w:after="0" w:line="275" w:lineRule="atLeast"/>
        <w:jc w:val="both"/>
      </w:pPr>
      <w:r>
        <w:rPr>
          <w:rFonts w:ascii="Times New Roman" w:hAnsi="Times New Roman"/>
          <w:color w:val="1f1f1f"/>
          <w:sz w:val="20"/>
        </w:rPr>
        <w:t xml:space="preserve">The government argues that even if the district court should have instructed the jury on entrapment, the omission would have been harmless because the evidence overwhelmingly shows a predisposition to commit the offense and little evidence of inducement. For this argument, the government simply incorporates its earlier characterization of the evidence. Mr. Spradley responds that any error would necessarily be reversible. We need not decide whether the error could be harmless: Even if the error could be harmless, the government wouldn't have satisfied its burden. </w:t>
      </w:r>
      <w:r>
        <w:rPr>
          <w:rFonts w:ascii="Times New Roman" w:hAnsi="Times New Roman"/>
          <w:i/>
          <w:color w:val="1f1f1f"/>
          <w:sz w:val="20"/>
        </w:rPr>
        <w:t>See</w:t>
      </w:r>
      <w:r>
        <w:rPr>
          <w:rFonts w:ascii="Times New Roman" w:hAnsi="Times New Roman"/>
          <w:color w:val="1f1f1f"/>
          <w:sz w:val="20"/>
        </w:rPr>
        <w:t xml:space="preserve"> </w:t>
      </w:r>
      <w:hyperlink r:id="r66">
        <w:r>
          <w:rPr>
            <w:rFonts w:ascii="Times New Roman" w:hAnsi="Times New Roman"/>
            <w:i/>
            <w:color w:val="006fc4"/>
            <w:sz w:val="20"/>
          </w:rPr>
          <w:t>United States v. Calzada-Maravillas</w:t>
        </w:r>
        <w:r>
          <w:rPr>
            <w:rFonts w:ascii="Times New Roman" w:hAnsi="Times New Roman"/>
            <w:color w:val="006fc4"/>
            <w:sz w:val="20"/>
          </w:rPr>
          <w:t>, 443 F.3d 1301, 1306 (10th Cir. 2006)</w:t>
        </w:r>
      </w:hyperlink>
      <w:r>
        <w:rPr>
          <w:rFonts w:ascii="Times New Roman" w:hAnsi="Times New Roman"/>
          <w:color w:val="1f1f1f"/>
          <w:sz w:val="20"/>
        </w:rPr>
        <w:t xml:space="preserve"> (stating that the government bears the burden on harmlessness for preserved errors).</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42" w:name="co_pp_sp_999_10_1"/>
      <w:r>
        <w:rPr>
          <w:rFonts w:ascii="Times New Roman" w:hAnsi="Times New Roman"/>
          <w:b/>
          <w:color w:val="000000"/>
          <w:sz w:val="20"/>
        </w:rPr>
        <w:t>*10</w:t>
      </w:r>
      <w:bookmarkEnd w:id="42"/>
      <w:r>
        <w:rPr>
          <w:rFonts w:ascii="Times New Roman" w:hAnsi="Times New Roman"/>
          <w:color w:val="1f1f1f"/>
          <w:sz w:val="20"/>
        </w:rPr>
        <w:t xml:space="preserve"> Because Mr. Spradley has presented sufficient evidence to obtain an instruction on entrapment, “proof that [he] was not entrapped effectively becomes an element of the crime.” </w:t>
      </w:r>
      <w:hyperlink r:id="r67">
        <w:r>
          <w:rPr>
            <w:rFonts w:ascii="Times New Roman" w:hAnsi="Times New Roman"/>
            <w:i/>
            <w:color w:val="006fc4"/>
            <w:sz w:val="20"/>
          </w:rPr>
          <w:t>United States v. Duran</w:t>
        </w:r>
        <w:r>
          <w:rPr>
            <w:rFonts w:ascii="Times New Roman" w:hAnsi="Times New Roman"/>
            <w:color w:val="006fc4"/>
            <w:sz w:val="20"/>
          </w:rPr>
          <w:t>, 133 F.3d 1324, 1331 (10th Cir. 1998)</w:t>
        </w:r>
      </w:hyperlink>
      <w:r>
        <w:rPr>
          <w:rFonts w:ascii="Times New Roman" w:hAnsi="Times New Roman"/>
          <w:color w:val="1f1f1f"/>
          <w:sz w:val="20"/>
        </w:rPr>
        <w:t xml:space="preserve">. So the district court's failure to instruct on entrapment involves omission of an element. When the instructions omit an element, we've identified two standards for harmlessness. </w:t>
      </w:r>
      <w:hyperlink r:id="r68">
        <w:r>
          <w:rPr>
            <w:rFonts w:ascii="Times New Roman" w:hAnsi="Times New Roman"/>
            <w:i/>
            <w:color w:val="006fc4"/>
            <w:sz w:val="20"/>
          </w:rPr>
          <w:t>United States v. Kahn</w:t>
        </w:r>
        <w:r>
          <w:rPr>
            <w:rFonts w:ascii="Times New Roman" w:hAnsi="Times New Roman"/>
            <w:color w:val="006fc4"/>
            <w:sz w:val="20"/>
          </w:rPr>
          <w:t>, 58 F.4th 1308, 1318 (10th Cir. 2023)</w:t>
        </w:r>
      </w:hyperlink>
      <w:r>
        <w:rPr>
          <w:rFonts w:ascii="Times New Roman" w:hAnsi="Times New Roman"/>
          <w:color w:val="1f1f1f"/>
          <w:sz w:val="20"/>
        </w:rPr>
        <w:t>. The government didn't satisfy either standard.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First, we have asked whether the government has proven “beyond a reasonable doubt that the error complained of did not contribute to the verdict obtained.” </w:t>
      </w:r>
      <w:r>
        <w:rPr>
          <w:rFonts w:ascii="Times New Roman" w:hAnsi="Times New Roman"/>
          <w:i/>
          <w:color w:val="1f1f1f"/>
          <w:sz w:val="20"/>
        </w:rPr>
        <w:t>Id.</w:t>
      </w:r>
      <w:r>
        <w:rPr>
          <w:rFonts w:ascii="Times New Roman" w:hAnsi="Times New Roman"/>
          <w:color w:val="1f1f1f"/>
          <w:sz w:val="20"/>
        </w:rPr>
        <w:t xml:space="preserve"> (quoting </w:t>
      </w:r>
      <w:hyperlink r:id="r69">
        <w:r>
          <w:rPr>
            <w:rFonts w:ascii="Times New Roman" w:hAnsi="Times New Roman"/>
            <w:i/>
            <w:color w:val="006fc4"/>
            <w:sz w:val="20"/>
          </w:rPr>
          <w:t>United States v. Luke-Sanchez</w:t>
        </w:r>
        <w:r>
          <w:rPr>
            <w:rFonts w:ascii="Times New Roman" w:hAnsi="Times New Roman"/>
            <w:color w:val="006fc4"/>
            <w:sz w:val="20"/>
          </w:rPr>
          <w:t>, 483 F.3d 703, 705 (10th Cir. 2007)</w:t>
        </w:r>
      </w:hyperlink>
      <w:r>
        <w:rPr>
          <w:rFonts w:ascii="Times New Roman" w:hAnsi="Times New Roman"/>
          <w:color w:val="1f1f1f"/>
          <w:sz w:val="20"/>
        </w:rPr>
        <w:t>). If this is the standard, the government wouldn't have satisfied its burden. Although a reasonable juror could find the crossing of a state line to pay for sex with a minor, Mr. Spradley would have avoided a conviction upon a finding of entrapment. But the district court didn't tell the jury to consider Mr. Spradley's evidence of entrapment. So the finding of guilt sheds no light on how the jury would have assessed the possibility of entrapment.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Second, we have asked whether the government has proven “beyond a reasonable doubt that the omitted element was uncontested and supported by overwhelming evidence, such that the jury verdict would have been the same absent the error.” </w:t>
      </w:r>
      <w:r>
        <w:rPr>
          <w:rFonts w:ascii="Times New Roman" w:hAnsi="Times New Roman"/>
          <w:i/>
          <w:color w:val="1f1f1f"/>
          <w:sz w:val="20"/>
        </w:rPr>
        <w:t>Id.</w:t>
      </w:r>
      <w:r>
        <w:rPr>
          <w:rFonts w:ascii="Times New Roman" w:hAnsi="Times New Roman"/>
          <w:color w:val="1f1f1f"/>
          <w:sz w:val="20"/>
        </w:rPr>
        <w:t xml:space="preserve"> (quoting </w:t>
      </w:r>
      <w:hyperlink r:id="r70">
        <w:r>
          <w:rPr>
            <w:rFonts w:ascii="Times New Roman" w:hAnsi="Times New Roman"/>
            <w:i/>
            <w:color w:val="006fc4"/>
            <w:sz w:val="20"/>
          </w:rPr>
          <w:t>United States v. Neder</w:t>
        </w:r>
        <w:r>
          <w:rPr>
            <w:rFonts w:ascii="Times New Roman" w:hAnsi="Times New Roman"/>
            <w:color w:val="006fc4"/>
            <w:sz w:val="20"/>
          </w:rPr>
          <w:t>, 527 U.S. 1, 17 (1999)</w:t>
        </w:r>
      </w:hyperlink>
      <w:r>
        <w:rPr>
          <w:rFonts w:ascii="Times New Roman" w:hAnsi="Times New Roman"/>
          <w:color w:val="1f1f1f"/>
          <w:sz w:val="20"/>
        </w:rPr>
        <w:t xml:space="preserve">). If this is the standard, the government still wouldn't have satisfied this burden. The parties disagreed over whether the government had entrapped Mr. Spradley, and we have elsewhere held that a reasonable juror could have found entrapment. </w:t>
      </w:r>
      <w:r>
        <w:rPr>
          <w:rFonts w:ascii="Times New Roman" w:hAnsi="Times New Roman"/>
          <w:i/>
          <w:color w:val="1f1f1f"/>
          <w:sz w:val="20"/>
        </w:rPr>
        <w:t>See</w:t>
      </w:r>
      <w:r>
        <w:rPr>
          <w:rFonts w:ascii="Times New Roman" w:hAnsi="Times New Roman"/>
          <w:color w:val="1f1f1f"/>
          <w:sz w:val="20"/>
        </w:rPr>
        <w:t xml:space="preserve"> Part 2, above. So the evidence was contested. </w:t>
      </w:r>
      <w:r>
        <w:rPr>
          <w:rFonts w:ascii="Times New Roman" w:hAnsi="Times New Roman"/>
          <w:i/>
          <w:color w:val="1f1f1f"/>
          <w:sz w:val="20"/>
        </w:rPr>
        <w:t>See</w:t>
      </w:r>
      <w:r>
        <w:rPr>
          <w:rFonts w:ascii="Times New Roman" w:hAnsi="Times New Roman"/>
          <w:color w:val="1f1f1f"/>
          <w:sz w:val="20"/>
        </w:rPr>
        <w:t xml:space="preserve"> </w:t>
      </w:r>
      <w:hyperlink r:id="r71">
        <w:r>
          <w:rPr>
            <w:rFonts w:ascii="Times New Roman" w:hAnsi="Times New Roman"/>
            <w:i/>
            <w:color w:val="006fc4"/>
            <w:sz w:val="20"/>
          </w:rPr>
          <w:t>United States v. Kahn</w:t>
        </w:r>
        <w:r>
          <w:rPr>
            <w:rFonts w:ascii="Times New Roman" w:hAnsi="Times New Roman"/>
            <w:color w:val="006fc4"/>
            <w:sz w:val="20"/>
          </w:rPr>
          <w:t>, 58 F.4th 1308, 1319 (10th Cir. 2023)</w:t>
        </w:r>
      </w:hyperlink>
      <w:r>
        <w:rPr>
          <w:rFonts w:ascii="Times New Roman" w:hAnsi="Times New Roman"/>
          <w:color w:val="1f1f1f"/>
          <w:sz w:val="20"/>
        </w:rPr>
        <w:t xml:space="preserve"> (“Where an element of an offense is contested at trial, as it was here, the Constitution requires that the issue be put before a jury—not an appellate court.”).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Under either standard, the government wouldn't have satisfied its burden on harmlessness.</w:t>
      </w:r>
    </w:p>
    <w:p>
      <w:pPr>
        <w:spacing w:before="0" w:after="0" w:line="275" w:lineRule="atLeast"/>
        <w:jc w:val="both"/>
      </w:pPr>
      <w:r>
        <w:rPr>
          <w:rFonts w:ascii="Times New Roman" w:hAnsi="Times New Roman"/>
          <w:color w:val="1f1f1f"/>
          <w:sz w:val="20"/>
        </w:rPr>
        <w:t> </w:t>
      </w:r>
    </w:p>
    <w:p>
      <w:pPr>
        <w:spacing w:before="0" w:after="0" w:line="275" w:lineRule="atLeast"/>
        <w:jc w:val="center"/>
      </w:pPr>
      <w:r>
        <w:rPr>
          <w:rFonts w:ascii="Times New Roman" w:hAnsi="Times New Roman"/>
          <w:color w:val="1f1f1f"/>
          <w:sz w:val="20"/>
        </w:rPr>
        <w:t>* * *</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Mr. Spradley has also urged reversal based on errors concerning (1) the content of an instruction given after the jury announced a deadlock, (2) the introduction of testimony concerning the reason that law enforcement agents used a fictitious girl in the sting operation, and (3) the existence of cumulative error. We need not address these arguments in light of the district court's erroneous failure to instruct the jury on entrapment.</w:t>
      </w:r>
    </w:p>
    <w:p>
      <w:pPr>
        <w:spacing w:before="0" w:after="0" w:line="275" w:lineRule="atLeast"/>
        <w:jc w:val="both"/>
      </w:pPr>
      <w:r>
        <w:rPr>
          <w:rFonts w:ascii="Times New Roman" w:hAnsi="Times New Roman"/>
          <w:color w:val="1f1f1f"/>
          <w:sz w:val="20"/>
        </w:rPr>
        <w:t> </w:t>
      </w:r>
    </w:p>
    <w:bookmarkStart w:id="43" w:name="co_anchor_I0648e5916d4f11f0bfda9b9d9cca"/>
    <w:bookmarkStart w:id="44" w:name="co_anchor_I0648e5916d4f11f0bfda9b9d92"/>
    <w:p>
      <w:pPr>
        <w:spacing w:before="400" w:after="0" w:line="275" w:lineRule="atLeast"/>
      </w:pPr>
      <w:r>
        <w:rPr>
          <w:rFonts w:ascii="Times New Roman" w:hAnsi="Times New Roman"/>
          <w:b/>
          <w:color w:val="1f1f1f"/>
          <w:sz w:val="20"/>
        </w:rPr>
        <w:t>5. Mr. Spradley can be retried on remand.</w:t>
      </w:r>
    </w:p>
    <w:bookmarkEnd w:id="44"/>
    <w:bookmarkEnd w:id="43"/>
    <w:p>
      <w:pPr>
        <w:spacing w:before="0" w:after="0" w:line="275" w:lineRule="atLeast"/>
        <w:jc w:val="both"/>
      </w:pPr>
      <w:r>
        <w:rPr>
          <w:rFonts w:ascii="Times New Roman" w:hAnsi="Times New Roman"/>
          <w:color w:val="1f1f1f"/>
          <w:sz w:val="20"/>
        </w:rPr>
        <w:t xml:space="preserve">Mr. Spradley challenges not only the failure to instruct on entrapment, but also the sufficiency of evidence to convict. If the evidence were insufficient to convict, the government could not retry Mr. Spradley. </w:t>
      </w:r>
      <w:hyperlink r:id="r72">
        <w:r>
          <w:rPr>
            <w:rFonts w:ascii="Times New Roman" w:hAnsi="Times New Roman"/>
            <w:i/>
            <w:color w:val="006fc4"/>
            <w:sz w:val="20"/>
          </w:rPr>
          <w:t>United States v. Wheeler</w:t>
        </w:r>
        <w:r>
          <w:rPr>
            <w:rFonts w:ascii="Times New Roman" w:hAnsi="Times New Roman"/>
            <w:color w:val="006fc4"/>
            <w:sz w:val="20"/>
          </w:rPr>
          <w:t>, 776 F.3d 736, 741 (10th Cir. 2015)</w:t>
        </w:r>
      </w:hyperlink>
      <w:r>
        <w:rPr>
          <w:rFonts w:ascii="Times New Roman" w:hAnsi="Times New Roman"/>
          <w:color w:val="1f1f1f"/>
          <w:sz w:val="20"/>
        </w:rPr>
        <w:t xml:space="preserve">. So we must decide whether the evidence was sufficient. </w:t>
      </w:r>
      <w:r>
        <w:rPr>
          <w:rFonts w:ascii="Times New Roman" w:hAnsi="Times New Roman"/>
          <w:i/>
          <w:color w:val="1f1f1f"/>
          <w:sz w:val="20"/>
        </w:rPr>
        <w:t>Id.</w:t>
      </w:r>
      <w:r>
        <w:rPr>
          <w:rFonts w:ascii="Times New Roman" w:hAnsi="Times New Roman"/>
          <w:color w:val="1f1f1f"/>
          <w:sz w:val="20"/>
        </w:rPr>
        <w:t xml:space="preserve"> We conclude that it was.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district court concluded that the evidence was sufficient and denied a motion for judgment of acquittal. We conduct de novo review, considering the evidence in the light most favorable to the government. </w:t>
      </w:r>
      <w:hyperlink r:id="r73">
        <w:r>
          <w:rPr>
            <w:rFonts w:ascii="Times New Roman" w:hAnsi="Times New Roman"/>
            <w:i/>
            <w:color w:val="006fc4"/>
            <w:sz w:val="20"/>
          </w:rPr>
          <w:t>United States v. Murphy</w:t>
        </w:r>
        <w:r>
          <w:rPr>
            <w:rFonts w:ascii="Times New Roman" w:hAnsi="Times New Roman"/>
            <w:color w:val="006fc4"/>
            <w:sz w:val="20"/>
          </w:rPr>
          <w:t>, 100 F.4th 1184, 1195–96 (10th Cir. 2024)</w:t>
        </w:r>
      </w:hyperlink>
      <w:r>
        <w:rPr>
          <w:rFonts w:ascii="Times New Roman" w:hAnsi="Times New Roman"/>
          <w:color w:val="1f1f1f"/>
          <w:sz w:val="20"/>
        </w:rPr>
        <w:t xml:space="preserve">. With this view of the evidence, we consider whether any rational jury could have found the elements of guilt beyond a reasonable doubt. </w:t>
      </w:r>
      <w:hyperlink r:id="r74">
        <w:r>
          <w:rPr>
            <w:rFonts w:ascii="Times New Roman" w:hAnsi="Times New Roman"/>
            <w:i/>
            <w:color w:val="006fc4"/>
            <w:sz w:val="20"/>
          </w:rPr>
          <w:t>Jackson v. Virginia</w:t>
        </w:r>
        <w:r>
          <w:rPr>
            <w:rFonts w:ascii="Times New Roman" w:hAnsi="Times New Roman"/>
            <w:color w:val="006fc4"/>
            <w:sz w:val="20"/>
          </w:rPr>
          <w:t>, 443 U.S. 307, 319 (1979)</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45" w:name="co_pp_sp_999_11_1"/>
      <w:r>
        <w:rPr>
          <w:rFonts w:ascii="Times New Roman" w:hAnsi="Times New Roman"/>
          <w:b/>
          <w:color w:val="000000"/>
          <w:sz w:val="20"/>
        </w:rPr>
        <w:t>*11</w:t>
      </w:r>
      <w:bookmarkEnd w:id="45"/>
      <w:r>
        <w:rPr>
          <w:rFonts w:ascii="Times New Roman" w:hAnsi="Times New Roman"/>
          <w:color w:val="1f1f1f"/>
          <w:sz w:val="20"/>
        </w:rPr>
        <w:t xml:space="preserve"> Mr. Spradley argues that no rational jury could have found a motivating purpose to engage in commercial sex with someone younger than eighteen. As noted above, Mr. Spradley testified that he hadn't believed what the person was saying. </w:t>
      </w:r>
      <w:r>
        <w:rPr>
          <w:rFonts w:ascii="Times New Roman" w:hAnsi="Times New Roman"/>
          <w:i/>
          <w:color w:val="1f1f1f"/>
          <w:sz w:val="20"/>
        </w:rPr>
        <w:t>See</w:t>
      </w:r>
      <w:r>
        <w:rPr>
          <w:rFonts w:ascii="Times New Roman" w:hAnsi="Times New Roman"/>
          <w:color w:val="1f1f1f"/>
          <w:sz w:val="20"/>
        </w:rPr>
        <w:t xml:space="preserve"> p. 7, above. But the jury could disbelieve Mr. Spradley's testimony about his intentions. </w:t>
      </w:r>
      <w:hyperlink r:id="r75">
        <w:r>
          <w:rPr>
            <w:rFonts w:ascii="Times New Roman" w:hAnsi="Times New Roman"/>
            <w:i/>
            <w:color w:val="006fc4"/>
            <w:sz w:val="20"/>
          </w:rPr>
          <w:t>United States v. Magleby</w:t>
        </w:r>
        <w:r>
          <w:rPr>
            <w:rFonts w:ascii="Times New Roman" w:hAnsi="Times New Roman"/>
            <w:color w:val="006fc4"/>
            <w:sz w:val="20"/>
          </w:rPr>
          <w:t>, 241 F.3d 1306, 1312 (10th Cir. 2001)</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First, if we view the evidence in the light most favorable to the government, the jury could reasonably find that Mr. Spradley had intended to pay for sex. For this finding, the jury could rely on Mr. Spradley's</w:t>
      </w:r>
    </w:p>
    <w:p>
      <w:pPr>
        <w:spacing w:before="200" w:after="0" w:line="275" w:lineRule="atLeast"/>
        <w:ind w:left="400" w:right="0" w:hanging="200"/>
        <w:jc w:val="both"/>
      </w:pPr>
      <w:r>
        <w:rPr>
          <w:rFonts w:ascii="Times New Roman" w:hAnsi="Times New Roman"/>
          <w:color w:val="1f1f1f"/>
          <w:sz w:val="20"/>
        </w:rPr>
        <w:t>• first message, stating that he would pay $500 “to spend the weekend trading orgasms,” Supp. R. vol. 1, at 5, and</w:t>
      </w:r>
    </w:p>
    <w:p>
      <w:pPr>
        <w:spacing w:before="200" w:after="0" w:line="275" w:lineRule="atLeast"/>
        <w:ind w:left="400" w:right="0" w:hanging="200"/>
        <w:jc w:val="both"/>
      </w:pPr>
      <w:r>
        <w:rPr>
          <w:rFonts w:ascii="Times New Roman" w:hAnsi="Times New Roman"/>
          <w:color w:val="1f1f1f"/>
          <w:sz w:val="20"/>
        </w:rPr>
        <w:t>• later message stating that he would bring $500.</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Mr. Spradley testified that he</w:t>
      </w:r>
    </w:p>
    <w:p>
      <w:pPr>
        <w:spacing w:before="200" w:after="0" w:line="275" w:lineRule="atLeast"/>
        <w:ind w:left="400" w:right="0" w:hanging="200"/>
        <w:jc w:val="both"/>
      </w:pPr>
      <w:r>
        <w:rPr>
          <w:rFonts w:ascii="Times New Roman" w:hAnsi="Times New Roman"/>
          <w:color w:val="1f1f1f"/>
          <w:sz w:val="20"/>
        </w:rPr>
        <w:t>• had opened with an offer to pay for sex because he didn't believe that the ad was genuine and</w:t>
      </w:r>
    </w:p>
    <w:p>
      <w:pPr>
        <w:spacing w:before="200" w:after="0" w:line="275" w:lineRule="atLeast"/>
        <w:ind w:left="400" w:right="0" w:hanging="200"/>
        <w:jc w:val="both"/>
      </w:pPr>
      <w:r>
        <w:rPr>
          <w:rFonts w:ascii="Times New Roman" w:hAnsi="Times New Roman"/>
          <w:color w:val="1f1f1f"/>
          <w:sz w:val="20"/>
        </w:rPr>
        <w:t>• had not paid for sex.</w:t>
      </w:r>
    </w:p>
    <w:p>
      <w:pPr>
        <w:spacing w:before="200" w:after="0" w:line="275" w:lineRule="atLeast"/>
        <w:jc w:val="both"/>
      </w:pPr>
      <w:r>
        <w:rPr>
          <w:rFonts w:ascii="Times New Roman" w:hAnsi="Times New Roman"/>
          <w:color w:val="1f1f1f"/>
          <w:sz w:val="20"/>
        </w:rPr>
        <w:t xml:space="preserve">But the jury didn't have to believe Mr. Spradley's explanation. </w:t>
      </w:r>
      <w:r>
        <w:rPr>
          <w:rFonts w:ascii="Times New Roman" w:hAnsi="Times New Roman"/>
          <w:i/>
          <w:color w:val="1f1f1f"/>
          <w:sz w:val="20"/>
        </w:rPr>
        <w:t>See</w:t>
      </w:r>
      <w:r>
        <w:rPr>
          <w:rFonts w:ascii="Times New Roman" w:hAnsi="Times New Roman"/>
          <w:color w:val="1f1f1f"/>
          <w:sz w:val="20"/>
        </w:rPr>
        <w:t xml:space="preserve"> </w:t>
      </w:r>
      <w:hyperlink r:id="r76">
        <w:r>
          <w:rPr>
            <w:rFonts w:ascii="Times New Roman" w:hAnsi="Times New Roman"/>
            <w:i/>
            <w:color w:val="006fc4"/>
            <w:sz w:val="20"/>
          </w:rPr>
          <w:t>Magleby</w:t>
        </w:r>
        <w:r>
          <w:rPr>
            <w:rFonts w:ascii="Times New Roman" w:hAnsi="Times New Roman"/>
            <w:color w:val="006fc4"/>
            <w:sz w:val="20"/>
          </w:rPr>
          <w:t>, 241 F.3d at 1312</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Granted, what Mr. Spradley earlier said doesn't provide direct evidence of what he believed when he drove to Kansas. But a jury can draw logical inferences from circumstantial evidence. </w:t>
      </w:r>
      <w:hyperlink r:id="r77">
        <w:r>
          <w:rPr>
            <w:rFonts w:ascii="Times New Roman" w:hAnsi="Times New Roman"/>
            <w:i/>
            <w:color w:val="006fc4"/>
            <w:sz w:val="20"/>
          </w:rPr>
          <w:t>United States v. Jones</w:t>
        </w:r>
        <w:r>
          <w:rPr>
            <w:rFonts w:ascii="Times New Roman" w:hAnsi="Times New Roman"/>
            <w:color w:val="006fc4"/>
            <w:sz w:val="20"/>
          </w:rPr>
          <w:t>, 44 F.3d 860, 865 (10th Cir. 1995)</w:t>
        </w:r>
      </w:hyperlink>
      <w:r>
        <w:rPr>
          <w:rFonts w:ascii="Times New Roman" w:hAnsi="Times New Roman"/>
          <w:color w:val="1f1f1f"/>
          <w:sz w:val="20"/>
        </w:rPr>
        <w:t>. So Mr. Spradley's initial offer and later reference to $500 could support a logical inference that he had intended to pay the fictitious girl for sex.</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 also points out that when he crossed the state line, he didn't have the $500. </w:t>
      </w:r>
      <w:r>
        <w:rPr>
          <w:rFonts w:ascii="Times New Roman" w:hAnsi="Times New Roman"/>
          <w:i/>
          <w:color w:val="1f1f1f"/>
          <w:sz w:val="20"/>
        </w:rPr>
        <w:t>See</w:t>
      </w:r>
      <w:r>
        <w:rPr>
          <w:rFonts w:ascii="Times New Roman" w:hAnsi="Times New Roman"/>
          <w:color w:val="1f1f1f"/>
          <w:sz w:val="20"/>
        </w:rPr>
        <w:t xml:space="preserve"> p. 6, above. But the jury could reasonably find that Mr. Spradley had planned to get cash once he met the girl.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Second, Mr. Spradley testified that he hadn't believed that he was messaging a 17-year-old girl. </w:t>
      </w:r>
      <w:r>
        <w:rPr>
          <w:rFonts w:ascii="Times New Roman" w:hAnsi="Times New Roman"/>
          <w:i/>
          <w:color w:val="1f1f1f"/>
          <w:sz w:val="20"/>
        </w:rPr>
        <w:t>See</w:t>
      </w:r>
      <w:r>
        <w:rPr>
          <w:rFonts w:ascii="Times New Roman" w:hAnsi="Times New Roman"/>
          <w:color w:val="1f1f1f"/>
          <w:sz w:val="20"/>
        </w:rPr>
        <w:t xml:space="preserve"> p. 7, above. But again, the jury didn't have to believe Mr. Spradley. For example, the jury could reasonably have relied on the fictitious girl's statements that (1) she was 17 and (2) her mother had taken away access to social media.</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Mr. Spradley argues that a jury could only speculate about Mr. Spradley's perception of the person's age. We disagree. Granted, the fictitious girl sent a photo of a female in her 30s. But we view the evidence favorably to the government at this stage. </w:t>
      </w:r>
      <w:r>
        <w:rPr>
          <w:rFonts w:ascii="Times New Roman" w:hAnsi="Times New Roman"/>
          <w:i/>
          <w:color w:val="1f1f1f"/>
          <w:sz w:val="20"/>
        </w:rPr>
        <w:t>See</w:t>
      </w:r>
      <w:r>
        <w:rPr>
          <w:rFonts w:ascii="Times New Roman" w:hAnsi="Times New Roman"/>
          <w:color w:val="1f1f1f"/>
          <w:sz w:val="20"/>
        </w:rPr>
        <w:t xml:space="preserve"> </w:t>
      </w:r>
      <w:hyperlink r:id="r78">
        <w:r>
          <w:rPr>
            <w:rFonts w:ascii="Times New Roman" w:hAnsi="Times New Roman"/>
            <w:i/>
            <w:color w:val="006fc4"/>
            <w:sz w:val="20"/>
          </w:rPr>
          <w:t>United States v. Roberts</w:t>
        </w:r>
        <w:r>
          <w:rPr>
            <w:rFonts w:ascii="Times New Roman" w:hAnsi="Times New Roman"/>
            <w:color w:val="006fc4"/>
            <w:sz w:val="20"/>
          </w:rPr>
          <w:t>, 185 F.3d 1125, 1140 (10th Cir. 1999)</w:t>
        </w:r>
      </w:hyperlink>
      <w:r>
        <w:rPr>
          <w:rFonts w:ascii="Times New Roman" w:hAnsi="Times New Roman"/>
          <w:color w:val="1f1f1f"/>
          <w:sz w:val="20"/>
        </w:rPr>
        <w:t>. With this view of the evidence, a jury could logically infer Mr. Spradley's thinking from the fictitious girl's statement that she was 17 and needed her mother's permission to use social media.</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evidence was thus sufficient to convict; so Mr. Spradley can be retried on remand.</w:t>
      </w:r>
    </w:p>
    <w:p>
      <w:pPr>
        <w:spacing w:before="0" w:after="0" w:line="275" w:lineRule="atLeast"/>
        <w:jc w:val="both"/>
      </w:pPr>
      <w:r>
        <w:rPr>
          <w:rFonts w:ascii="Times New Roman" w:hAnsi="Times New Roman"/>
          <w:color w:val="1f1f1f"/>
          <w:sz w:val="20"/>
        </w:rPr>
        <w:t> </w:t>
      </w:r>
    </w:p>
    <w:bookmarkStart w:id="46" w:name="co_anchor_I064cdd316d4f11f0bfda9b9d9cca"/>
    <w:bookmarkStart w:id="47" w:name="co_anchor_I064cdd316d4f11f0bfda9b9d92"/>
    <w:p>
      <w:pPr>
        <w:spacing w:before="400" w:after="0" w:line="275" w:lineRule="atLeast"/>
      </w:pPr>
      <w:r>
        <w:rPr>
          <w:rFonts w:ascii="Times New Roman" w:hAnsi="Times New Roman"/>
          <w:b/>
          <w:color w:val="1f1f1f"/>
          <w:sz w:val="20"/>
        </w:rPr>
        <w:t>6. Conclusion</w:t>
      </w:r>
    </w:p>
    <w:bookmarkEnd w:id="47"/>
    <w:bookmarkEnd w:id="46"/>
    <w:p>
      <w:pPr>
        <w:spacing w:before="0" w:after="0" w:line="275" w:lineRule="atLeast"/>
        <w:jc w:val="both"/>
      </w:pPr>
      <w:r>
        <w:rPr>
          <w:rFonts w:ascii="Times New Roman" w:hAnsi="Times New Roman"/>
          <w:color w:val="1f1f1f"/>
          <w:sz w:val="20"/>
        </w:rPr>
        <w:t>Given the evidence, a reasonable jury could find that the deputy sheriff had induced Mr. Spradley to commit the offense despite his lack of a predisposition. The district court thus erred in declining to instruct the jury on entrapment. In light of that error, we vacate the conviction and remand for new proceedings. In the new proceedings, Mr. Spradley is subject to retrial</w:t>
      </w:r>
      <w:bookmarkStart w:id="48" w:name="co_fnRef_B00082057466007_ID0E3CAI_1"/>
      <w:hyperlink w:anchor="co_footnote_B00082057466007_1">
        <w:r>
          <w:rPr>
            <w:rFonts w:ascii="Times New Roman" w:hAnsi="Times New Roman"/>
            <w:color w:val="006fc4"/>
            <w:sz w:val="16"/>
            <w:vertAlign w:val="superscript"/>
          </w:rPr>
          <w:t>8</w:t>
        </w:r>
      </w:hyperlink>
      <w:bookmarkEnd w:id="48"/>
      <w:r>
        <w:rPr>
          <w:rFonts w:ascii="Times New Roman" w:hAnsi="Times New Roman"/>
          <w:color w:val="1f1f1f"/>
          <w:sz w:val="20"/>
        </w:rPr>
        <w:t xml:space="preserve"> because the evidence was sufficient to convict.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49" w:name="co_pp_sp_999_12_1"/>
      <w:r>
        <w:rPr>
          <w:rFonts w:ascii="Times New Roman" w:hAnsi="Times New Roman"/>
          <w:b/>
          <w:color w:val="000000"/>
          <w:sz w:val="20"/>
        </w:rPr>
        <w:t>*12</w:t>
      </w:r>
      <w:bookmarkEnd w:id="49"/>
      <w:r>
        <w:rPr>
          <w:rFonts w:ascii="Times New Roman" w:hAnsi="Times New Roman"/>
          <w:color w:val="1f1f1f"/>
          <w:sz w:val="20"/>
        </w:rPr>
        <w:t xml:space="preserve"> The mandate shall issue forthwith.</w:t>
      </w:r>
    </w:p>
    <w:p>
      <w:pPr>
        <w:spacing w:before="0" w:after="0" w:line="275" w:lineRule="atLeast"/>
        <w:jc w:val="both"/>
      </w:pPr>
      <w:r>
        <w:rPr>
          <w:rFonts w:ascii="Times New Roman" w:hAnsi="Times New Roman"/>
          <w:color w:val="1f1f1f"/>
          <w:sz w:val="20"/>
        </w:rPr>
        <w:t> </w:t>
      </w:r>
    </w:p>
    <w:bookmarkStart w:id="50" w:name="co_dissent_opinion_1"/>
    <w:bookmarkStart w:id="51" w:name="co_anchor_I064f00126d4f11f0bfda9b9d9cca"/>
    <w:p>
      <w:pPr>
        <w:spacing w:before="400" w:after="0" w:line="275" w:lineRule="atLeast"/>
      </w:pPr>
      <w:hyperlink r:id="r79">
        <w:r>
          <w:rPr>
            <w:rFonts w:ascii="Times New Roman" w:hAnsi="Times New Roman"/>
            <w:color w:val="006fc4"/>
            <w:sz w:val="20"/>
          </w:rPr>
          <w:t>EID</w:t>
        </w:r>
      </w:hyperlink>
      <w:r>
        <w:rPr>
          <w:rFonts w:ascii="Times New Roman" w:hAnsi="Times New Roman"/>
          <w:color w:val="1f1f1f"/>
          <w:sz w:val="20"/>
        </w:rPr>
        <w:t>, J., dissenting.</w:t>
      </w:r>
    </w:p>
    <w:bookmarkEnd w:id="51"/>
    <w:bookmarkEnd w:id="50"/>
    <w:bookmarkStart w:id="52" w:name="co_anchor_I064f00126d4f11f0bfda9b9d92"/>
    <w:p>
      <w:pPr>
        <w:spacing w:before="0" w:after="0" w:line="275" w:lineRule="atLeast"/>
        <w:jc w:val="both"/>
      </w:pPr>
      <w:r>
        <w:rPr>
          <w:rFonts w:ascii="Times New Roman" w:hAnsi="Times New Roman"/>
          <w:color w:val="1f1f1f"/>
          <w:sz w:val="20"/>
        </w:rPr>
        <w:t xml:space="preserve">Steven Spradley responded to an undercover agent's online advertisement, which made no mention of sex, by offering $500 “to spend the weekend trading orgasms with [him].” Supp. R. Vol. I at 5. The undercover officer, posing as a seventeen-year-old girl named “Ashlee,” replied that she was interested in Spradley's offer, but cautioned that she was underage. She even went so far as to ask Spradley whether her age posed a “problem,” providing him with an opportunity to back out of any plan to have sex with a minor. </w:t>
      </w:r>
      <w:r>
        <w:rPr>
          <w:rFonts w:ascii="Times New Roman" w:hAnsi="Times New Roman"/>
          <w:i/>
          <w:color w:val="1f1f1f"/>
          <w:sz w:val="20"/>
        </w:rPr>
        <w:t>Id.</w:t>
      </w:r>
      <w:r>
        <w:rPr>
          <w:rFonts w:ascii="Times New Roman" w:hAnsi="Times New Roman"/>
          <w:color w:val="1f1f1f"/>
          <w:sz w:val="20"/>
        </w:rPr>
        <w:t xml:space="preserve"> at 6. Instead of ending the conversation or withdrawing his offer to pay $500 for sex, Spradley continued communicating with Ashlee, eventually driving to a neighboring state to meet Ashlee in the hopes of having, in his words, “great sex.” </w:t>
      </w:r>
      <w:r>
        <w:rPr>
          <w:rFonts w:ascii="Times New Roman" w:hAnsi="Times New Roman"/>
          <w:i/>
          <w:color w:val="1f1f1f"/>
          <w:sz w:val="20"/>
        </w:rPr>
        <w:t>Id.</w:t>
      </w:r>
      <w:r>
        <w:rPr>
          <w:rFonts w:ascii="Times New Roman" w:hAnsi="Times New Roman"/>
          <w:color w:val="1f1f1f"/>
          <w:sz w:val="20"/>
        </w:rPr>
        <w:t xml:space="preserve"> at 27.</w:t>
      </w:r>
    </w:p>
    <w:bookmarkEnd w:id="52"/>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Given these facts, the district court was not required to instruct the jury on Spradley's desired entrapment defense. When, as here, an undercover agent offers a defendant an “out” that the defendant refuses to take, it can hardly be said that the government “induced” an otherwise law-abiding citizen to commit a crime. Instead, in such a circumstance, it is the defendant who makes the deliberate choice to commit the offense—not because of any government action, but because of his own predisposition. In fact, our Circuit has already recognized that the “need for an entrapment instruction” is “vitiat[ed]” when the government gives the defendant an “opportunity to back out” of the crime. </w:t>
      </w:r>
      <w:hyperlink r:id="r80">
        <w:r>
          <w:rPr>
            <w:rFonts w:ascii="Times New Roman" w:hAnsi="Times New Roman"/>
            <w:i/>
            <w:color w:val="006fc4"/>
            <w:sz w:val="20"/>
          </w:rPr>
          <w:t>United States v. Munro</w:t>
        </w:r>
        <w:r>
          <w:rPr>
            <w:rFonts w:ascii="Times New Roman" w:hAnsi="Times New Roman"/>
            <w:color w:val="006fc4"/>
            <w:sz w:val="20"/>
          </w:rPr>
          <w:t>, 394 F.3d 865, 871–72 (10th Cir. 2005)</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This settled principle leads to the inevitable conclusion that the government did not entrap Spradley. But the majority concludes otherwise. Because I cannot agree with the majority's approach to determining what constitutes government “inducement”—which, I fear, may portend the end of undercover operations targeting child predators in this Circuit—I respectfully dissent.</w:t>
      </w:r>
      <w:bookmarkStart w:id="53" w:name="co_fnRef_B00092057466007_ID0EXKAI_1"/>
      <w:hyperlink w:anchor="co_footnote_B00092057466007_1">
        <w:r>
          <w:rPr>
            <w:rFonts w:ascii="Times New Roman" w:hAnsi="Times New Roman"/>
            <w:color w:val="006fc4"/>
            <w:sz w:val="16"/>
            <w:vertAlign w:val="superscript"/>
          </w:rPr>
          <w:t>1</w:t>
        </w:r>
      </w:hyperlink>
      <w:bookmarkEnd w:id="53"/>
    </w:p>
    <w:p>
      <w:pPr>
        <w:spacing w:before="0" w:after="0" w:line="275" w:lineRule="atLeast"/>
        <w:jc w:val="both"/>
      </w:pPr>
      <w:r>
        <w:rPr>
          <w:rFonts w:ascii="Times New Roman" w:hAnsi="Times New Roman"/>
          <w:color w:val="1f1f1f"/>
          <w:sz w:val="20"/>
        </w:rPr>
        <w:t> </w:t>
      </w:r>
    </w:p>
    <w:bookmarkStart w:id="54" w:name="co_anchor_I0650fbe16d4f11f0bfda9b9d9cca"/>
    <w:bookmarkStart w:id="55" w:name="co_anchor_I0650fbe16d4f11f0bfda9b9d92"/>
    <w:p>
      <w:pPr>
        <w:spacing w:before="600" w:after="0" w:line="275" w:lineRule="atLeast"/>
        <w:jc w:val="center"/>
      </w:pPr>
      <w:r>
        <w:rPr>
          <w:rFonts w:ascii="Times New Roman" w:hAnsi="Times New Roman"/>
          <w:b/>
          <w:color w:val="1f1f1f"/>
          <w:sz w:val="20"/>
        </w:rPr>
        <w:t>I.</w:t>
      </w:r>
    </w:p>
    <w:bookmarkEnd w:id="55"/>
    <w:bookmarkEnd w:id="54"/>
    <w:bookmarkStart w:id="56" w:name="co_anchor_I0650fbe16d4f11f0bfda9b9d93"/>
    <w:p>
      <w:pPr>
        <w:spacing w:before="1000" w:after="0" w:line="275" w:lineRule="atLeast"/>
        <w:jc w:val="center"/>
      </w:pPr>
      <w:r>
        <w:rPr>
          <w:rFonts w:ascii="Times New Roman" w:hAnsi="Times New Roman"/>
          <w:b/>
          <w:color w:val="1f1f1f"/>
          <w:sz w:val="20"/>
        </w:rPr>
        <w:t>A.</w:t>
      </w:r>
    </w:p>
    <w:bookmarkEnd w:id="56"/>
    <w:p>
      <w:pPr>
        <w:spacing w:before="400" w:after="0" w:line="275" w:lineRule="atLeast"/>
        <w:jc w:val="both"/>
      </w:pPr>
      <w:r>
        <w:rPr>
          <w:rFonts w:ascii="Times New Roman" w:hAnsi="Times New Roman"/>
          <w:color w:val="1f1f1f"/>
          <w:sz w:val="20"/>
        </w:rPr>
        <w:t xml:space="preserve">To explain why Spradley is not entitled to an entrapment instruction, I begin with the definition of entrapment. It is well settled that, to mount a valid entrapment defense, a defendant must show an evidentiary basis on which the jury could find (1) “government inducement of the crime,” and (2) “a lack of predisposition on the part of the defendant to engage in the criminal conduct.” </w:t>
      </w:r>
      <w:hyperlink r:id="r81">
        <w:r>
          <w:rPr>
            <w:rFonts w:ascii="Times New Roman" w:hAnsi="Times New Roman"/>
            <w:i/>
            <w:color w:val="006fc4"/>
            <w:sz w:val="20"/>
          </w:rPr>
          <w:t>Mathews v. United States</w:t>
        </w:r>
        <w:r>
          <w:rPr>
            <w:rFonts w:ascii="Times New Roman" w:hAnsi="Times New Roman"/>
            <w:color w:val="006fc4"/>
            <w:sz w:val="20"/>
          </w:rPr>
          <w:t>, 485 U.S. 58, 62–63 (1988)</w:t>
        </w:r>
      </w:hyperlink>
      <w:r>
        <w:rPr>
          <w:rFonts w:ascii="Times New Roman" w:hAnsi="Times New Roman"/>
          <w:color w:val="1f1f1f"/>
          <w:sz w:val="20"/>
        </w:rPr>
        <w:t xml:space="preserve">. “The primary distinction between these elements,” we have explained, “is that inducement focuses on the government's conduct while predisposition focuses on a defendant's attitude or condition.” </w:t>
      </w:r>
      <w:hyperlink r:id="r82">
        <w:r>
          <w:rPr>
            <w:rFonts w:ascii="Times New Roman" w:hAnsi="Times New Roman"/>
            <w:i/>
            <w:color w:val="006fc4"/>
            <w:sz w:val="20"/>
          </w:rPr>
          <w:t>United States v. Young</w:t>
        </w:r>
        <w:r>
          <w:rPr>
            <w:rFonts w:ascii="Times New Roman" w:hAnsi="Times New Roman"/>
            <w:color w:val="006fc4"/>
            <w:sz w:val="20"/>
          </w:rPr>
          <w:t>, 954 F.2d 614, 616 (10th Cir. 1992)</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57" w:name="co_pp_sp_999_13_1"/>
      <w:r>
        <w:rPr>
          <w:rFonts w:ascii="Times New Roman" w:hAnsi="Times New Roman"/>
          <w:b/>
          <w:color w:val="000000"/>
          <w:sz w:val="20"/>
        </w:rPr>
        <w:t>*13</w:t>
      </w:r>
      <w:bookmarkEnd w:id="57"/>
      <w:r>
        <w:rPr>
          <w:rFonts w:ascii="Times New Roman" w:hAnsi="Times New Roman"/>
          <w:color w:val="1f1f1f"/>
          <w:sz w:val="20"/>
        </w:rPr>
        <w:t xml:space="preserve"> Accordingly, inducement encompasses only “</w:t>
      </w:r>
      <w:r>
        <w:rPr>
          <w:rFonts w:ascii="Times New Roman" w:hAnsi="Times New Roman"/>
          <w:i/>
          <w:color w:val="1f1f1f"/>
          <w:sz w:val="20"/>
        </w:rPr>
        <w:t>government conduct</w:t>
      </w:r>
      <w:r>
        <w:rPr>
          <w:rFonts w:ascii="Times New Roman" w:hAnsi="Times New Roman"/>
          <w:color w:val="1f1f1f"/>
          <w:sz w:val="20"/>
        </w:rPr>
        <w:t xml:space="preserve"> which creates a substantial risk that an undisposed person or otherwise law-abiding citizen would commit the offense.” </w:t>
      </w:r>
      <w:hyperlink r:id="r83">
        <w:r>
          <w:rPr>
            <w:rFonts w:ascii="Times New Roman" w:hAnsi="Times New Roman"/>
            <w:i/>
            <w:color w:val="006fc4"/>
            <w:sz w:val="20"/>
          </w:rPr>
          <w:t>United States v. Ortiz</w:t>
        </w:r>
        <w:r>
          <w:rPr>
            <w:rFonts w:ascii="Times New Roman" w:hAnsi="Times New Roman"/>
            <w:color w:val="006fc4"/>
            <w:sz w:val="20"/>
          </w:rPr>
          <w:t>, 804 F.2d 1161, 1165 (10th Cir. 1986)</w:t>
        </w:r>
      </w:hyperlink>
      <w:r>
        <w:rPr>
          <w:rFonts w:ascii="Times New Roman" w:hAnsi="Times New Roman"/>
          <w:color w:val="1f1f1f"/>
          <w:sz w:val="20"/>
        </w:rPr>
        <w:t xml:space="preserve"> (emphasis added). That inquiry is an “objective” one, “measuring whether the government's behavior was such that a law-abiding citizen's will to obey the law could have been overborne.” </w:t>
      </w:r>
      <w:hyperlink r:id="r84">
        <w:r>
          <w:rPr>
            <w:rFonts w:ascii="Times New Roman" w:hAnsi="Times New Roman"/>
            <w:i/>
            <w:color w:val="006fc4"/>
            <w:sz w:val="20"/>
          </w:rPr>
          <w:t>United States v. Kelly</w:t>
        </w:r>
        <w:r>
          <w:rPr>
            <w:rFonts w:ascii="Times New Roman" w:hAnsi="Times New Roman"/>
            <w:color w:val="006fc4"/>
            <w:sz w:val="20"/>
          </w:rPr>
          <w:t>, 748 F.2d 691, 697 (D.C. Cir. 1984)</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But there is no risk that the government's conduct would cause a law-abiding citizen to commit a criminal offense when the government provides the potential defendant with an opportunity to withdraw from engaging in criminal conduct. An otherwise law-abiding citizen will always choose to withdraw when presented with information that their conduct, if continued, would constitute a criminal offense.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That conclusion derives both from common law and from common sense. In particular, it traces back to fundamental principles of causation. Inducement, as the Supreme Court has construed it, looks to the causal relationship between the government's conduct and the defendant's criminal act. </w:t>
      </w:r>
      <w:r>
        <w:rPr>
          <w:rFonts w:ascii="Times New Roman" w:hAnsi="Times New Roman"/>
          <w:i/>
          <w:color w:val="1f1f1f"/>
          <w:sz w:val="20"/>
        </w:rPr>
        <w:t>See</w:t>
      </w:r>
      <w:r>
        <w:rPr>
          <w:rFonts w:ascii="Times New Roman" w:hAnsi="Times New Roman"/>
          <w:color w:val="1f1f1f"/>
          <w:sz w:val="20"/>
        </w:rPr>
        <w:t xml:space="preserve"> </w:t>
      </w:r>
      <w:hyperlink r:id="r85">
        <w:r>
          <w:rPr>
            <w:rFonts w:ascii="Times New Roman" w:hAnsi="Times New Roman"/>
            <w:i/>
            <w:color w:val="006fc4"/>
            <w:sz w:val="20"/>
          </w:rPr>
          <w:t>Sorrells v. United States</w:t>
        </w:r>
        <w:r>
          <w:rPr>
            <w:rFonts w:ascii="Times New Roman" w:hAnsi="Times New Roman"/>
            <w:color w:val="006fc4"/>
            <w:sz w:val="20"/>
          </w:rPr>
          <w:t>, 287 U.S. 435, 452 (1932)</w:t>
        </w:r>
      </w:hyperlink>
      <w:r>
        <w:rPr>
          <w:rFonts w:ascii="Times New Roman" w:hAnsi="Times New Roman"/>
          <w:color w:val="1f1f1f"/>
          <w:sz w:val="20"/>
        </w:rPr>
        <w:t>. When the government offers the target of an undercover operation an opportunity to back out of committing the crime, the government's actions are not the predominant cause of the crime. Rather, the crime is attributed to the defendant's own free choice. In that way, the defendant's decision to decline the chance to “back out” acts as an intervening circumstance, severing the causal link between the government's conduct and the defendant's criminal act.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light of the foregoing, our Court has repeatedly concluded that a jury instruction for entrapment is not warranted when an undercover agent offered the defendant a chance to back out of the charged crime.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For instance, in </w:t>
      </w:r>
      <w:hyperlink r:id="r86">
        <w:r>
          <w:rPr>
            <w:rFonts w:ascii="Times New Roman" w:hAnsi="Times New Roman"/>
            <w:i/>
            <w:color w:val="006fc4"/>
            <w:sz w:val="20"/>
          </w:rPr>
          <w:t>United States v. Robinson</w:t>
        </w:r>
        <w:r>
          <w:rPr>
            <w:rFonts w:ascii="Times New Roman" w:hAnsi="Times New Roman"/>
            <w:color w:val="006fc4"/>
            <w:sz w:val="20"/>
          </w:rPr>
          <w:t>, 993 F.3d 839 (10th Cir. 2021)</w:t>
        </w:r>
      </w:hyperlink>
      <w:r>
        <w:rPr>
          <w:rFonts w:ascii="Times New Roman" w:hAnsi="Times New Roman"/>
          <w:color w:val="1f1f1f"/>
          <w:sz w:val="20"/>
        </w:rPr>
        <w:t xml:space="preserve">, we confronted the question of whether a sting operation—remarkably similar to the one here—entrapped a defendant convicted of attempted sex trafficking of a minor in violation of </w:t>
      </w:r>
      <w:hyperlink r:id="r87">
        <w:r>
          <w:rPr>
            <w:rFonts w:ascii="Times New Roman" w:hAnsi="Times New Roman"/>
            <w:color w:val="006fc4"/>
            <w:sz w:val="20"/>
          </w:rPr>
          <w:t>18 U.S.C. § 1591(a)</w:t>
        </w:r>
      </w:hyperlink>
      <w:r>
        <w:rPr>
          <w:rFonts w:ascii="Times New Roman" w:hAnsi="Times New Roman"/>
          <w:color w:val="1f1f1f"/>
          <w:sz w:val="20"/>
        </w:rPr>
        <w:t xml:space="preserve">. There, the FBI had created a fictitious social media profile on a dating website and matched with the defendant, who was seeking to recruit prostitutes for a business venture. </w:t>
      </w:r>
      <w:hyperlink r:id="r88">
        <w:r>
          <w:rPr>
            <w:rFonts w:ascii="Times New Roman" w:hAnsi="Times New Roman"/>
            <w:i/>
            <w:color w:val="006fc4"/>
            <w:sz w:val="20"/>
          </w:rPr>
          <w:t>Id.</w:t>
        </w:r>
        <w:r>
          <w:rPr>
            <w:rFonts w:ascii="Times New Roman" w:hAnsi="Times New Roman"/>
            <w:color w:val="006fc4"/>
            <w:sz w:val="20"/>
          </w:rPr>
          <w:t xml:space="preserve"> at 843</w:t>
        </w:r>
      </w:hyperlink>
      <w:r>
        <w:rPr>
          <w:rFonts w:ascii="Times New Roman" w:hAnsi="Times New Roman"/>
          <w:color w:val="1f1f1f"/>
          <w:sz w:val="20"/>
        </w:rPr>
        <w:t xml:space="preserve">. After showing interest in the defendant's prostitution business, the undercover agent informed the defendant that “she was only seventeen years old.” </w:t>
      </w:r>
      <w:r>
        <w:rPr>
          <w:rFonts w:ascii="Times New Roman" w:hAnsi="Times New Roman"/>
          <w:i/>
          <w:color w:val="1f1f1f"/>
          <w:sz w:val="20"/>
        </w:rPr>
        <w:t>Id.</w:t>
      </w:r>
      <w:r>
        <w:rPr>
          <w:rFonts w:ascii="Times New Roman" w:hAnsi="Times New Roman"/>
          <w:color w:val="1f1f1f"/>
          <w:sz w:val="20"/>
        </w:rPr>
        <w:t xml:space="preserve"> “Despite learning” that she was a minor, the “[d]efendant caused the relationship to progress.” </w:t>
      </w:r>
      <w:hyperlink r:id="r89">
        <w:r>
          <w:rPr>
            <w:rFonts w:ascii="Times New Roman" w:hAnsi="Times New Roman"/>
            <w:i/>
            <w:color w:val="006fc4"/>
            <w:sz w:val="20"/>
          </w:rPr>
          <w:t>Id.</w:t>
        </w:r>
        <w:r>
          <w:rPr>
            <w:rFonts w:ascii="Times New Roman" w:hAnsi="Times New Roman"/>
            <w:color w:val="006fc4"/>
            <w:sz w:val="20"/>
          </w:rPr>
          <w:t xml:space="preserve"> at 847</w:t>
        </w:r>
      </w:hyperlink>
      <w:r>
        <w:rPr>
          <w:rFonts w:ascii="Times New Roman" w:hAnsi="Times New Roman"/>
          <w:color w:val="1f1f1f"/>
          <w:sz w:val="20"/>
        </w:rPr>
        <w:t xml:space="preserve">. In fact, “[f]ar from ending things, [the] [d]efendant kept communicating with” the undercover agent, “bought her a bus ticket” to see him, and continued to send sexually explicit messages. </w:t>
      </w:r>
      <w:r>
        <w:rPr>
          <w:rFonts w:ascii="Times New Roman" w:hAnsi="Times New Roman"/>
          <w:i/>
          <w:color w:val="1f1f1f"/>
          <w:sz w:val="20"/>
        </w:rPr>
        <w:t>Id.</w:t>
      </w:r>
      <w:r>
        <w:rPr>
          <w:rFonts w:ascii="Times New Roman" w:hAnsi="Times New Roman"/>
          <w:color w:val="1f1f1f"/>
          <w:sz w:val="20"/>
        </w:rPr>
        <w:t xml:space="preserve"> We held that the government did not induce the defendant “to engage in illegal conduct with a minor” because “[w]hen the government disclosed [that the fictitious girl] was underage, it provided [the] [d]efendant with an out he refused to take.” </w:t>
      </w:r>
      <w:r>
        <w:rPr>
          <w:rFonts w:ascii="Times New Roman" w:hAnsi="Times New Roman"/>
          <w:i/>
          <w:color w:val="1f1f1f"/>
          <w:sz w:val="20"/>
        </w:rPr>
        <w:t>Id.</w:t>
      </w:r>
      <w:r>
        <w:rPr>
          <w:rFonts w:ascii="Times New Roman" w:hAnsi="Times New Roman"/>
          <w:color w:val="1f1f1f"/>
          <w:sz w:val="20"/>
        </w:rPr>
        <w:t xml:space="preserve"> That alone, we explained, was sufficient to defeat an entrapment defense as a matter of law. </w:t>
      </w:r>
      <w:r>
        <w:rPr>
          <w:rFonts w:ascii="Times New Roman" w:hAnsi="Times New Roman"/>
          <w:i/>
          <w:color w:val="1f1f1f"/>
          <w:sz w:val="20"/>
        </w:rPr>
        <w:t>Id.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For support, </w:t>
      </w:r>
      <w:r>
        <w:rPr>
          <w:rFonts w:ascii="Times New Roman" w:hAnsi="Times New Roman"/>
          <w:i/>
          <w:color w:val="1f1f1f"/>
          <w:sz w:val="20"/>
        </w:rPr>
        <w:t>Robinson</w:t>
      </w:r>
      <w:r>
        <w:rPr>
          <w:rFonts w:ascii="Times New Roman" w:hAnsi="Times New Roman"/>
          <w:color w:val="1f1f1f"/>
          <w:sz w:val="20"/>
        </w:rPr>
        <w:t xml:space="preserve"> cited our decision in </w:t>
      </w:r>
      <w:hyperlink r:id="r90">
        <w:r>
          <w:rPr>
            <w:rFonts w:ascii="Times New Roman" w:hAnsi="Times New Roman"/>
            <w:i/>
            <w:color w:val="006fc4"/>
            <w:sz w:val="20"/>
          </w:rPr>
          <w:t>United States v. Munro</w:t>
        </w:r>
        <w:r>
          <w:rPr>
            <w:rFonts w:ascii="Times New Roman" w:hAnsi="Times New Roman"/>
            <w:color w:val="006fc4"/>
            <w:sz w:val="20"/>
          </w:rPr>
          <w:t>, 394 F.3d 865 (10th Cir. 2005)</w:t>
        </w:r>
      </w:hyperlink>
      <w:r>
        <w:rPr>
          <w:rFonts w:ascii="Times New Roman" w:hAnsi="Times New Roman"/>
          <w:color w:val="1f1f1f"/>
          <w:sz w:val="20"/>
        </w:rPr>
        <w:t xml:space="preserve">. In </w:t>
      </w:r>
      <w:r>
        <w:rPr>
          <w:rFonts w:ascii="Times New Roman" w:hAnsi="Times New Roman"/>
          <w:i/>
          <w:color w:val="1f1f1f"/>
          <w:sz w:val="20"/>
        </w:rPr>
        <w:t>Munro</w:t>
      </w:r>
      <w:r>
        <w:rPr>
          <w:rFonts w:ascii="Times New Roman" w:hAnsi="Times New Roman"/>
          <w:color w:val="1f1f1f"/>
          <w:sz w:val="20"/>
        </w:rPr>
        <w:t xml:space="preserve">, we held that the defendant was not entitled to an entrapment instruction because the undercover officer “gave [the defendant] more than one opportunity to back out” of meeting a minor to engage in sexual activity. </w:t>
      </w:r>
      <w:hyperlink r:id="r91">
        <w:r>
          <w:rPr>
            <w:rFonts w:ascii="Times New Roman" w:hAnsi="Times New Roman"/>
            <w:i/>
            <w:color w:val="006fc4"/>
            <w:sz w:val="20"/>
          </w:rPr>
          <w:t>Id.</w:t>
        </w:r>
        <w:r>
          <w:rPr>
            <w:rFonts w:ascii="Times New Roman" w:hAnsi="Times New Roman"/>
            <w:color w:val="006fc4"/>
            <w:sz w:val="20"/>
          </w:rPr>
          <w:t xml:space="preserve"> at 871</w:t>
        </w:r>
      </w:hyperlink>
      <w:r>
        <w:rPr>
          <w:rFonts w:ascii="Times New Roman" w:hAnsi="Times New Roman"/>
          <w:color w:val="1f1f1f"/>
          <w:sz w:val="20"/>
        </w:rPr>
        <w:t xml:space="preserve">. Specifically, after identifying herself as a thirteen-year-old girl and agreeing to meet to have sex, the undercover officer stated, “i don't want [to] sneak out and have this be a joke for u,” and asked, “So u will be there and u not messing with me?” </w:t>
      </w:r>
      <w:hyperlink r:id="r92">
        <w:r>
          <w:rPr>
            <w:rFonts w:ascii="Times New Roman" w:hAnsi="Times New Roman"/>
            <w:i/>
            <w:color w:val="006fc4"/>
            <w:sz w:val="20"/>
          </w:rPr>
          <w:t>Id.</w:t>
        </w:r>
        <w:r>
          <w:rPr>
            <w:rFonts w:ascii="Times New Roman" w:hAnsi="Times New Roman"/>
            <w:color w:val="006fc4"/>
            <w:sz w:val="20"/>
          </w:rPr>
          <w:t xml:space="preserve"> at 872 n.1</w:t>
        </w:r>
      </w:hyperlink>
      <w:r>
        <w:rPr>
          <w:rFonts w:ascii="Times New Roman" w:hAnsi="Times New Roman"/>
          <w:color w:val="1f1f1f"/>
          <w:sz w:val="20"/>
        </w:rPr>
        <w:t xml:space="preserve">. The officer testified at trial that he sent these messages “to give the individual an easy way out of backing out of the chat if they are not fully intending on meeting a young child.” </w:t>
      </w:r>
      <w:r>
        <w:rPr>
          <w:rFonts w:ascii="Times New Roman" w:hAnsi="Times New Roman"/>
          <w:i/>
          <w:color w:val="1f1f1f"/>
          <w:sz w:val="20"/>
        </w:rPr>
        <w:t>Id.</w:t>
      </w:r>
      <w:r>
        <w:rPr>
          <w:rFonts w:ascii="Times New Roman" w:hAnsi="Times New Roman"/>
          <w:color w:val="1f1f1f"/>
          <w:sz w:val="20"/>
        </w:rPr>
        <w:t xml:space="preserve"> That, the Court explained, “vitiat[ed] the need for an entrapment instruction.” </w:t>
      </w:r>
      <w:hyperlink r:id="r93">
        <w:r>
          <w:rPr>
            <w:rFonts w:ascii="Times New Roman" w:hAnsi="Times New Roman"/>
            <w:i/>
            <w:color w:val="006fc4"/>
            <w:sz w:val="20"/>
          </w:rPr>
          <w:t>Id.</w:t>
        </w:r>
        <w:r>
          <w:rPr>
            <w:rFonts w:ascii="Times New Roman" w:hAnsi="Times New Roman"/>
            <w:color w:val="006fc4"/>
            <w:sz w:val="20"/>
          </w:rPr>
          <w:t xml:space="preserve"> at 872–73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58" w:name="co_pp_sp_999_14_1"/>
      <w:r>
        <w:rPr>
          <w:rFonts w:ascii="Times New Roman" w:hAnsi="Times New Roman"/>
          <w:b/>
          <w:color w:val="000000"/>
          <w:sz w:val="20"/>
        </w:rPr>
        <w:t>*14</w:t>
      </w:r>
      <w:bookmarkEnd w:id="58"/>
      <w:r>
        <w:rPr>
          <w:rFonts w:ascii="Times New Roman" w:hAnsi="Times New Roman"/>
          <w:color w:val="1f1f1f"/>
          <w:sz w:val="20"/>
        </w:rPr>
        <w:t xml:space="preserve"> The upshot of these two cases is clear: when the government either discloses information that would put the defendant on notice that his conduct, if continued, would constitute a criminal offense, or provides the defendant with a way to back out of the crime, there is no government inducement.</w:t>
      </w:r>
      <w:bookmarkStart w:id="59" w:name="co_fnRef_B00102057466007_ID0E51AI_1"/>
      <w:hyperlink w:anchor="co_footnote_B00102057466007_1">
        <w:r>
          <w:rPr>
            <w:rFonts w:ascii="Times New Roman" w:hAnsi="Times New Roman"/>
            <w:color w:val="006fc4"/>
            <w:sz w:val="16"/>
            <w:vertAlign w:val="superscript"/>
          </w:rPr>
          <w:t>2</w:t>
        </w:r>
      </w:hyperlink>
      <w:bookmarkEnd w:id="59"/>
      <w:r>
        <w:rPr>
          <w:rFonts w:ascii="Times New Roman" w:hAnsi="Times New Roman"/>
          <w:color w:val="1f1f1f"/>
          <w:sz w:val="20"/>
        </w:rPr>
        <w:t xml:space="preserve"> Without inducement, an entrapment defense must fail. </w:t>
      </w:r>
      <w:hyperlink r:id="r94">
        <w:r>
          <w:rPr>
            <w:rFonts w:ascii="Times New Roman" w:hAnsi="Times New Roman"/>
            <w:i/>
            <w:color w:val="006fc4"/>
            <w:sz w:val="20"/>
          </w:rPr>
          <w:t>Robinson</w:t>
        </w:r>
        <w:r>
          <w:rPr>
            <w:rFonts w:ascii="Times New Roman" w:hAnsi="Times New Roman"/>
            <w:color w:val="006fc4"/>
            <w:sz w:val="20"/>
          </w:rPr>
          <w:t>, 993 F.3d at 847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60" w:name="co_anchor_I065800c16d4f11f0bfda9b9d9cca"/>
    <w:bookmarkStart w:id="61" w:name="co_anchor_I065800c16d4f11f0bfda9b9d92"/>
    <w:p>
      <w:pPr>
        <w:spacing w:before="600" w:after="0" w:line="275" w:lineRule="atLeast"/>
        <w:jc w:val="center"/>
      </w:pPr>
      <w:r>
        <w:rPr>
          <w:rFonts w:ascii="Times New Roman" w:hAnsi="Times New Roman"/>
          <w:b/>
          <w:color w:val="1f1f1f"/>
          <w:sz w:val="20"/>
        </w:rPr>
        <w:t>B.</w:t>
      </w:r>
    </w:p>
    <w:bookmarkEnd w:id="61"/>
    <w:bookmarkEnd w:id="60"/>
    <w:p>
      <w:pPr>
        <w:spacing w:before="400" w:after="0" w:line="275" w:lineRule="atLeast"/>
        <w:jc w:val="both"/>
      </w:pPr>
      <w:r>
        <w:rPr>
          <w:rFonts w:ascii="Times New Roman" w:hAnsi="Times New Roman"/>
          <w:color w:val="1f1f1f"/>
          <w:sz w:val="20"/>
        </w:rPr>
        <w:t xml:space="preserve">Applying our well-settled precedent to the facts of this case, I would conclude that Spradley was not entitled to have the jury hear his entrapment defense. As in </w:t>
      </w:r>
      <w:r>
        <w:rPr>
          <w:rFonts w:ascii="Times New Roman" w:hAnsi="Times New Roman"/>
          <w:i/>
          <w:color w:val="1f1f1f"/>
          <w:sz w:val="20"/>
        </w:rPr>
        <w:t>Robinson</w:t>
      </w:r>
      <w:r>
        <w:rPr>
          <w:rFonts w:ascii="Times New Roman" w:hAnsi="Times New Roman"/>
          <w:color w:val="1f1f1f"/>
          <w:sz w:val="20"/>
        </w:rPr>
        <w:t xml:space="preserve"> and </w:t>
      </w:r>
      <w:r>
        <w:rPr>
          <w:rFonts w:ascii="Times New Roman" w:hAnsi="Times New Roman"/>
          <w:i/>
          <w:color w:val="1f1f1f"/>
          <w:sz w:val="20"/>
        </w:rPr>
        <w:t>Munro</w:t>
      </w:r>
      <w:r>
        <w:rPr>
          <w:rFonts w:ascii="Times New Roman" w:hAnsi="Times New Roman"/>
          <w:color w:val="1f1f1f"/>
          <w:sz w:val="20"/>
        </w:rPr>
        <w:t>, the government could not have induced Spradley because it provided Spradley with an out—an out that Spradley refused to take.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Within the first few messages of their conversation, after discussing Spradley's money-for-sex offer, the undercover agent informed Spradley that “Ashlee” was seventeen. Not only did the officer disclose that she was a minor, but the officer also specifically asked Spradley if that posed a problem, indicating that their arrangement was wrongful.</w:t>
      </w:r>
      <w:bookmarkStart w:id="62" w:name="co_fnRef_B00112057466007_ID0EU6AI_1"/>
      <w:hyperlink w:anchor="co_footnote_B00112057466007_1">
        <w:r>
          <w:rPr>
            <w:rFonts w:ascii="Times New Roman" w:hAnsi="Times New Roman"/>
            <w:color w:val="006fc4"/>
            <w:sz w:val="16"/>
            <w:vertAlign w:val="superscript"/>
          </w:rPr>
          <w:t>3</w:t>
        </w:r>
      </w:hyperlink>
      <w:bookmarkEnd w:id="62"/>
      <w:r>
        <w:rPr>
          <w:rFonts w:ascii="Times New Roman" w:hAnsi="Times New Roman"/>
          <w:color w:val="1f1f1f"/>
          <w:sz w:val="20"/>
        </w:rPr>
        <w:t xml:space="preserve"> Supplied with the requisite information to know that his conduct, if continued, would be unlawful––yet with a readily available escape hatch––Spradley forged ahead. Without any reservation, he continued to communicate with Ashlee, confirming his plan to have sex with her in exchange for $500 and eventually offering to drive across state lines to pick her up to facilitate their meeting. And he continued to share intimate and sexually explicit messages with her until the day he was arrested after driving from Kansas City to Topeka to meet her. Thus, all of Spradley's conduct following Ashlee's disclosure that she was a minor indicates that he declined the government's offer to back out of the crime.</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63" w:name="co_pp_sp_999_15_1"/>
      <w:r>
        <w:rPr>
          <w:rFonts w:ascii="Times New Roman" w:hAnsi="Times New Roman"/>
          <w:b/>
          <w:color w:val="000000"/>
          <w:sz w:val="20"/>
        </w:rPr>
        <w:t>*15</w:t>
      </w:r>
      <w:bookmarkEnd w:id="63"/>
      <w:r>
        <w:rPr>
          <w:rFonts w:ascii="Times New Roman" w:hAnsi="Times New Roman"/>
          <w:color w:val="1f1f1f"/>
          <w:sz w:val="20"/>
        </w:rPr>
        <w:t xml:space="preserve"> In fact, the government's case here is even stronger than in </w:t>
      </w:r>
      <w:r>
        <w:rPr>
          <w:rFonts w:ascii="Times New Roman" w:hAnsi="Times New Roman"/>
          <w:i/>
          <w:color w:val="1f1f1f"/>
          <w:sz w:val="20"/>
        </w:rPr>
        <w:t>Robinson</w:t>
      </w:r>
      <w:r>
        <w:rPr>
          <w:rFonts w:ascii="Times New Roman" w:hAnsi="Times New Roman"/>
          <w:color w:val="1f1f1f"/>
          <w:sz w:val="20"/>
        </w:rPr>
        <w:t xml:space="preserve"> and </w:t>
      </w:r>
      <w:r>
        <w:rPr>
          <w:rFonts w:ascii="Times New Roman" w:hAnsi="Times New Roman"/>
          <w:i/>
          <w:color w:val="1f1f1f"/>
          <w:sz w:val="20"/>
        </w:rPr>
        <w:t>Munro</w:t>
      </w:r>
      <w:r>
        <w:rPr>
          <w:rFonts w:ascii="Times New Roman" w:hAnsi="Times New Roman"/>
          <w:color w:val="1f1f1f"/>
          <w:sz w:val="20"/>
        </w:rPr>
        <w:t>, because the undercover agent went beyond merely disclosing Ashlee's age and explicitly asked Spradley whether that fact posed a problem. The officer's question not only put Spradley on notice that their arrangement was unlawful, but it also provided Spradley with a clear opportunity to back out of the crime.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government's conduct, therefore, could not and did not create “a substantial risk that an undisposed person or otherwise law-abiding citizen would commit the offense.” </w:t>
      </w:r>
      <w:hyperlink r:id="r95">
        <w:r>
          <w:rPr>
            <w:rFonts w:ascii="Times New Roman" w:hAnsi="Times New Roman"/>
            <w:i/>
            <w:color w:val="006fc4"/>
            <w:sz w:val="20"/>
          </w:rPr>
          <w:t>Ortiz</w:t>
        </w:r>
        <w:r>
          <w:rPr>
            <w:rFonts w:ascii="Times New Roman" w:hAnsi="Times New Roman"/>
            <w:color w:val="006fc4"/>
            <w:sz w:val="20"/>
          </w:rPr>
          <w:t>, 804 F.2d at 1165</w:t>
        </w:r>
      </w:hyperlink>
      <w:r>
        <w:rPr>
          <w:rFonts w:ascii="Times New Roman" w:hAnsi="Times New Roman"/>
          <w:color w:val="1f1f1f"/>
          <w:sz w:val="20"/>
        </w:rPr>
        <w:t>. Any law-abiding citizen would have ended the conversation or withdrawn the offer to pay for sex the moment he learned that he was communicating with a minor. Any law-abiding citizen certainly would not have continued to send sexually explicit messages</w:t>
      </w:r>
      <w:bookmarkStart w:id="64" w:name="co_fnRef_B00122057466007_ID0ECEBI_1"/>
      <w:hyperlink w:anchor="co_footnote_B00122057466007_1">
        <w:r>
          <w:rPr>
            <w:rFonts w:ascii="Times New Roman" w:hAnsi="Times New Roman"/>
            <w:color w:val="006fc4"/>
            <w:sz w:val="16"/>
            <w:vertAlign w:val="superscript"/>
          </w:rPr>
          <w:t>4</w:t>
        </w:r>
      </w:hyperlink>
      <w:bookmarkEnd w:id="64"/>
      <w:r>
        <w:rPr>
          <w:rFonts w:ascii="Times New Roman" w:hAnsi="Times New Roman"/>
          <w:color w:val="1f1f1f"/>
          <w:sz w:val="20"/>
        </w:rPr>
        <w:t xml:space="preserve"> and would not have driven over sixty miles across state lines to have sex with a minor in exchange for money. Thus, the government's conduct did not induce Spradley to travel with the purpose of engaging in commercial sex with a minor.</w:t>
      </w:r>
    </w:p>
    <w:p>
      <w:pPr>
        <w:spacing w:before="0" w:after="0" w:line="275" w:lineRule="atLeast"/>
        <w:jc w:val="both"/>
      </w:pPr>
      <w:r>
        <w:rPr>
          <w:rFonts w:ascii="Times New Roman" w:hAnsi="Times New Roman"/>
          <w:color w:val="1f1f1f"/>
          <w:sz w:val="20"/>
        </w:rPr>
        <w:t> </w:t>
      </w:r>
    </w:p>
    <w:bookmarkStart w:id="65" w:name="co_anchor_I065b83316d4f11f0bfda9b9d9cca"/>
    <w:bookmarkStart w:id="66" w:name="co_anchor_I065b83316d4f11f0bfda9b9d92"/>
    <w:p>
      <w:pPr>
        <w:spacing w:before="600" w:after="0" w:line="275" w:lineRule="atLeast"/>
        <w:jc w:val="center"/>
      </w:pPr>
      <w:r>
        <w:rPr>
          <w:rFonts w:ascii="Times New Roman" w:hAnsi="Times New Roman"/>
          <w:b/>
          <w:color w:val="1f1f1f"/>
          <w:sz w:val="20"/>
        </w:rPr>
        <w:t>C.</w:t>
      </w:r>
    </w:p>
    <w:bookmarkEnd w:id="66"/>
    <w:bookmarkEnd w:id="65"/>
    <w:p>
      <w:pPr>
        <w:spacing w:before="400" w:after="0" w:line="275" w:lineRule="atLeast"/>
        <w:jc w:val="both"/>
      </w:pPr>
      <w:r>
        <w:rPr>
          <w:rFonts w:ascii="Times New Roman" w:hAnsi="Times New Roman"/>
          <w:color w:val="1f1f1f"/>
          <w:sz w:val="20"/>
        </w:rPr>
        <w:t>The majority does little to rebut this unavoidable conclusion. Instead, the majority resorts to the party presentation principle to skirt the issue, simultaneously misapplying it here and drastically overstating its applicability in the process. And what little the majority does say about the government-provided “out” demonstrates that the majority fundamentally misunderstands the inquiry under the inducement prong.</w:t>
      </w:r>
    </w:p>
    <w:p>
      <w:pPr>
        <w:spacing w:before="0" w:after="0" w:line="275" w:lineRule="atLeast"/>
        <w:jc w:val="both"/>
      </w:pPr>
      <w:r>
        <w:rPr>
          <w:rFonts w:ascii="Times New Roman" w:hAnsi="Times New Roman"/>
          <w:color w:val="1f1f1f"/>
          <w:sz w:val="20"/>
        </w:rPr>
        <w:t> </w:t>
      </w:r>
    </w:p>
    <w:bookmarkStart w:id="67" w:name="co_anchor_I065bf8616d4f11f0bfda9b9d9cca"/>
    <w:bookmarkStart w:id="68" w:name="co_anchor_I065bf8616d4f11f0bfda9b9d92"/>
    <w:p>
      <w:pPr>
        <w:spacing w:before="600" w:after="0" w:line="275" w:lineRule="atLeast"/>
        <w:jc w:val="center"/>
      </w:pPr>
      <w:r>
        <w:rPr>
          <w:rFonts w:ascii="Times New Roman" w:hAnsi="Times New Roman"/>
          <w:b/>
          <w:color w:val="1f1f1f"/>
          <w:sz w:val="20"/>
        </w:rPr>
        <w:t>1.</w:t>
      </w:r>
    </w:p>
    <w:bookmarkEnd w:id="68"/>
    <w:bookmarkEnd w:id="67"/>
    <w:p>
      <w:pPr>
        <w:spacing w:before="400" w:after="0" w:line="275" w:lineRule="atLeast"/>
        <w:jc w:val="both"/>
      </w:pPr>
      <w:r>
        <w:rPr>
          <w:rFonts w:ascii="Times New Roman" w:hAnsi="Times New Roman"/>
          <w:color w:val="1f1f1f"/>
          <w:sz w:val="20"/>
        </w:rPr>
        <w:t xml:space="preserve">The majority refuses to apply these principles of inducement in part because it claims that the government never advanced the argument that the undercover agent provided an “out” to Spradley, which in turn negated inducement. But a quick look at the government's brief on appeal belies the majority's claim. In a nutshell, here's what the government argued: the “exchanges” between Spradley and the undercover agent demonstrate that the government's conduct “did not create a substantial risk that an undisposed person would agree to cross state lines in order to purchase sex from a minor.” Aple. Br. at 34–35. </w:t>
      </w:r>
      <w:r>
        <w:rPr>
          <w:rFonts w:ascii="Times New Roman" w:hAnsi="Times New Roman"/>
          <w:color w:val="1f1f1f"/>
          <w:sz w:val="20"/>
        </w:rPr>
        <w:t xml:space="preserve">Those exchanges included telling Spradley “that [Ashlee] was 17 years old and ask[ing] [him] if that was a problem.” </w:t>
      </w:r>
      <w:r>
        <w:rPr>
          <w:rFonts w:ascii="Times New Roman" w:hAnsi="Times New Roman"/>
          <w:i/>
          <w:color w:val="1f1f1f"/>
          <w:sz w:val="20"/>
        </w:rPr>
        <w:t>Id.</w:t>
      </w:r>
      <w:r>
        <w:rPr>
          <w:rFonts w:ascii="Times New Roman" w:hAnsi="Times New Roman"/>
          <w:color w:val="1f1f1f"/>
          <w:sz w:val="20"/>
        </w:rPr>
        <w:t xml:space="preserve"> at 35. And the government pointed out that Spradley “voiced no objection” when he learned “Ashlee was 17 years old,” instead deciding to continue their sexually explicit conversation and make plans to have sex in exchange for money. </w:t>
      </w:r>
      <w:r>
        <w:rPr>
          <w:rFonts w:ascii="Times New Roman" w:hAnsi="Times New Roman"/>
          <w:i/>
          <w:color w:val="1f1f1f"/>
          <w:sz w:val="20"/>
        </w:rPr>
        <w:t>Id.</w:t>
      </w:r>
      <w:r>
        <w:rPr>
          <w:rFonts w:ascii="Times New Roman" w:hAnsi="Times New Roman"/>
          <w:color w:val="1f1f1f"/>
          <w:sz w:val="20"/>
        </w:rPr>
        <w:t xml:space="preserve"> The government concluded its argument on the inducement prong by stating the following:</w:t>
      </w:r>
    </w:p>
    <w:p>
      <w:pPr>
        <w:spacing w:before="200" w:after="0" w:line="275" w:lineRule="atLeast"/>
        <w:ind w:left="480" w:right="480" w:firstLine="0"/>
        <w:jc w:val="both"/>
      </w:pPr>
      <w:r>
        <w:rPr>
          <w:rFonts w:ascii="Times New Roman" w:hAnsi="Times New Roman"/>
          <w:color w:val="1f1f1f"/>
          <w:sz w:val="20"/>
        </w:rPr>
        <w:t xml:space="preserve">These exchanges make clear that Ashlee did not induce Defendant to offer to pay her money for sex through persuasion, fraudulent representations, threats, coercive tactics, harassment, promises of reward, or pleas based on need, sympathy or friendship. On the contrary, Defendant proposed the crime and stated that he was eager to carry it out </w:t>
      </w:r>
      <w:r>
        <w:rPr>
          <w:rFonts w:ascii="Times New Roman" w:hAnsi="Times New Roman"/>
          <w:i/>
          <w:color w:val="1f1f1f"/>
          <w:sz w:val="20"/>
        </w:rPr>
        <w:t>even after Ashlee told him she was 17 years old</w:t>
      </w:r>
      <w:r>
        <w:rPr>
          <w:rFonts w:ascii="Times New Roman" w:hAnsi="Times New Roman"/>
          <w:color w:val="1f1f1f"/>
          <w:sz w:val="20"/>
        </w:rPr>
        <w:t>.</w:t>
      </w:r>
    </w:p>
    <w:p>
      <w:pPr>
        <w:spacing w:before="200" w:after="0" w:line="275" w:lineRule="atLeast"/>
        <w:jc w:val="both"/>
      </w:pPr>
      <w:bookmarkStart w:id="69" w:name="co_pp_sp_999_16_1"/>
      <w:r>
        <w:rPr>
          <w:rFonts w:ascii="Times New Roman" w:hAnsi="Times New Roman"/>
          <w:b/>
          <w:color w:val="000000"/>
          <w:sz w:val="20"/>
        </w:rPr>
        <w:t>*16</w:t>
      </w:r>
      <w:bookmarkEnd w:id="69"/>
      <w:r>
        <w:rPr>
          <w:rFonts w:ascii="Times New Roman" w:hAnsi="Times New Roman"/>
          <w:color w:val="1f1f1f"/>
          <w:sz w:val="20"/>
        </w:rPr>
        <w:t xml:space="preserve"> </w:t>
      </w:r>
      <w:r>
        <w:rPr>
          <w:rFonts w:ascii="Times New Roman" w:hAnsi="Times New Roman"/>
          <w:i/>
          <w:color w:val="1f1f1f"/>
          <w:sz w:val="20"/>
        </w:rPr>
        <w:t>Id.</w:t>
      </w:r>
      <w:r>
        <w:rPr>
          <w:rFonts w:ascii="Times New Roman" w:hAnsi="Times New Roman"/>
          <w:color w:val="1f1f1f"/>
          <w:sz w:val="20"/>
        </w:rPr>
        <w:t xml:space="preserve"> at 35–36 (emphasis added).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That latter point echoed what the government stated below when it argued that there was no inducement because Spradley “had multiple opportunities to withdraw from the conversation but did not.” R. Vol. I at 156. Thus, although the government did not attach a label to its argument or use the phrase “back out,” it argued in substance that the agent's disclosure of Ashlee's age and Spradley's decision to forge ahead defeated inducement. In my view, that is the only plausible way to understand the government's position.</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majority seemingly takes issue with the government's failure to expressly characterize the undercover agent's disclosure of Ashlee's age as an opportunity to “back out” of committing the crime. But we have never required litigants to use magic words to identify their legal theories, nor have we placed any special importance on a party's characterization of its own argument. The substance of the argument is all that matters. And here, the government's argument was, in essence, that it did not induce Spradley because it disclosed Ashlee's age and asked if her underage status posed a problem, thereby providing “multiple opportunities to withdraw from the conversation.” R. Vol. I at 156. The majority's contention that I am crafting a “new” argument for the government is baffling, to say the least.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Even assuming the government had not advanced this precise theory, the party presentation principle would not prevent our Court from applying the principles discussed above to this case. I agree with the majority that federal courts generally “rely on the parties to frame the issues for decision.” </w:t>
      </w:r>
      <w:hyperlink r:id="r96">
        <w:r>
          <w:rPr>
            <w:rFonts w:ascii="Times New Roman" w:hAnsi="Times New Roman"/>
            <w:i/>
            <w:color w:val="006fc4"/>
            <w:sz w:val="20"/>
          </w:rPr>
          <w:t>Greenlaw v. United States</w:t>
        </w:r>
        <w:r>
          <w:rPr>
            <w:rFonts w:ascii="Times New Roman" w:hAnsi="Times New Roman"/>
            <w:color w:val="006fc4"/>
            <w:sz w:val="20"/>
          </w:rPr>
          <w:t>, 554 U.S. 237, 244 (2008)</w:t>
        </w:r>
      </w:hyperlink>
      <w:r>
        <w:rPr>
          <w:rFonts w:ascii="Times New Roman" w:hAnsi="Times New Roman"/>
          <w:color w:val="1f1f1f"/>
          <w:sz w:val="20"/>
        </w:rPr>
        <w:t xml:space="preserve">. However, once “an issue or claim is properly before the court, the court is not limited to the particular legal theories advanced by the parties, but rather retains the independent power to identify and apply the proper construction of governing law.” </w:t>
      </w:r>
      <w:hyperlink r:id="r97">
        <w:r>
          <w:rPr>
            <w:rFonts w:ascii="Times New Roman" w:hAnsi="Times New Roman"/>
            <w:i/>
            <w:color w:val="006fc4"/>
            <w:sz w:val="20"/>
          </w:rPr>
          <w:t>Kamen v. Kemper Fin. Servs., Inc.</w:t>
        </w:r>
        <w:r>
          <w:rPr>
            <w:rFonts w:ascii="Times New Roman" w:hAnsi="Times New Roman"/>
            <w:color w:val="006fc4"/>
            <w:sz w:val="20"/>
          </w:rPr>
          <w:t>, 500 U.S. 90, 99 (1991)</w:t>
        </w:r>
      </w:hyperlink>
      <w:r>
        <w:rPr>
          <w:rFonts w:ascii="Times New Roman" w:hAnsi="Times New Roman"/>
          <w:color w:val="1f1f1f"/>
          <w:sz w:val="20"/>
        </w:rPr>
        <w:t xml:space="preserve">; </w:t>
      </w:r>
      <w:hyperlink r:id="r98">
        <w:r>
          <w:rPr>
            <w:rFonts w:ascii="Times New Roman" w:hAnsi="Times New Roman"/>
            <w:i/>
            <w:color w:val="006fc4"/>
            <w:sz w:val="20"/>
          </w:rPr>
          <w:t>United States v. Hohn</w:t>
        </w:r>
        <w:r>
          <w:rPr>
            <w:rFonts w:ascii="Times New Roman" w:hAnsi="Times New Roman"/>
            <w:color w:val="006fc4"/>
            <w:sz w:val="20"/>
          </w:rPr>
          <w:t>, 123 F.4th 1084, 1129 n.7 (10th Cir. 2024)</w:t>
        </w:r>
      </w:hyperlink>
      <w:r>
        <w:rPr>
          <w:rFonts w:ascii="Times New Roman" w:hAnsi="Times New Roman"/>
          <w:color w:val="1f1f1f"/>
          <w:sz w:val="20"/>
        </w:rPr>
        <w:t xml:space="preserve"> (en banc) (Bacharach, J., dissenting in part) (quoting the same). Relying on this language, we have previously explained that the party presentation principle seeks to prevent our Court from “raising new issues.” </w:t>
      </w:r>
      <w:hyperlink r:id="r99">
        <w:r>
          <w:rPr>
            <w:rFonts w:ascii="Times New Roman" w:hAnsi="Times New Roman"/>
            <w:i/>
            <w:color w:val="006fc4"/>
            <w:sz w:val="20"/>
          </w:rPr>
          <w:t>United States v. Cortez</w:t>
        </w:r>
        <w:r>
          <w:rPr>
            <w:rFonts w:ascii="Times New Roman" w:hAnsi="Times New Roman"/>
            <w:color w:val="006fc4"/>
            <w:sz w:val="20"/>
          </w:rPr>
          <w:t>-</w:t>
        </w:r>
        <w:r>
          <w:rPr>
            <w:rFonts w:ascii="Times New Roman" w:hAnsi="Times New Roman"/>
            <w:i/>
            <w:color w:val="006fc4"/>
            <w:sz w:val="20"/>
          </w:rPr>
          <w:t>Nieto</w:t>
        </w:r>
        <w:r>
          <w:rPr>
            <w:rFonts w:ascii="Times New Roman" w:hAnsi="Times New Roman"/>
            <w:color w:val="006fc4"/>
            <w:sz w:val="20"/>
          </w:rPr>
          <w:t>, 43 F.4th 1034, 1052 (10th Cir. 2022)</w:t>
        </w:r>
      </w:hyperlink>
      <w:r>
        <w:rPr>
          <w:rFonts w:ascii="Times New Roman" w:hAnsi="Times New Roman"/>
          <w:color w:val="1f1f1f"/>
          <w:sz w:val="20"/>
        </w:rPr>
        <w:t xml:space="preserve">. But “once a party raises an issue, we are not required to ‘render [our] decision in accordance with the position of one of the parties.’ ” </w:t>
      </w:r>
      <w:hyperlink r:id="r100">
        <w:r>
          <w:rPr>
            <w:rFonts w:ascii="Times New Roman" w:hAnsi="Times New Roman"/>
            <w:i/>
            <w:color w:val="006fc4"/>
            <w:sz w:val="20"/>
          </w:rPr>
          <w:t>Baca v. Cosper</w:t>
        </w:r>
        <w:r>
          <w:rPr>
            <w:rFonts w:ascii="Times New Roman" w:hAnsi="Times New Roman"/>
            <w:color w:val="006fc4"/>
            <w:sz w:val="20"/>
          </w:rPr>
          <w:t>, 128 F.4th 1319, 1327 n.5 (10th Cir. 2025)</w:t>
        </w:r>
      </w:hyperlink>
      <w:r>
        <w:rPr>
          <w:rFonts w:ascii="Times New Roman" w:hAnsi="Times New Roman"/>
          <w:color w:val="1f1f1f"/>
          <w:sz w:val="20"/>
        </w:rPr>
        <w:t xml:space="preserve"> (alteration in original) (quoting </w:t>
      </w:r>
      <w:hyperlink r:id="r101">
        <w:r>
          <w:rPr>
            <w:rFonts w:ascii="Times New Roman" w:hAnsi="Times New Roman"/>
            <w:i/>
            <w:color w:val="006fc4"/>
            <w:sz w:val="20"/>
          </w:rPr>
          <w:t>Cortez-Nieto</w:t>
        </w:r>
        <w:r>
          <w:rPr>
            <w:rFonts w:ascii="Times New Roman" w:hAnsi="Times New Roman"/>
            <w:color w:val="006fc4"/>
            <w:sz w:val="20"/>
          </w:rPr>
          <w:t>, 43 F.4th at 1052</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Here, whether the government induced Spradley to commit the offense is not a “new” issue. </w:t>
      </w:r>
      <w:r>
        <w:rPr>
          <w:rFonts w:ascii="Times New Roman" w:hAnsi="Times New Roman"/>
          <w:color w:val="1f1f1f"/>
          <w:sz w:val="20"/>
        </w:rPr>
        <w:t xml:space="preserve">Both parties raised and extensively briefed the issue. </w:t>
      </w:r>
      <w:r>
        <w:rPr>
          <w:rFonts w:ascii="Times New Roman" w:hAnsi="Times New Roman"/>
          <w:i/>
          <w:color w:val="1f1f1f"/>
          <w:sz w:val="20"/>
        </w:rPr>
        <w:t>See</w:t>
      </w:r>
      <w:r>
        <w:rPr>
          <w:rFonts w:ascii="Times New Roman" w:hAnsi="Times New Roman"/>
          <w:color w:val="1f1f1f"/>
          <w:sz w:val="20"/>
        </w:rPr>
        <w:t xml:space="preserve"> Aplt. Br. at 46–49; Aple. Br. at 33–36. My view as to why no government inducement occurred here—that is, because the government offered Spradley an opportunity to back out of committing the crime—is therefore only an application of governing law within the already-presented issue of inducement. In that way, my position does not run afoul of the party presentation principle. Simply put, the party presentation principle is not even implicated.</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70" w:name="co_pp_sp_999_17_1"/>
      <w:r>
        <w:rPr>
          <w:rFonts w:ascii="Times New Roman" w:hAnsi="Times New Roman"/>
          <w:b/>
          <w:color w:val="000000"/>
          <w:sz w:val="20"/>
        </w:rPr>
        <w:t>*17</w:t>
      </w:r>
      <w:bookmarkEnd w:id="70"/>
      <w:r>
        <w:rPr>
          <w:rFonts w:ascii="Times New Roman" w:hAnsi="Times New Roman"/>
          <w:color w:val="1f1f1f"/>
          <w:sz w:val="20"/>
        </w:rPr>
        <w:t xml:space="preserve"> Instead, my position—even ignoring the fact that the government did advance it—would conform with the longstanding principle that “we may affirm on any basis supported by the record, even if it requires ruling on arguments not reached by the district court or even presented to us on appeal.” </w:t>
      </w:r>
      <w:hyperlink r:id="r102">
        <w:r>
          <w:rPr>
            <w:rFonts w:ascii="Times New Roman" w:hAnsi="Times New Roman"/>
            <w:i/>
            <w:color w:val="006fc4"/>
            <w:sz w:val="20"/>
          </w:rPr>
          <w:t>Richison v. Ernest Grp., Inc.</w:t>
        </w:r>
        <w:r>
          <w:rPr>
            <w:rFonts w:ascii="Times New Roman" w:hAnsi="Times New Roman"/>
            <w:color w:val="006fc4"/>
            <w:sz w:val="20"/>
          </w:rPr>
          <w:t>, 634 F.3d 1123, 1130 (10th Cir. 2011)</w:t>
        </w:r>
      </w:hyperlink>
      <w:r>
        <w:rPr>
          <w:rFonts w:ascii="Times New Roman" w:hAnsi="Times New Roman"/>
          <w:color w:val="1f1f1f"/>
          <w:sz w:val="20"/>
        </w:rPr>
        <w:t xml:space="preserve"> (Gorsuch, J.). As we have cogently explained, the power to affirm on alternate grounds is not just a power but a duty:</w:t>
      </w:r>
    </w:p>
    <w:p>
      <w:pPr>
        <w:spacing w:before="200" w:after="0" w:line="275" w:lineRule="atLeast"/>
        <w:ind w:left="480" w:right="480" w:firstLine="0"/>
        <w:jc w:val="both"/>
      </w:pPr>
      <w:r>
        <w:rPr>
          <w:rFonts w:ascii="Times New Roman" w:hAnsi="Times New Roman"/>
          <w:color w:val="1f1f1f"/>
          <w:sz w:val="20"/>
        </w:rPr>
        <w:t>This broad power to affirm extends beyond the counter-arguments raised by the appellee; it includes any ground for which there is record to support conclusions of law. Once the appellant alleges the district court erred, we have a duty to assess the validity of the appellant's allegations. This duty arises in part out of our relationship with the district court, and we may not neglect it simply because an appellee fails to defend adequately the district court's decision. To do so would open the door to a perverse jurisprudence by which properly decided district court decisions could be reversed.</w:t>
      </w:r>
    </w:p>
    <w:p>
      <w:pPr>
        <w:spacing w:before="200" w:after="0" w:line="275" w:lineRule="atLeast"/>
        <w:jc w:val="both"/>
      </w:pPr>
      <w:hyperlink r:id="r103">
        <w:r>
          <w:rPr>
            <w:rFonts w:ascii="Times New Roman" w:hAnsi="Times New Roman"/>
            <w:i/>
            <w:color w:val="006fc4"/>
            <w:sz w:val="20"/>
          </w:rPr>
          <w:t>Hernandez v. Starbuck</w:t>
        </w:r>
        <w:r>
          <w:rPr>
            <w:rFonts w:ascii="Times New Roman" w:hAnsi="Times New Roman"/>
            <w:color w:val="006fc4"/>
            <w:sz w:val="20"/>
          </w:rPr>
          <w:t>, 69 F.3d 1089, 1093–94 (10th Cir. 1995)</w:t>
        </w:r>
      </w:hyperlink>
      <w:r>
        <w:rPr>
          <w:rFonts w:ascii="Times New Roman" w:hAnsi="Times New Roman"/>
          <w:color w:val="1f1f1f"/>
          <w:sz w:val="20"/>
        </w:rPr>
        <w:t xml:space="preserve">. Therefore, contrary to the majority's view, a party's argument—or lack thereof—does not require our Court to “sacrifice the integrity of our jurisprudence” at the expense of adhering to the “party presentation principle.” </w:t>
      </w:r>
      <w:hyperlink r:id="r104">
        <w:r>
          <w:rPr>
            <w:rFonts w:ascii="Times New Roman" w:hAnsi="Times New Roman"/>
            <w:i/>
            <w:color w:val="006fc4"/>
            <w:sz w:val="20"/>
          </w:rPr>
          <w:t>Short v. Hartman</w:t>
        </w:r>
        <w:r>
          <w:rPr>
            <w:rFonts w:ascii="Times New Roman" w:hAnsi="Times New Roman"/>
            <w:color w:val="006fc4"/>
            <w:sz w:val="20"/>
          </w:rPr>
          <w:t>, 87 F.4th 593, 604 (4th Cir. 2023)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majority brushes all this aside, suggesting that I am making a factual argument—one inappropriate for us to consider sua sponte. But that entirely misstates my position. I am not embroiling the Court in a factual dispute about whether the government provided Spradley with an “out”; to the contrary, I am merely concluding—based on the undisputed facts in the record—that the government's conduct does not amount to inducement as a matter of law. We have routinely concluded that whether the government's conduct amounted to inducement is a question of law, not one of fact. </w:t>
      </w:r>
      <w:r>
        <w:rPr>
          <w:rFonts w:ascii="Times New Roman" w:hAnsi="Times New Roman"/>
          <w:i/>
          <w:color w:val="1f1f1f"/>
          <w:sz w:val="20"/>
        </w:rPr>
        <w:t>See, e.g.</w:t>
      </w:r>
      <w:r>
        <w:rPr>
          <w:rFonts w:ascii="Times New Roman" w:hAnsi="Times New Roman"/>
          <w:color w:val="1f1f1f"/>
          <w:sz w:val="20"/>
        </w:rPr>
        <w:t xml:space="preserve">, </w:t>
      </w:r>
      <w:hyperlink r:id="r105">
        <w:r>
          <w:rPr>
            <w:rFonts w:ascii="Times New Roman" w:hAnsi="Times New Roman"/>
            <w:i/>
            <w:color w:val="006fc4"/>
            <w:sz w:val="20"/>
          </w:rPr>
          <w:t>United Sates v. Vincent</w:t>
        </w:r>
        <w:r>
          <w:rPr>
            <w:rFonts w:ascii="Times New Roman" w:hAnsi="Times New Roman"/>
            <w:color w:val="006fc4"/>
            <w:sz w:val="20"/>
          </w:rPr>
          <w:t>, 611 F.3d 1246, 1249–50 (10th Cir. 2010)</w:t>
        </w:r>
      </w:hyperlink>
      <w:r>
        <w:rPr>
          <w:rFonts w:ascii="Times New Roman" w:hAnsi="Times New Roman"/>
          <w:color w:val="1f1f1f"/>
          <w:sz w:val="20"/>
        </w:rPr>
        <w:t xml:space="preserve"> (“Whether there is evidence sufficient to constitute a triable issue of entrapment is a question of law.” (cleaned up)); </w:t>
      </w:r>
      <w:r>
        <w:rPr>
          <w:rFonts w:ascii="Times New Roman" w:hAnsi="Times New Roman"/>
          <w:i/>
          <w:color w:val="1f1f1f"/>
          <w:sz w:val="20"/>
        </w:rPr>
        <w:t>see also</w:t>
      </w:r>
      <w:r>
        <w:rPr>
          <w:rFonts w:ascii="Times New Roman" w:hAnsi="Times New Roman"/>
          <w:color w:val="1f1f1f"/>
          <w:sz w:val="20"/>
        </w:rPr>
        <w:t xml:space="preserve"> </w:t>
      </w:r>
      <w:hyperlink r:id="r106">
        <w:r>
          <w:rPr>
            <w:rFonts w:ascii="Times New Roman" w:hAnsi="Times New Roman"/>
            <w:i/>
            <w:color w:val="006fc4"/>
            <w:sz w:val="20"/>
          </w:rPr>
          <w:t>Sherman v. United States</w:t>
        </w:r>
        <w:r>
          <w:rPr>
            <w:rFonts w:ascii="Times New Roman" w:hAnsi="Times New Roman"/>
            <w:color w:val="006fc4"/>
            <w:sz w:val="20"/>
          </w:rPr>
          <w:t>, 356 U.S. 369, 372 (1958)</w:t>
        </w:r>
      </w:hyperlink>
      <w:r>
        <w:rPr>
          <w:rFonts w:ascii="Times New Roman" w:hAnsi="Times New Roman"/>
          <w:color w:val="1f1f1f"/>
          <w:sz w:val="20"/>
        </w:rPr>
        <w:t xml:space="preserve"> (concluding that “entrapment was established as a matter of law” based on the record).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this case, it is uncontroverted that the government provided an out which Spradley refused to take. In fact, Spradley, in his opening brief, admits that Ashlee sent him a message saying, “Im 17 is that a problem?” Aplt. Br. at 6. He further admits that, notwithstanding Ashlee's disclosure, he did not end the conversation or withdraw his offer to have sex in exchange for money. </w:t>
      </w:r>
      <w:r>
        <w:rPr>
          <w:rFonts w:ascii="Times New Roman" w:hAnsi="Times New Roman"/>
          <w:i/>
          <w:color w:val="1f1f1f"/>
          <w:sz w:val="20"/>
        </w:rPr>
        <w:t>Id.</w:t>
      </w:r>
      <w:r>
        <w:rPr>
          <w:rFonts w:ascii="Times New Roman" w:hAnsi="Times New Roman"/>
          <w:color w:val="1f1f1f"/>
          <w:sz w:val="20"/>
        </w:rPr>
        <w:t xml:space="preserve"> at 7. Consequently, there is no dispute that the undercover agent disclosed Ashlee's age, asked if her age posed a problem, and with that information in mind, Spradley did not end the conversation. Based on those facts alone, I would conclude that Spradley is not entitled to an entrapment decision as a matter of law. </w:t>
      </w:r>
      <w:r>
        <w:rPr>
          <w:rFonts w:ascii="Times New Roman" w:hAnsi="Times New Roman"/>
          <w:color w:val="1f1f1f"/>
          <w:sz w:val="20"/>
        </w:rPr>
        <w:t>That is not a factual conclusion—it is a legal one based on the evidence in the fully developed record. The majority's reliance on the party presentation principle is thus unavailing.</w:t>
      </w:r>
    </w:p>
    <w:p>
      <w:pPr>
        <w:spacing w:before="0" w:after="0" w:line="275" w:lineRule="atLeast"/>
        <w:jc w:val="both"/>
      </w:pPr>
      <w:r>
        <w:rPr>
          <w:rFonts w:ascii="Times New Roman" w:hAnsi="Times New Roman"/>
          <w:color w:val="1f1f1f"/>
          <w:sz w:val="20"/>
        </w:rPr>
        <w:t> </w:t>
      </w:r>
    </w:p>
    <w:bookmarkStart w:id="71" w:name="co_anchor_I0662fd416d4f11f0bfda9b9d9cca"/>
    <w:bookmarkStart w:id="72" w:name="co_anchor_I0662fd416d4f11f0bfda9b9d92"/>
    <w:p>
      <w:pPr>
        <w:spacing w:before="600" w:after="0" w:line="275" w:lineRule="atLeast"/>
        <w:jc w:val="center"/>
      </w:pPr>
      <w:r>
        <w:rPr>
          <w:rFonts w:ascii="Times New Roman" w:hAnsi="Times New Roman"/>
          <w:b/>
          <w:color w:val="1f1f1f"/>
          <w:sz w:val="20"/>
        </w:rPr>
        <w:t>2.</w:t>
      </w:r>
    </w:p>
    <w:bookmarkEnd w:id="72"/>
    <w:bookmarkEnd w:id="71"/>
    <w:p>
      <w:pPr>
        <w:spacing w:before="400" w:after="0" w:line="275" w:lineRule="atLeast"/>
        <w:jc w:val="both"/>
      </w:pPr>
      <w:r>
        <w:rPr>
          <w:rFonts w:ascii="Times New Roman" w:hAnsi="Times New Roman"/>
          <w:color w:val="1f1f1f"/>
          <w:sz w:val="20"/>
        </w:rPr>
        <w:t>After erroneously suggesting that my position is barred by the party presentation principle, the majority attempts to distinguish this case from our line of cases refusing to require an entrapment instruction when the government provided a chance to “back out.” Maj. Op. at 18–20. Relying primarily on Spradley's own testimony that he did not believe the person he was communicating with was under eighteen, the majority claims that Spradley had no reason to “back out.” Thus, as the majority sees things, the government did not give Spradley a legitimate opportunity to back out of committing the crime because Spradley refused to believe Ashlee's warning that she was seventeen.</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73" w:name="co_pp_sp_999_18_1"/>
      <w:r>
        <w:rPr>
          <w:rFonts w:ascii="Times New Roman" w:hAnsi="Times New Roman"/>
          <w:b/>
          <w:color w:val="000000"/>
          <w:sz w:val="20"/>
        </w:rPr>
        <w:t>*18</w:t>
      </w:r>
      <w:bookmarkEnd w:id="73"/>
      <w:r>
        <w:rPr>
          <w:rFonts w:ascii="Times New Roman" w:hAnsi="Times New Roman"/>
          <w:color w:val="1f1f1f"/>
          <w:sz w:val="20"/>
        </w:rPr>
        <w:t xml:space="preserve"> There are two critical problems with this argument. First, the majority misunderstands the inducement analysis, focusing not on the government's conduct but rather on the defendant's subjective state of mind. As the name suggests, the proper focus of government inducement is on the </w:t>
      </w:r>
      <w:r>
        <w:rPr>
          <w:rFonts w:ascii="Times New Roman" w:hAnsi="Times New Roman"/>
          <w:i/>
          <w:color w:val="1f1f1f"/>
          <w:sz w:val="20"/>
        </w:rPr>
        <w:t>government's</w:t>
      </w:r>
      <w:r>
        <w:rPr>
          <w:rFonts w:ascii="Times New Roman" w:hAnsi="Times New Roman"/>
          <w:color w:val="1f1f1f"/>
          <w:sz w:val="20"/>
        </w:rPr>
        <w:t xml:space="preserve"> conduct. </w:t>
      </w:r>
      <w:hyperlink r:id="r107">
        <w:r>
          <w:rPr>
            <w:rFonts w:ascii="Times New Roman" w:hAnsi="Times New Roman"/>
            <w:i/>
            <w:color w:val="006fc4"/>
            <w:sz w:val="20"/>
          </w:rPr>
          <w:t>Young</w:t>
        </w:r>
        <w:r>
          <w:rPr>
            <w:rFonts w:ascii="Times New Roman" w:hAnsi="Times New Roman"/>
            <w:color w:val="006fc4"/>
            <w:sz w:val="20"/>
          </w:rPr>
          <w:t>, 954 F.2d at 616</w:t>
        </w:r>
      </w:hyperlink>
      <w:r>
        <w:rPr>
          <w:rFonts w:ascii="Times New Roman" w:hAnsi="Times New Roman"/>
          <w:color w:val="1f1f1f"/>
          <w:sz w:val="20"/>
        </w:rPr>
        <w:t xml:space="preserve">. Correctly understood, the inducement inquiry assesses whether the government's conduct was so coercive or overly persuasive that it “creates a substantial risk that an undisposed person or otherwise law-abiding citizen would commit the offense.” </w:t>
      </w:r>
      <w:hyperlink r:id="r108">
        <w:r>
          <w:rPr>
            <w:rFonts w:ascii="Times New Roman" w:hAnsi="Times New Roman"/>
            <w:i/>
            <w:color w:val="006fc4"/>
            <w:sz w:val="20"/>
          </w:rPr>
          <w:t>Ortiz</w:t>
        </w:r>
        <w:r>
          <w:rPr>
            <w:rFonts w:ascii="Times New Roman" w:hAnsi="Times New Roman"/>
            <w:color w:val="006fc4"/>
            <w:sz w:val="20"/>
          </w:rPr>
          <w:t>, 804 F.2d at 1165</w:t>
        </w:r>
      </w:hyperlink>
      <w:r>
        <w:rPr>
          <w:rFonts w:ascii="Times New Roman" w:hAnsi="Times New Roman"/>
          <w:color w:val="1f1f1f"/>
          <w:sz w:val="20"/>
        </w:rPr>
        <w:t xml:space="preserve">; </w:t>
      </w:r>
      <w:r>
        <w:rPr>
          <w:rFonts w:ascii="Times New Roman" w:hAnsi="Times New Roman"/>
          <w:i/>
          <w:color w:val="1f1f1f"/>
          <w:sz w:val="20"/>
        </w:rPr>
        <w:t>see also</w:t>
      </w:r>
      <w:r>
        <w:rPr>
          <w:rFonts w:ascii="Times New Roman" w:hAnsi="Times New Roman"/>
          <w:color w:val="1f1f1f"/>
          <w:sz w:val="20"/>
        </w:rPr>
        <w:t xml:space="preserve"> Paul Marcus, </w:t>
      </w:r>
      <w:r>
        <w:rPr>
          <w:rFonts w:ascii="Times New Roman" w:hAnsi="Times New Roman"/>
          <w:i/>
          <w:color w:val="1f1f1f"/>
          <w:sz w:val="20"/>
        </w:rPr>
        <w:t>The Entrapment Defense</w:t>
      </w:r>
      <w:r>
        <w:rPr>
          <w:rFonts w:ascii="Times New Roman" w:hAnsi="Times New Roman"/>
          <w:color w:val="1f1f1f"/>
          <w:sz w:val="20"/>
        </w:rPr>
        <w:t xml:space="preserve"> § 5.09 (5th ed. 2016) (“The crucial proof question can be stated succinctly: When does the government involvement constitute such overreaching that the defendant should be freed from criminal responsibility?”). That inquiry, as noted above, is an “objective” one, looking at the government's behavior in relation to a hypothetical reasonable, law-abiding citizen. </w:t>
      </w:r>
      <w:r>
        <w:rPr>
          <w:rFonts w:ascii="Times New Roman" w:hAnsi="Times New Roman"/>
          <w:i/>
          <w:color w:val="1f1f1f"/>
          <w:sz w:val="20"/>
        </w:rPr>
        <w:t xml:space="preserve">See </w:t>
      </w:r>
      <w:hyperlink r:id="r109">
        <w:r>
          <w:rPr>
            <w:rFonts w:ascii="Times New Roman" w:hAnsi="Times New Roman"/>
            <w:i/>
            <w:color w:val="006fc4"/>
            <w:sz w:val="20"/>
          </w:rPr>
          <w:t>United States v. Sanchez</w:t>
        </w:r>
        <w:r>
          <w:rPr>
            <w:rFonts w:ascii="Times New Roman" w:hAnsi="Times New Roman"/>
            <w:color w:val="006fc4"/>
            <w:sz w:val="20"/>
          </w:rPr>
          <w:t>, 88 F.3d 1243, 1249 (D.C. Cir. 1996)</w:t>
        </w:r>
      </w:hyperlink>
      <w:r>
        <w:rPr>
          <w:rFonts w:ascii="Times New Roman" w:hAnsi="Times New Roman"/>
          <w:color w:val="1f1f1f"/>
          <w:sz w:val="20"/>
        </w:rPr>
        <w:t>. The defendant's subjective state of mind, therefore, is irrelevant in determining whether the government's conduct amounted to inducement.</w:t>
      </w:r>
      <w:bookmarkStart w:id="74" w:name="co_fnRef_B00132057466007_ID0ED1BI_1"/>
      <w:hyperlink w:anchor="co_footnote_B00132057466007_1">
        <w:r>
          <w:rPr>
            <w:rFonts w:ascii="Times New Roman" w:hAnsi="Times New Roman"/>
            <w:color w:val="006fc4"/>
            <w:sz w:val="16"/>
            <w:vertAlign w:val="superscript"/>
          </w:rPr>
          <w:t>5</w:t>
        </w:r>
      </w:hyperlink>
      <w:bookmarkEnd w:id="74"/>
      <w:r>
        <w:rPr>
          <w:rFonts w:ascii="Times New Roman" w:hAnsi="Times New Roman"/>
          <w:color w:val="1f1f1f"/>
          <w:sz w:val="20"/>
        </w:rPr>
        <w:t xml:space="preserve"> How a particular defendant responded, or what the defendant believed to be true, cannot factor into whether the government's conduct was overreaching in the first place.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True, a defendant needs to have notice of the government-provided “out” in order to negate inducement, but that does not change the nature of the inquiry—it remains an objective one. Here, the undercover agent, upon receiving Spradley's offer to have sex in exchange for money, warned Spradley that “Ashlee” was seventeen and asked if Spradley was fine with having sex with a minor. Any reasonable, law-abiding citizen would be on notice that the transaction was illicit and would know that there was an easy way to back out by simply saying no. Thus, even if Spradley himself failed to appreciate the opportunity to back out of the crime, that subjective belief does not matter.</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second flaw with the majority's argument is that it conflicts with the jury's explicit findings. The majority concludes that, based on Spradley's “testimony and [ ] actions, a reasonable jury could find that Mr. Spradley hadn't believed that the fictional girl was under 18.” Maj. Op. at 17. But </w:t>
      </w:r>
      <w:r>
        <w:rPr>
          <w:rFonts w:ascii="Times New Roman" w:hAnsi="Times New Roman"/>
          <w:i/>
          <w:color w:val="1f1f1f"/>
          <w:sz w:val="20"/>
        </w:rPr>
        <w:t>this</w:t>
      </w:r>
      <w:r>
        <w:rPr>
          <w:rFonts w:ascii="Times New Roman" w:hAnsi="Times New Roman"/>
          <w:color w:val="1f1f1f"/>
          <w:sz w:val="20"/>
        </w:rPr>
        <w:t xml:space="preserve"> jury found the exact opposite. To find Spradley guilty of violating </w:t>
      </w:r>
      <w:hyperlink r:id="r110">
        <w:r>
          <w:rPr>
            <w:rFonts w:ascii="Times New Roman" w:hAnsi="Times New Roman"/>
            <w:color w:val="006fc4"/>
            <w:sz w:val="20"/>
          </w:rPr>
          <w:t>18 U.S.C. § 2423(b)</w:t>
        </w:r>
      </w:hyperlink>
      <w:r>
        <w:rPr>
          <w:rFonts w:ascii="Times New Roman" w:hAnsi="Times New Roman"/>
          <w:color w:val="1f1f1f"/>
          <w:sz w:val="20"/>
        </w:rPr>
        <w:t>, the jury had to find “beyond a reasonable doubt that Mr. Spradley believed the victim to be an actual minor person.” R. Vol. I at 330. Therefore, by convicting Spradley, the jury necessarily rejected the contention that Spradley believed Ashlee was over eighteen.</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And nothing in the record—beyond Spradley's self-serving testimony</w:t>
      </w:r>
      <w:bookmarkStart w:id="75" w:name="co_fnRef_B00142057466007_ID0EU5BI_1"/>
      <w:hyperlink w:anchor="co_footnote_B00142057466007_1">
        <w:r>
          <w:rPr>
            <w:rFonts w:ascii="Times New Roman" w:hAnsi="Times New Roman"/>
            <w:color w:val="006fc4"/>
            <w:sz w:val="16"/>
            <w:vertAlign w:val="superscript"/>
          </w:rPr>
          <w:t>6</w:t>
        </w:r>
      </w:hyperlink>
      <w:bookmarkEnd w:id="75"/>
      <w:r>
        <w:rPr>
          <w:rFonts w:ascii="Times New Roman" w:hAnsi="Times New Roman"/>
          <w:color w:val="1f1f1f"/>
          <w:sz w:val="20"/>
        </w:rPr>
        <w:t xml:space="preserve">—suggests that Spradley believed Ashlee was lying about her age when she offered him an out. The majority points to the fact that the undercover agent sent “multiple messages” to Spradley following their initial interaction, “loosen[ing] his resistance” and leading him to believe she was telling the truth about being underage. Maj. Op. at 18. But these subsequent messages had the opposite effect—as Spradley himself argued. Reply Br. at 3 (arguing that Spradley did not believe Ashlee was seventeen in part because of the “obviously highly filtered photo that Ashlee sent to Spradley”). In other words, when the undercover agent sent a photo of a thirty-year-old woman and demonstrated detailed knowledge of sexual concepts, it made it more likely—not less—that Spradley would have believed Ashlee was lying about being seventeen. Thus, if anything, Spradley would only have had reason to doubt Ashlee's age </w:t>
      </w:r>
      <w:r>
        <w:rPr>
          <w:rFonts w:ascii="Times New Roman" w:hAnsi="Times New Roman"/>
          <w:i/>
          <w:color w:val="1f1f1f"/>
          <w:sz w:val="20"/>
        </w:rPr>
        <w:t>after</w:t>
      </w:r>
      <w:r>
        <w:rPr>
          <w:rFonts w:ascii="Times New Roman" w:hAnsi="Times New Roman"/>
          <w:color w:val="1f1f1f"/>
          <w:sz w:val="20"/>
        </w:rPr>
        <w:t xml:space="preserve"> their conversations progressed. But, as explained, the jury explicitly rejected that conclusion, too. It naturally follows that, by concluding Spradley did not doubt Ashlee's age even after he had reason to do so, the jury likewise would have concluded that Spradley did not doubt Ashlee's age when she first disclosed it— </w:t>
      </w:r>
      <w:r>
        <w:rPr>
          <w:rFonts w:ascii="Times New Roman" w:hAnsi="Times New Roman"/>
          <w:i/>
          <w:color w:val="1f1f1f"/>
          <w:sz w:val="20"/>
        </w:rPr>
        <w:t>before</w:t>
      </w:r>
      <w:r>
        <w:rPr>
          <w:rFonts w:ascii="Times New Roman" w:hAnsi="Times New Roman"/>
          <w:color w:val="1f1f1f"/>
          <w:sz w:val="20"/>
        </w:rPr>
        <w:t xml:space="preserve"> his suspicion allegedly formed.</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76" w:name="co_pp_sp_999_19_1"/>
      <w:r>
        <w:rPr>
          <w:rFonts w:ascii="Times New Roman" w:hAnsi="Times New Roman"/>
          <w:b/>
          <w:color w:val="000000"/>
          <w:sz w:val="20"/>
        </w:rPr>
        <w:t>*19</w:t>
      </w:r>
      <w:bookmarkEnd w:id="76"/>
      <w:r>
        <w:rPr>
          <w:rFonts w:ascii="Times New Roman" w:hAnsi="Times New Roman"/>
          <w:color w:val="1f1f1f"/>
          <w:sz w:val="20"/>
        </w:rPr>
        <w:t xml:space="preserve"> Therefore, even if the evidence created a triable issue on inducement under the majority's theory, the district court's refusal to give an entrapment instruction was harmless. The jury determined that Spradley believed Ashlee was seventeen when he traveled to Kansas and nothing in the record indicates that the jury would come to the opposite conclusion when Ashlee initially disclosed that she was seventeen. In fact, the record demonstrates that by the time Spradley traveled to Kansas he had more reason to question Ashlee's statement that she was underage than during their initial conversation. I therefore fail to see how the error identified by the majority—to the extent it is an error at all—warrants reversal.</w:t>
      </w:r>
    </w:p>
    <w:p>
      <w:pPr>
        <w:spacing w:before="0" w:after="0" w:line="275" w:lineRule="atLeast"/>
        <w:jc w:val="both"/>
      </w:pPr>
      <w:r>
        <w:rPr>
          <w:rFonts w:ascii="Times New Roman" w:hAnsi="Times New Roman"/>
          <w:color w:val="1f1f1f"/>
          <w:sz w:val="20"/>
        </w:rPr>
        <w:t> </w:t>
      </w:r>
    </w:p>
    <w:bookmarkStart w:id="77" w:name="co_anchor_I0668f0b16d4f11f0bfda9b9d9cca"/>
    <w:bookmarkStart w:id="78" w:name="co_anchor_I0668f0b16d4f11f0bfda9b9d92"/>
    <w:p>
      <w:pPr>
        <w:spacing w:before="600" w:after="0" w:line="275" w:lineRule="atLeast"/>
        <w:jc w:val="center"/>
      </w:pPr>
      <w:r>
        <w:rPr>
          <w:rFonts w:ascii="Times New Roman" w:hAnsi="Times New Roman"/>
          <w:b/>
          <w:color w:val="1f1f1f"/>
          <w:sz w:val="20"/>
        </w:rPr>
        <w:t>D.</w:t>
      </w:r>
    </w:p>
    <w:bookmarkEnd w:id="78"/>
    <w:bookmarkEnd w:id="77"/>
    <w:p>
      <w:pPr>
        <w:spacing w:before="400" w:after="0" w:line="275" w:lineRule="atLeast"/>
        <w:jc w:val="both"/>
      </w:pPr>
      <w:r>
        <w:rPr>
          <w:rFonts w:ascii="Times New Roman" w:hAnsi="Times New Roman"/>
          <w:color w:val="1f1f1f"/>
          <w:sz w:val="20"/>
        </w:rPr>
        <w:t>The majority's response does not change what has always been the law in our Circuit: when the government attempts to dissuade the defendant from committing a crime by providing him with an opportunity to withdraw, it is not the government's conduct that caused the commission of the offense. Instead, the defendant only has his own choices to blame for his criminal acts. The majority fails to apply this well-established concept to Spradley's case and, consequently, reaches the wrong result.</w:t>
      </w:r>
      <w:bookmarkStart w:id="79" w:name="co_fnRef_B00152057466007_ID0EHCCI_1"/>
      <w:hyperlink w:anchor="co_footnote_B00152057466007_1">
        <w:r>
          <w:rPr>
            <w:rFonts w:ascii="Times New Roman" w:hAnsi="Times New Roman"/>
            <w:color w:val="006fc4"/>
            <w:sz w:val="16"/>
            <w:vertAlign w:val="superscript"/>
          </w:rPr>
          <w:t>7</w:t>
        </w:r>
      </w:hyperlink>
      <w:bookmarkEnd w:id="79"/>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the end, I worry that today's decision spells the end of undercover operations targeting child predators in the Tenth Circuit. The majority holds that the government's conduct—which included posting a lawful advertisement, accepting the defendant's sexual offer, discussing supposed intimate details such as food, movies, and their middle names, and asking Spradley to “swing by”—went too far. That is so, the majority concludes, even though the government offered the defendant an opportunity to back out of the crime and indicated to the defendant that his conduct was wrongful.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If that can constitute entrapment, I do not know how an undercover operation targeting sexual predators online could ever avoid an entrapment instruction. With such an expansive definition of entrapment, law enforcement might well choose to refrain from these undercover operations out of fear of losing a conviction to entrapment and thereby wasting their limited resources. </w:t>
      </w:r>
      <w:r>
        <w:rPr>
          <w:rFonts w:ascii="Times New Roman" w:hAnsi="Times New Roman"/>
          <w:color w:val="1f1f1f"/>
          <w:sz w:val="20"/>
        </w:rPr>
        <w:t xml:space="preserve">As a result, there might now be more child predators on our streets (and on our websites) able to harm children before getting caught. Today's decision, however, does not change the fact that the government is entitled to “use [ ] deceit,” particularly when it “is the only practicable law enforcement technique available.” </w:t>
      </w:r>
      <w:hyperlink r:id="r111">
        <w:r>
          <w:rPr>
            <w:rFonts w:ascii="Times New Roman" w:hAnsi="Times New Roman"/>
            <w:i/>
            <w:color w:val="006fc4"/>
            <w:sz w:val="20"/>
          </w:rPr>
          <w:t>United States v. Russell</w:t>
        </w:r>
        <w:r>
          <w:rPr>
            <w:rFonts w:ascii="Times New Roman" w:hAnsi="Times New Roman"/>
            <w:color w:val="006fc4"/>
            <w:sz w:val="20"/>
          </w:rPr>
          <w:t>, 411 U.S. 423, 432 (1973)</w:t>
        </w:r>
      </w:hyperlink>
      <w:r>
        <w:rPr>
          <w:rFonts w:ascii="Times New Roman" w:hAnsi="Times New Roman"/>
          <w:color w:val="1f1f1f"/>
          <w:sz w:val="20"/>
        </w:rPr>
        <w:t>. Catching sexual predators before they harm children, I believe, is one of those circumstances.</w:t>
      </w:r>
    </w:p>
    <w:p>
      <w:pPr>
        <w:spacing w:before="0" w:after="0" w:line="275" w:lineRule="atLeast"/>
        <w:jc w:val="both"/>
      </w:pPr>
      <w:r>
        <w:rPr>
          <w:rFonts w:ascii="Times New Roman" w:hAnsi="Times New Roman"/>
          <w:color w:val="1f1f1f"/>
          <w:sz w:val="20"/>
        </w:rPr>
        <w:t> </w:t>
      </w:r>
    </w:p>
    <w:bookmarkStart w:id="80" w:name="co_anchor_I066ac5716d4f11f0bfda9b9d9cca"/>
    <w:bookmarkStart w:id="81" w:name="co_anchor_I066ac5716d4f11f0bfda9b9d92"/>
    <w:p>
      <w:pPr>
        <w:spacing w:before="600" w:after="0" w:line="275" w:lineRule="atLeast"/>
        <w:jc w:val="center"/>
      </w:pPr>
      <w:r>
        <w:rPr>
          <w:rFonts w:ascii="Times New Roman" w:hAnsi="Times New Roman"/>
          <w:b/>
          <w:color w:val="1f1f1f"/>
          <w:sz w:val="20"/>
        </w:rPr>
        <w:t>II.</w:t>
      </w:r>
    </w:p>
    <w:bookmarkEnd w:id="81"/>
    <w:bookmarkEnd w:id="80"/>
    <w:p>
      <w:pPr>
        <w:spacing w:before="400" w:after="0" w:line="275" w:lineRule="atLeast"/>
        <w:jc w:val="both"/>
      </w:pPr>
      <w:r>
        <w:rPr>
          <w:rFonts w:ascii="Times New Roman" w:hAnsi="Times New Roman"/>
          <w:color w:val="1f1f1f"/>
          <w:sz w:val="20"/>
        </w:rPr>
        <w:t>For these reasons, I respectfully dissent.</w:t>
      </w:r>
    </w:p>
    <w:p>
      <w:pPr>
        <w:spacing w:before="0" w:after="0" w:line="275" w:lineRule="atLeast"/>
        <w:jc w:val="both"/>
      </w:pPr>
      <w:r>
        <w:rPr>
          <w:rFonts w:ascii="Times New Roman" w:hAnsi="Times New Roman"/>
          <w:color w:val="1f1f1f"/>
          <w:sz w:val="20"/>
        </w:rPr>
        <w:t> </w:t>
      </w:r>
    </w:p>
    <w:bookmarkStart w:id="82" w:name="co_allCitations_1"/>
    <w:p>
      <w:pPr>
        <w:keepNext/>
        <w:keepLines/>
        <w:spacing w:before="200" w:after="0" w:line="275" w:lineRule="atLeast"/>
        <w:jc w:val="both"/>
      </w:pPr>
      <w:r>
        <w:rPr>
          <w:rFonts w:ascii="Times New Roman" w:hAnsi="Times New Roman"/>
          <w:b/>
          <w:color w:val="212121"/>
          <w:sz w:val="20"/>
        </w:rPr>
        <w:t>All Citations</w:t>
      </w:r>
    </w:p>
    <w:bookmarkEnd w:id="82"/>
    <w:p>
      <w:pPr>
        <w:spacing w:before="200" w:after="0" w:line="275" w:lineRule="atLeast"/>
        <w:jc w:val="both"/>
      </w:pPr>
      <w:r>
        <w:rPr>
          <w:rFonts w:ascii="Times New Roman" w:hAnsi="Times New Roman"/>
          <w:color w:val="1f1f1f"/>
          <w:sz w:val="20"/>
        </w:rPr>
        <w:t>--- F.4th ----, 2025 WL 2111736</w:t>
      </w:r>
    </w:p>
    <w:p>
      <w:pPr>
        <w:sectPr>
          <w:headerReference w:type="default" r:id="r5"/>
          <w:headerReference w:type="even" r:id="r5"/>
          <w:footerReference w:type="default" r:id="r6"/>
          <w:footerReference w:type="even" r:id="r6"/>
          <w:pgSz w:w="12240" w:h="15840"/>
          <w:pgMar w:top="1080" w:bottom="1080" w:left="1080" w:right="1080" w:header="0" w:footer="0" w:gutter="0"/>
          <w:pgNumType w:fmt="decimal" w:start="1"/>
          <w:cols w:num="2" w:space="240"/>
        </w:sectPr>
      </w:pPr>
    </w:p>
    <w:p>
      <w:pPr>
        <w:spacing w:before="0" w:after="0" w:line="240" w:lineRule="auto"/>
        <w:rPr>
          <w:sz w:val="60"/>
        </w:rPr>
      </w:pPr>
    </w:p>
    <w:tbl>
      <w:tblPr>
        <w:tblLayout w:type="fixed"/>
      </w:tblPr>
      <w:tblGrid>
        <w:gridCol w:w="600"/>
        <w:gridCol w:w="9450"/>
      </w:tblGrid>
      <w:tr>
        <w:tblPrEx/>
        <w:trPr/>
        <w:tc>
          <w:tcPr>
            <w:hMerge w:val="restart"/>
            <w:tcBorders>
              <w:top w:val="single" w:sz="18" w:color="dadada"/>
            </w:tcBorders>
            <w:tcMar>
              <w:bottom w:w="300" w:type="dxa"/>
            </w:tcMar>
            <w:vAlign w:val="top"/>
          </w:tcPr>
          <w:p>
            <w:pPr>
              <w:spacing w:before="0" w:after="0" w:line="275" w:lineRule="atLeast"/>
              <w:jc w:val="center"/>
            </w:pPr>
            <w:r>
              <w:rPr>
                <w:rFonts w:ascii="Times New Roman" w:hAnsi="Times New Roman"/>
                <w:b/>
                <w:color w:val="000000"/>
                <w:sz w:val="22"/>
              </w:rPr>
              <w:t>Footnotes</w:t>
            </w:r>
          </w:p>
        </w:tc>
        <w:tc>
          <w:tcPr>
            <w:hMerge w:val="continue"/>
            <w:tcBorders>
              <w:top w:val="single" w:sz="18" w:color="dadada"/>
            </w:tcBorders>
            <w:tcMar>
              <w:bottom w:w="300" w:type="dxa"/>
            </w:tcMar>
            <w:vAlign w:val="top"/>
          </w:tcPr>
          <w:p>
            <w:pPr>
              <w:spacing w:before="0" w:after="0" w:line="240" w:lineRule="auto"/>
              <w:rPr>
                <w:rFonts w:ascii="Times New Roman" w:hAnsi="Times New Roman"/>
                <w:b/>
                <w:color w:val="000000"/>
                <w:sz w:val="22"/>
              </w:rPr>
            </w:pPr>
          </w:p>
        </w:tc>
      </w:tr>
      <w:tr>
        <w:tblPrEx/>
        <w:trPr/>
        <w:tc>
          <w:tcPr>
            <w:vAlign w:val="top"/>
          </w:tcPr>
          <w:p>
            <w:pPr>
              <w:spacing w:before="0" w:after="0" w:line="275" w:lineRule="atLeast"/>
            </w:pPr>
            <w:bookmarkStart w:id="83" w:name="co_footnote_B00012057466007_1"/>
            <w:hyperlink w:anchor="co_fnRef_B00012057466007_ID0ECKAC_1">
              <w:r>
                <w:rPr>
                  <w:rFonts w:ascii="Times New Roman" w:hAnsi="Times New Roman"/>
                  <w:color w:val="006fc4"/>
                  <w:sz w:val="20"/>
                  <w:vertAlign w:val="superscript"/>
                </w:rPr>
                <w:t>1</w:t>
              </w:r>
            </w:hyperlink>
            <w:bookmarkEnd w:id="83"/>
          </w:p>
        </w:tc>
        <w:tc>
          <w:tcPr>
            <w:vAlign w:val="top"/>
          </w:tcPr>
          <w:p>
            <w:pPr>
              <w:pBdr>
                <w:bottom w:val="none" w:space="8"/>
              </w:pBdr>
              <w:spacing w:before="0" w:after="0" w:line="275" w:lineRule="atLeast"/>
              <w:jc w:val="both"/>
            </w:pPr>
            <w:r>
              <w:rPr>
                <w:rFonts w:ascii="Times New Roman" w:hAnsi="Times New Roman"/>
                <w:color w:val="000000"/>
                <w:sz w:val="20"/>
              </w:rPr>
              <w:t xml:space="preserve">When Mr. Spradley was indicted, the body of </w:t>
            </w:r>
            <w:hyperlink r:id="r112">
              <w:r>
                <w:rPr>
                  <w:rFonts w:ascii="Times New Roman" w:hAnsi="Times New Roman"/>
                  <w:color w:val="006fc4"/>
                  <w:sz w:val="20"/>
                </w:rPr>
                <w:t>§ 2423(b)</w:t>
              </w:r>
            </w:hyperlink>
            <w:r>
              <w:rPr>
                <w:rFonts w:ascii="Times New Roman" w:hAnsi="Times New Roman"/>
                <w:color w:val="000000"/>
                <w:sz w:val="20"/>
              </w:rPr>
              <w:t xml:space="preserve"> used the term </w:t>
            </w:r>
            <w:r>
              <w:rPr>
                <w:rFonts w:ascii="Times New Roman" w:hAnsi="Times New Roman"/>
                <w:i/>
                <w:color w:val="000000"/>
                <w:sz w:val="20"/>
              </w:rPr>
              <w:t>a motivating purpose</w:t>
            </w:r>
            <w:r>
              <w:rPr>
                <w:rFonts w:ascii="Times New Roman" w:hAnsi="Times New Roman"/>
                <w:color w:val="000000"/>
                <w:sz w:val="20"/>
              </w:rPr>
              <w:t xml:space="preserve"> rather than </w:t>
            </w:r>
            <w:r>
              <w:rPr>
                <w:rFonts w:ascii="Times New Roman" w:hAnsi="Times New Roman"/>
                <w:i/>
                <w:color w:val="000000"/>
                <w:sz w:val="20"/>
              </w:rPr>
              <w:t>intent</w:t>
            </w:r>
            <w:r>
              <w:rPr>
                <w:rFonts w:ascii="Times New Roman" w:hAnsi="Times New Roman"/>
                <w:color w:val="000000"/>
                <w:sz w:val="20"/>
              </w:rPr>
              <w:t xml:space="preserve">. </w:t>
            </w:r>
            <w:hyperlink r:id="r113">
              <w:r>
                <w:rPr>
                  <w:rFonts w:ascii="Times New Roman" w:hAnsi="Times New Roman"/>
                  <w:color w:val="006fc4"/>
                  <w:sz w:val="20"/>
                </w:rPr>
                <w:t>18 U.S.C. § 2423(b) (2021)</w:t>
              </w:r>
            </w:hyperlink>
            <w:r>
              <w:rPr>
                <w:rFonts w:ascii="Times New Roman" w:hAnsi="Times New Roman"/>
                <w:color w:val="000000"/>
                <w:sz w:val="20"/>
              </w:rPr>
              <w:t>. The government equated the two terms, stating that “courts have concluded that the statute [</w:t>
            </w:r>
            <w:hyperlink r:id="r114">
              <w:r>
                <w:rPr>
                  <w:rFonts w:ascii="Times New Roman" w:hAnsi="Times New Roman"/>
                  <w:color w:val="006fc4"/>
                  <w:sz w:val="20"/>
                </w:rPr>
                <w:t>18 U.S.C. § 2423(b)</w:t>
              </w:r>
            </w:hyperlink>
            <w:r>
              <w:rPr>
                <w:rFonts w:ascii="Times New Roman" w:hAnsi="Times New Roman"/>
                <w:color w:val="000000"/>
                <w:sz w:val="20"/>
              </w:rPr>
              <w:t xml:space="preserve">] requires that a person cross state lines with the specific intent to engage in an illicit sexual act.” Appellee's Resp. Br. at 15. After Mr. Spradley appealed, Congress changed the term </w:t>
            </w:r>
            <w:r>
              <w:rPr>
                <w:rFonts w:ascii="Times New Roman" w:hAnsi="Times New Roman"/>
                <w:i/>
                <w:color w:val="000000"/>
                <w:sz w:val="20"/>
              </w:rPr>
              <w:t>a motivating purpose</w:t>
            </w:r>
            <w:r>
              <w:rPr>
                <w:rFonts w:ascii="Times New Roman" w:hAnsi="Times New Roman"/>
                <w:color w:val="000000"/>
                <w:sz w:val="20"/>
              </w:rPr>
              <w:t xml:space="preserve"> to </w:t>
            </w:r>
            <w:r>
              <w:rPr>
                <w:rFonts w:ascii="Times New Roman" w:hAnsi="Times New Roman"/>
                <w:i/>
                <w:color w:val="000000"/>
                <w:sz w:val="20"/>
              </w:rPr>
              <w:t>intent</w:t>
            </w:r>
            <w:r>
              <w:rPr>
                <w:rFonts w:ascii="Times New Roman" w:hAnsi="Times New Roman"/>
                <w:color w:val="000000"/>
                <w:sz w:val="20"/>
              </w:rPr>
              <w:t xml:space="preserve">. National Defense Authorization Act for Fiscal Year 2024, </w:t>
            </w:r>
            <w:hyperlink r:id="r115">
              <w:r>
                <w:rPr>
                  <w:rFonts w:ascii="Times New Roman" w:hAnsi="Times New Roman"/>
                  <w:color w:val="006fc4"/>
                  <w:sz w:val="20"/>
                </w:rPr>
                <w:t>Pub. L. No. 118-31, § 5102, 137 Stat. 136</w:t>
              </w:r>
            </w:hyperlink>
            <w:r>
              <w:rPr>
                <w:rFonts w:ascii="Times New Roman" w:hAnsi="Times New Roman"/>
                <w:color w:val="000000"/>
                <w:sz w:val="20"/>
              </w:rPr>
              <w:t>, 934.</w:t>
            </w:r>
          </w:p>
        </w:tc>
      </w:tr>
      <w:tr>
        <w:tblPrEx/>
        <w:trPr/>
        <w:tc>
          <w:tcPr>
            <w:vAlign w:val="top"/>
          </w:tcPr>
          <w:p>
            <w:pPr>
              <w:spacing w:before="0" w:after="0" w:line="275" w:lineRule="atLeast"/>
            </w:pPr>
            <w:bookmarkStart w:id="84" w:name="co_footnote_B00022057466007_1"/>
            <w:hyperlink w:anchor="co_fnRef_B00022057466007_ID0EBDAE_1">
              <w:r>
                <w:rPr>
                  <w:rFonts w:ascii="Times New Roman" w:hAnsi="Times New Roman"/>
                  <w:color w:val="006fc4"/>
                  <w:sz w:val="20"/>
                  <w:vertAlign w:val="superscript"/>
                </w:rPr>
                <w:t>2</w:t>
              </w:r>
            </w:hyperlink>
            <w:bookmarkEnd w:id="84"/>
          </w:p>
        </w:tc>
        <w:tc>
          <w:tcPr>
            <w:vAlign w:val="top"/>
          </w:tcPr>
          <w:p>
            <w:pPr>
              <w:pBdr>
                <w:bottom w:val="none" w:space="8"/>
              </w:pBdr>
              <w:spacing w:before="0" w:after="0" w:line="275" w:lineRule="atLeast"/>
              <w:jc w:val="both"/>
            </w:pPr>
            <w:r>
              <w:rPr>
                <w:rFonts w:ascii="Times New Roman" w:hAnsi="Times New Roman"/>
                <w:color w:val="000000"/>
                <w:sz w:val="20"/>
              </w:rPr>
              <w:t>At trial, the government asked Mr. Spradley if he had previously offered money for sex. But Mr. Spradley didn't testify that he had ever paid for sex.</w:t>
            </w:r>
          </w:p>
          <w:p>
            <w:pPr>
              <w:pBdr>
                <w:bottom w:val="none" w:space="8"/>
              </w:pBdr>
              <w:spacing w:before="0" w:after="0" w:line="275" w:lineRule="atLeast"/>
              <w:jc w:val="both"/>
            </w:pPr>
            <w:r>
              <w:rPr>
                <w:rFonts w:ascii="Times New Roman" w:hAnsi="Times New Roman"/>
                <w:color w:val="000000"/>
                <w:sz w:val="20"/>
              </w:rPr>
              <w:t xml:space="preserve">Mr. Spradley did acknowledge that he had offered money to women; but he characterized these offers as efforts to obtain female companionship rather than sex. We must view that testimony in the light most favorable to Mr. Spradley. </w:t>
            </w:r>
            <w:r>
              <w:rPr>
                <w:rFonts w:ascii="Times New Roman" w:hAnsi="Times New Roman"/>
                <w:i/>
                <w:color w:val="000000"/>
                <w:sz w:val="20"/>
              </w:rPr>
              <w:t>See</w:t>
            </w:r>
            <w:r>
              <w:rPr>
                <w:rFonts w:ascii="Times New Roman" w:hAnsi="Times New Roman"/>
                <w:color w:val="000000"/>
                <w:sz w:val="20"/>
              </w:rPr>
              <w:t xml:space="preserve"> Part 2(a), above.</w:t>
            </w:r>
          </w:p>
        </w:tc>
      </w:tr>
      <w:tr>
        <w:tblPrEx/>
        <w:trPr/>
        <w:tc>
          <w:tcPr>
            <w:vAlign w:val="top"/>
          </w:tcPr>
          <w:p>
            <w:pPr>
              <w:spacing w:before="0" w:after="0" w:line="275" w:lineRule="atLeast"/>
            </w:pPr>
            <w:bookmarkStart w:id="85" w:name="co_footnote_B00032057466007_1"/>
            <w:hyperlink w:anchor="co_fnRef_B00032057466007_ID0EX2AE_1">
              <w:r>
                <w:rPr>
                  <w:rFonts w:ascii="Times New Roman" w:hAnsi="Times New Roman"/>
                  <w:color w:val="006fc4"/>
                  <w:sz w:val="20"/>
                  <w:vertAlign w:val="superscript"/>
                </w:rPr>
                <w:t>3</w:t>
              </w:r>
            </w:hyperlink>
            <w:bookmarkEnd w:id="85"/>
          </w:p>
        </w:tc>
        <w:tc>
          <w:tcPr>
            <w:vAlign w:val="top"/>
          </w:tcPr>
          <w:p>
            <w:pPr>
              <w:pBdr>
                <w:bottom w:val="none" w:space="8"/>
              </w:pBdr>
              <w:spacing w:before="0" w:after="0" w:line="275" w:lineRule="atLeast"/>
              <w:jc w:val="both"/>
            </w:pPr>
            <w:r>
              <w:rPr>
                <w:rFonts w:ascii="Times New Roman" w:hAnsi="Times New Roman"/>
                <w:color w:val="000000"/>
                <w:sz w:val="20"/>
              </w:rPr>
              <w:t xml:space="preserve">Even if Mr. Spradley had not crossed a state line, he might have been guilty of other crimes under state law. </w:t>
            </w:r>
            <w:r>
              <w:rPr>
                <w:rFonts w:ascii="Times New Roman" w:hAnsi="Times New Roman"/>
                <w:i/>
                <w:color w:val="000000"/>
                <w:sz w:val="20"/>
              </w:rPr>
              <w:t>See, e.g.</w:t>
            </w:r>
            <w:r>
              <w:rPr>
                <w:rFonts w:ascii="Times New Roman" w:hAnsi="Times New Roman"/>
                <w:color w:val="000000"/>
                <w:sz w:val="20"/>
              </w:rPr>
              <w:t xml:space="preserve">, </w:t>
            </w:r>
            <w:hyperlink r:id="r116">
              <w:r>
                <w:rPr>
                  <w:rFonts w:ascii="Times New Roman" w:hAnsi="Times New Roman"/>
                  <w:color w:val="006fc4"/>
                  <w:sz w:val="20"/>
                </w:rPr>
                <w:t>Kan. Stat. Ann. § 21-6421(b)(1)</w:t>
              </w:r>
            </w:hyperlink>
            <w:r>
              <w:rPr>
                <w:rFonts w:ascii="Times New Roman" w:hAnsi="Times New Roman"/>
                <w:color w:val="000000"/>
                <w:sz w:val="20"/>
              </w:rPr>
              <w:t xml:space="preserve"> (“Buying sexual relations”); </w:t>
            </w:r>
            <w:hyperlink r:id="r117">
              <w:r>
                <w:rPr>
                  <w:rFonts w:ascii="Times New Roman" w:hAnsi="Times New Roman"/>
                  <w:color w:val="006fc4"/>
                  <w:sz w:val="20"/>
                </w:rPr>
                <w:t>Kan. Stat. Ann. § 21-6422(a)(1)</w:t>
              </w:r>
            </w:hyperlink>
            <w:r>
              <w:rPr>
                <w:rFonts w:ascii="Times New Roman" w:hAnsi="Times New Roman"/>
                <w:color w:val="000000"/>
                <w:sz w:val="20"/>
              </w:rPr>
              <w:t xml:space="preserve"> (commercial sexual exploitation of a child). But Mr. Spradley was not charged with those crimes.</w:t>
            </w:r>
          </w:p>
        </w:tc>
      </w:tr>
      <w:tr>
        <w:tblPrEx/>
        <w:trPr/>
        <w:tc>
          <w:tcPr>
            <w:vAlign w:val="top"/>
          </w:tcPr>
          <w:p>
            <w:pPr>
              <w:spacing w:before="0" w:after="0" w:line="275" w:lineRule="atLeast"/>
            </w:pPr>
            <w:bookmarkStart w:id="86" w:name="co_footnote_B00042057466007_1"/>
            <w:hyperlink w:anchor="co_fnRef_B00042057466007_ID0EB3AE_1">
              <w:r>
                <w:rPr>
                  <w:rFonts w:ascii="Times New Roman" w:hAnsi="Times New Roman"/>
                  <w:color w:val="006fc4"/>
                  <w:sz w:val="20"/>
                  <w:vertAlign w:val="superscript"/>
                </w:rPr>
                <w:t>4</w:t>
              </w:r>
            </w:hyperlink>
            <w:bookmarkEnd w:id="86"/>
          </w:p>
        </w:tc>
        <w:tc>
          <w:tcPr>
            <w:vAlign w:val="top"/>
          </w:tcPr>
          <w:p>
            <w:pPr>
              <w:pBdr>
                <w:bottom w:val="none" w:space="8"/>
              </w:pBdr>
              <w:spacing w:before="0" w:after="0" w:line="275" w:lineRule="atLeast"/>
              <w:jc w:val="both"/>
            </w:pPr>
            <w:r>
              <w:rPr>
                <w:rFonts w:ascii="Times New Roman" w:hAnsi="Times New Roman"/>
                <w:color w:val="000000"/>
                <w:sz w:val="20"/>
              </w:rPr>
              <w:t xml:space="preserve">The government argues that Mr. Spradley initiated the offer to make the drive, pointing to his message: “You want me to come over there? I live in Kansas City. Don't you live in Topeka?” Supp. R. vol. 1, at 17. But Mr. Spradley was just responding to the fictitious girl's request for him to “swing by.” </w:t>
            </w:r>
            <w:r>
              <w:rPr>
                <w:rFonts w:ascii="Times New Roman" w:hAnsi="Times New Roman"/>
                <w:i/>
                <w:color w:val="000000"/>
                <w:sz w:val="20"/>
              </w:rPr>
              <w:t>Id.</w:t>
            </w:r>
          </w:p>
        </w:tc>
      </w:tr>
      <w:tr>
        <w:tblPrEx/>
        <w:trPr/>
        <w:tc>
          <w:tcPr>
            <w:vAlign w:val="top"/>
          </w:tcPr>
          <w:p>
            <w:pPr>
              <w:spacing w:before="0" w:after="0" w:line="275" w:lineRule="atLeast"/>
            </w:pPr>
            <w:bookmarkStart w:id="87" w:name="co_footnote_B00052057466007_1"/>
            <w:hyperlink w:anchor="co_fnRef_B00052057466007_ID0EGMAG_1">
              <w:r>
                <w:rPr>
                  <w:rFonts w:ascii="Times New Roman" w:hAnsi="Times New Roman"/>
                  <w:color w:val="006fc4"/>
                  <w:sz w:val="20"/>
                  <w:vertAlign w:val="superscript"/>
                </w:rPr>
                <w:t>5</w:t>
              </w:r>
            </w:hyperlink>
            <w:bookmarkEnd w:id="87"/>
          </w:p>
        </w:tc>
        <w:tc>
          <w:tcPr>
            <w:vAlign w:val="top"/>
          </w:tcPr>
          <w:p>
            <w:pPr>
              <w:pBdr>
                <w:bottom w:val="none" w:space="8"/>
              </w:pBdr>
              <w:spacing w:before="0" w:after="0" w:line="275" w:lineRule="atLeast"/>
              <w:jc w:val="both"/>
            </w:pPr>
            <w:r>
              <w:rPr>
                <w:rFonts w:ascii="Times New Roman" w:hAnsi="Times New Roman"/>
                <w:color w:val="000000"/>
                <w:sz w:val="20"/>
              </w:rPr>
              <w:t xml:space="preserve">The dissent cites a minority opinion in </w:t>
            </w:r>
            <w:hyperlink r:id="r118">
              <w:r>
                <w:rPr>
                  <w:rFonts w:ascii="Times New Roman" w:hAnsi="Times New Roman"/>
                  <w:i/>
                  <w:color w:val="006fc4"/>
                  <w:sz w:val="20"/>
                </w:rPr>
                <w:t>United States v. Hohn</w:t>
              </w:r>
              <w:r>
                <w:rPr>
                  <w:rFonts w:ascii="Times New Roman" w:hAnsi="Times New Roman"/>
                  <w:color w:val="006fc4"/>
                  <w:sz w:val="20"/>
                </w:rPr>
                <w:t>, 123 F.4th 1084, 1119–30 (10th Cir. 2024)</w:t>
              </w:r>
            </w:hyperlink>
            <w:r>
              <w:rPr>
                <w:rFonts w:ascii="Times New Roman" w:hAnsi="Times New Roman"/>
                <w:color w:val="000000"/>
                <w:sz w:val="20"/>
              </w:rPr>
              <w:t xml:space="preserve"> (en banc) (Bacharach, J., concurring in part &amp; dissenting in part), </w:t>
            </w:r>
            <w:r>
              <w:rPr>
                <w:rFonts w:ascii="Times New Roman" w:hAnsi="Times New Roman"/>
                <w:i/>
                <w:color w:val="000000"/>
                <w:sz w:val="20"/>
              </w:rPr>
              <w:t>cited in</w:t>
            </w:r>
            <w:r>
              <w:rPr>
                <w:rFonts w:ascii="Times New Roman" w:hAnsi="Times New Roman"/>
                <w:color w:val="000000"/>
                <w:sz w:val="20"/>
              </w:rPr>
              <w:t xml:space="preserve"> Dissent at 10. This minority opinion takes a similar approach, stating that we can take a middle ground on the burden of proof when the parties take more extreme positions. </w:t>
            </w:r>
            <w:hyperlink r:id="r119">
              <w:r>
                <w:rPr>
                  <w:rFonts w:ascii="Times New Roman" w:hAnsi="Times New Roman"/>
                  <w:i/>
                  <w:color w:val="006fc4"/>
                  <w:sz w:val="20"/>
                </w:rPr>
                <w:t>Id.</w:t>
              </w:r>
              <w:r>
                <w:rPr>
                  <w:rFonts w:ascii="Times New Roman" w:hAnsi="Times New Roman"/>
                  <w:color w:val="006fc4"/>
                  <w:sz w:val="20"/>
                </w:rPr>
                <w:t xml:space="preserve"> at 1129 n.7</w:t>
              </w:r>
            </w:hyperlink>
            <w:r>
              <w:rPr>
                <w:rFonts w:ascii="Times New Roman" w:hAnsi="Times New Roman"/>
                <w:color w:val="000000"/>
                <w:sz w:val="20"/>
              </w:rPr>
              <w:t>.</w:t>
            </w:r>
          </w:p>
        </w:tc>
      </w:tr>
      <w:tr>
        <w:tblPrEx/>
        <w:trPr/>
        <w:tc>
          <w:tcPr>
            <w:vAlign w:val="top"/>
          </w:tcPr>
          <w:p>
            <w:pPr>
              <w:spacing w:before="0" w:after="0" w:line="275" w:lineRule="atLeast"/>
            </w:pPr>
            <w:bookmarkStart w:id="88" w:name="co_footnote_B00062057466007_1"/>
            <w:hyperlink w:anchor="co_fnRef_B00062057466007_ID0ETBBG_1">
              <w:r>
                <w:rPr>
                  <w:rFonts w:ascii="Times New Roman" w:hAnsi="Times New Roman"/>
                  <w:color w:val="006fc4"/>
                  <w:sz w:val="20"/>
                  <w:vertAlign w:val="superscript"/>
                </w:rPr>
                <w:t>6</w:t>
              </w:r>
            </w:hyperlink>
            <w:bookmarkEnd w:id="88"/>
          </w:p>
        </w:tc>
        <w:tc>
          <w:tcPr>
            <w:vAlign w:val="top"/>
          </w:tcPr>
          <w:p>
            <w:pPr>
              <w:pBdr>
                <w:bottom w:val="none" w:space="8"/>
              </w:pBdr>
              <w:spacing w:before="0" w:after="0" w:line="275" w:lineRule="atLeast"/>
              <w:jc w:val="both"/>
            </w:pPr>
            <w:r>
              <w:rPr>
                <w:rFonts w:ascii="Times New Roman" w:hAnsi="Times New Roman"/>
                <w:color w:val="000000"/>
                <w:sz w:val="20"/>
              </w:rPr>
              <w:t xml:space="preserve">Citing </w:t>
            </w:r>
            <w:r>
              <w:rPr>
                <w:rFonts w:ascii="Times New Roman" w:hAnsi="Times New Roman"/>
                <w:i/>
                <w:color w:val="000000"/>
                <w:sz w:val="20"/>
              </w:rPr>
              <w:t>United States v. Sanchez</w:t>
            </w:r>
            <w:r>
              <w:rPr>
                <w:rFonts w:ascii="Times New Roman" w:hAnsi="Times New Roman"/>
                <w:color w:val="000000"/>
                <w:sz w:val="20"/>
              </w:rPr>
              <w:t xml:space="preserve">, the dissent states that the objective test “look[s] at the government's behavior in relation to a hypothetical reasonable, law-abiding citizen.” Dissent at 13. But </w:t>
            </w:r>
            <w:r>
              <w:rPr>
                <w:rFonts w:ascii="Times New Roman" w:hAnsi="Times New Roman"/>
                <w:i/>
                <w:color w:val="000000"/>
                <w:sz w:val="20"/>
              </w:rPr>
              <w:t>Sanchez</w:t>
            </w:r>
            <w:r>
              <w:rPr>
                <w:rFonts w:ascii="Times New Roman" w:hAnsi="Times New Roman"/>
                <w:color w:val="000000"/>
                <w:sz w:val="20"/>
              </w:rPr>
              <w:t xml:space="preserve"> doesn't say that we disregard the defendant's actual characteristics or susceptibilities. </w:t>
            </w:r>
            <w:r>
              <w:rPr>
                <w:rFonts w:ascii="Times New Roman" w:hAnsi="Times New Roman"/>
                <w:i/>
                <w:color w:val="000000"/>
                <w:sz w:val="20"/>
              </w:rPr>
              <w:t>See</w:t>
            </w:r>
            <w:r>
              <w:rPr>
                <w:rFonts w:ascii="Times New Roman" w:hAnsi="Times New Roman"/>
                <w:color w:val="000000"/>
                <w:sz w:val="20"/>
              </w:rPr>
              <w:t xml:space="preserve"> </w:t>
            </w:r>
            <w:hyperlink r:id="r120">
              <w:r>
                <w:rPr>
                  <w:rFonts w:ascii="Times New Roman" w:hAnsi="Times New Roman"/>
                  <w:i/>
                  <w:color w:val="006fc4"/>
                  <w:sz w:val="20"/>
                </w:rPr>
                <w:t>United States v. Sanchez</w:t>
              </w:r>
              <w:r>
                <w:rPr>
                  <w:rFonts w:ascii="Times New Roman" w:hAnsi="Times New Roman"/>
                  <w:color w:val="006fc4"/>
                  <w:sz w:val="20"/>
                </w:rPr>
                <w:t>, 88 F.3d 1243 (D.C. Cir. 1996)</w:t>
              </w:r>
            </w:hyperlink>
            <w:r>
              <w:rPr>
                <w:rFonts w:ascii="Times New Roman" w:hAnsi="Times New Roman"/>
                <w:color w:val="000000"/>
                <w:sz w:val="20"/>
              </w:rPr>
              <w:t xml:space="preserve">, </w:t>
            </w:r>
            <w:r>
              <w:rPr>
                <w:rFonts w:ascii="Times New Roman" w:hAnsi="Times New Roman"/>
                <w:i/>
                <w:color w:val="000000"/>
                <w:sz w:val="20"/>
              </w:rPr>
              <w:t>abrogated in part on other grounds by</w:t>
            </w:r>
            <w:r>
              <w:rPr>
                <w:rFonts w:ascii="Times New Roman" w:hAnsi="Times New Roman"/>
                <w:color w:val="000000"/>
                <w:sz w:val="20"/>
              </w:rPr>
              <w:t xml:space="preserve"> </w:t>
            </w:r>
            <w:hyperlink r:id="r121">
              <w:r>
                <w:rPr>
                  <w:rFonts w:ascii="Times New Roman" w:hAnsi="Times New Roman"/>
                  <w:i/>
                  <w:color w:val="006fc4"/>
                  <w:sz w:val="20"/>
                </w:rPr>
                <w:t>Peguero v. United States</w:t>
              </w:r>
              <w:r>
                <w:rPr>
                  <w:rFonts w:ascii="Times New Roman" w:hAnsi="Times New Roman"/>
                  <w:color w:val="006fc4"/>
                  <w:sz w:val="20"/>
                </w:rPr>
                <w:t>, 526 U.S. 23, 24 (1999)</w:t>
              </w:r>
            </w:hyperlink>
            <w:r>
              <w:rPr>
                <w:rFonts w:ascii="Times New Roman" w:hAnsi="Times New Roman"/>
                <w:color w:val="000000"/>
                <w:sz w:val="20"/>
              </w:rPr>
              <w:t xml:space="preserve">. In fact, many circuits even allow expert testimony on a defendant's particular susceptibility to inducement. </w:t>
            </w:r>
            <w:r>
              <w:rPr>
                <w:rFonts w:ascii="Times New Roman" w:hAnsi="Times New Roman"/>
                <w:i/>
                <w:color w:val="000000"/>
                <w:sz w:val="20"/>
              </w:rPr>
              <w:t>E.g.</w:t>
            </w:r>
            <w:r>
              <w:rPr>
                <w:rFonts w:ascii="Times New Roman" w:hAnsi="Times New Roman"/>
                <w:color w:val="000000"/>
                <w:sz w:val="20"/>
              </w:rPr>
              <w:t xml:space="preserve">, </w:t>
            </w:r>
            <w:hyperlink r:id="r122">
              <w:r>
                <w:rPr>
                  <w:rFonts w:ascii="Times New Roman" w:hAnsi="Times New Roman"/>
                  <w:i/>
                  <w:color w:val="006fc4"/>
                  <w:sz w:val="20"/>
                </w:rPr>
                <w:t>United States v. Nunn</w:t>
              </w:r>
              <w:r>
                <w:rPr>
                  <w:rFonts w:ascii="Times New Roman" w:hAnsi="Times New Roman"/>
                  <w:color w:val="006fc4"/>
                  <w:sz w:val="20"/>
                </w:rPr>
                <w:t>, 940 F.2d 1148, 1149 (8th Cir. 1991)</w:t>
              </w:r>
            </w:hyperlink>
            <w:r>
              <w:rPr>
                <w:rFonts w:ascii="Times New Roman" w:hAnsi="Times New Roman"/>
                <w:color w:val="000000"/>
                <w:sz w:val="20"/>
              </w:rPr>
              <w:t xml:space="preserve"> (“Expert testimony of a psychiatrist or psychologist is admissible to prove a defendant's unusual susceptibility to inducement.”); </w:t>
            </w:r>
            <w:hyperlink r:id="r123">
              <w:r>
                <w:rPr>
                  <w:rFonts w:ascii="Times New Roman" w:hAnsi="Times New Roman"/>
                  <w:i/>
                  <w:color w:val="006fc4"/>
                  <w:sz w:val="20"/>
                </w:rPr>
                <w:t>United States v. Sandoval-Mendoza</w:t>
              </w:r>
              <w:r>
                <w:rPr>
                  <w:rFonts w:ascii="Times New Roman" w:hAnsi="Times New Roman"/>
                  <w:color w:val="006fc4"/>
                  <w:sz w:val="20"/>
                </w:rPr>
                <w:t>, 472 F.3d 645, 655–56 (9th Cir. 2006)</w:t>
              </w:r>
            </w:hyperlink>
            <w:r>
              <w:rPr>
                <w:rFonts w:ascii="Times New Roman" w:hAnsi="Times New Roman"/>
                <w:color w:val="000000"/>
                <w:sz w:val="20"/>
              </w:rPr>
              <w:t xml:space="preserve"> (stating that expert medical opinion testimony on a defendant's unusual vulnerability to inducement is admissible when adequately supported because such testimony </w:t>
            </w:r>
            <w:r>
              <w:rPr>
                <w:rFonts w:ascii="Times New Roman" w:hAnsi="Times New Roman"/>
                <w:color w:val="000000"/>
                <w:sz w:val="20"/>
              </w:rPr>
              <w:t xml:space="preserve">“is highly relevant to an entrapment defense”); </w:t>
            </w:r>
            <w:hyperlink r:id="r124">
              <w:r>
                <w:rPr>
                  <w:rFonts w:ascii="Times New Roman" w:hAnsi="Times New Roman"/>
                  <w:i/>
                  <w:color w:val="006fc4"/>
                  <w:sz w:val="20"/>
                </w:rPr>
                <w:t>United States v. Hill</w:t>
              </w:r>
              <w:r>
                <w:rPr>
                  <w:rFonts w:ascii="Times New Roman" w:hAnsi="Times New Roman"/>
                  <w:color w:val="006fc4"/>
                  <w:sz w:val="20"/>
                </w:rPr>
                <w:t>, 655 F.2d 512, 516 (3d Cir. 1981)</w:t>
              </w:r>
            </w:hyperlink>
            <w:r>
              <w:rPr>
                <w:rFonts w:ascii="Times New Roman" w:hAnsi="Times New Roman"/>
                <w:color w:val="000000"/>
                <w:sz w:val="20"/>
              </w:rPr>
              <w:t xml:space="preserve"> (concluding that expert testimony may be admissible on a defendant's susceptibility to inducement from subnormal intelligence or psychological characteristics), </w:t>
            </w:r>
            <w:r>
              <w:rPr>
                <w:rFonts w:ascii="Times New Roman" w:hAnsi="Times New Roman"/>
                <w:i/>
                <w:color w:val="000000"/>
                <w:sz w:val="20"/>
              </w:rPr>
              <w:t>implicitly overruled in part on other grounds as recognized by</w:t>
            </w:r>
            <w:r>
              <w:rPr>
                <w:rFonts w:ascii="Times New Roman" w:hAnsi="Times New Roman"/>
                <w:color w:val="000000"/>
                <w:sz w:val="20"/>
              </w:rPr>
              <w:t xml:space="preserve"> </w:t>
            </w:r>
            <w:hyperlink r:id="r125">
              <w:r>
                <w:rPr>
                  <w:rFonts w:ascii="Times New Roman" w:hAnsi="Times New Roman"/>
                  <w:i/>
                  <w:color w:val="006fc4"/>
                  <w:sz w:val="20"/>
                </w:rPr>
                <w:t>United States v. Bay</w:t>
              </w:r>
              <w:r>
                <w:rPr>
                  <w:rFonts w:ascii="Times New Roman" w:hAnsi="Times New Roman"/>
                  <w:color w:val="006fc4"/>
                  <w:sz w:val="20"/>
                </w:rPr>
                <w:t>, 852 F.2d 702, 703 (3d Cir. 1988)</w:t>
              </w:r>
            </w:hyperlink>
            <w:r>
              <w:rPr>
                <w:rFonts w:ascii="Times New Roman" w:hAnsi="Times New Roman"/>
                <w:color w:val="000000"/>
                <w:sz w:val="20"/>
              </w:rPr>
              <w:t xml:space="preserve">; </w:t>
            </w:r>
            <w:hyperlink r:id="r126">
              <w:r>
                <w:rPr>
                  <w:rFonts w:ascii="Times New Roman" w:hAnsi="Times New Roman"/>
                  <w:i/>
                  <w:color w:val="006fc4"/>
                  <w:sz w:val="20"/>
                </w:rPr>
                <w:t>United States v. Newman</w:t>
              </w:r>
              <w:r>
                <w:rPr>
                  <w:rFonts w:ascii="Times New Roman" w:hAnsi="Times New Roman"/>
                  <w:color w:val="006fc4"/>
                  <w:sz w:val="20"/>
                </w:rPr>
                <w:t>, 849 F.2d 156, 165 (5th Cir. 1988)</w:t>
              </w:r>
            </w:hyperlink>
            <w:r>
              <w:rPr>
                <w:rFonts w:ascii="Times New Roman" w:hAnsi="Times New Roman"/>
                <w:color w:val="000000"/>
                <w:sz w:val="20"/>
              </w:rPr>
              <w:t xml:space="preserve"> (“We conclude that when an entrapment defense is raised, expert psychiatric testimony is admissible to demonstrate that a mental disease, defect or subnormal intelligence makes a defendant [particularly] susceptible to inducement.”).</w:t>
            </w:r>
          </w:p>
        </w:tc>
      </w:tr>
      <w:tr>
        <w:tblPrEx/>
        <w:trPr/>
        <w:tc>
          <w:tcPr>
            <w:vAlign w:val="top"/>
          </w:tcPr>
          <w:p>
            <w:pPr>
              <w:spacing w:before="0" w:after="0" w:line="275" w:lineRule="atLeast"/>
            </w:pPr>
            <w:bookmarkStart w:id="89" w:name="co_footnote_B00072057466007_1"/>
            <w:hyperlink w:anchor="co_fnRef_B00072057466007_ID0EMJBG_1">
              <w:r>
                <w:rPr>
                  <w:rFonts w:ascii="Times New Roman" w:hAnsi="Times New Roman"/>
                  <w:color w:val="006fc4"/>
                  <w:sz w:val="20"/>
                  <w:vertAlign w:val="superscript"/>
                </w:rPr>
                <w:t>7</w:t>
              </w:r>
            </w:hyperlink>
            <w:bookmarkEnd w:id="89"/>
          </w:p>
        </w:tc>
        <w:tc>
          <w:tcPr>
            <w:vAlign w:val="top"/>
          </w:tcPr>
          <w:p>
            <w:pPr>
              <w:pBdr>
                <w:bottom w:val="none" w:space="8"/>
              </w:pBdr>
              <w:spacing w:before="0" w:after="0" w:line="275" w:lineRule="atLeast"/>
              <w:jc w:val="both"/>
            </w:pPr>
            <w:r>
              <w:rPr>
                <w:rFonts w:ascii="Times New Roman" w:hAnsi="Times New Roman"/>
                <w:color w:val="000000"/>
                <w:sz w:val="20"/>
              </w:rPr>
              <w:t xml:space="preserve">In </w:t>
            </w:r>
            <w:r>
              <w:rPr>
                <w:rFonts w:ascii="Times New Roman" w:hAnsi="Times New Roman"/>
                <w:i/>
                <w:color w:val="000000"/>
                <w:sz w:val="20"/>
              </w:rPr>
              <w:t>Chavez</w:t>
            </w:r>
            <w:r>
              <w:rPr>
                <w:rFonts w:ascii="Times New Roman" w:hAnsi="Times New Roman"/>
                <w:color w:val="000000"/>
                <w:sz w:val="20"/>
              </w:rPr>
              <w:t>, we explained:</w:t>
            </w:r>
          </w:p>
          <w:p>
            <w:pPr>
              <w:pBdr>
                <w:left w:val="none" w:space="10"/>
                <w:bottom w:val="none" w:space="8"/>
              </w:pBdr>
              <w:spacing w:before="0" w:after="0" w:line="275" w:lineRule="atLeast"/>
              <w:ind w:left="200" w:right="0" w:firstLine="0"/>
              <w:jc w:val="both"/>
            </w:pPr>
            <w:r>
              <w:rPr>
                <w:rFonts w:ascii="Times New Roman" w:hAnsi="Times New Roman"/>
                <w:color w:val="000000"/>
                <w:sz w:val="20"/>
              </w:rPr>
              <w:t xml:space="preserve">[T]he Dissent crafts arguments for affirmance completely </w:t>
            </w:r>
            <w:r>
              <w:rPr>
                <w:rFonts w:ascii="Times New Roman" w:hAnsi="Times New Roman"/>
                <w:i/>
                <w:color w:val="000000"/>
                <w:sz w:val="20"/>
              </w:rPr>
              <w:t>sua sponte</w:t>
            </w:r>
            <w:r>
              <w:rPr>
                <w:rFonts w:ascii="Times New Roman" w:hAnsi="Times New Roman"/>
                <w:color w:val="000000"/>
                <w:sz w:val="20"/>
              </w:rPr>
              <w:t xml:space="preserve"> and, more specifically, without the benefit of the parties’ adversarial exchange. As a jurisprudential matter, this is imprudent, and—under these circumstances, where we have demonstrated (with reference to the parties’ arguments) that [the defendant's] conviction rests unjustly on legal error—it is troubling. “[T]he adversary system is a cornerstone of our jurisprudence.” Indeed, the very notion of “judicial precedent implies that the point to the decision ... should have been argued by opposing counsel.” This adversarial testing serves important ends: notably, it increases the odds that the court will “reach the ‘correct’ decision because the advocates will uncover and present more useful information and arguments ... than the court would develop on its own.” After all, “[c]ounsel almost always know a great deal more about their cases than we do.” To be sure, appellate courts have the “discretion to affirm on any ground adequately supported by the record.” But ordinarily, in exercising that discretion, we have been—as a matter of basic fairness—“guided” by whether the parties have “fully briefed and argued” the alternate ground, and whether they have had “a fair opportunity to develop the factual record.” These circumstances are conspicuously absent here. Accordingly, we deem the Dissent's </w:t>
            </w:r>
            <w:r>
              <w:rPr>
                <w:rFonts w:ascii="Times New Roman" w:hAnsi="Times New Roman"/>
                <w:i/>
                <w:color w:val="000000"/>
                <w:sz w:val="20"/>
              </w:rPr>
              <w:t>sua sponte</w:t>
            </w:r>
            <w:r>
              <w:rPr>
                <w:rFonts w:ascii="Times New Roman" w:hAnsi="Times New Roman"/>
                <w:color w:val="000000"/>
                <w:sz w:val="20"/>
              </w:rPr>
              <w:t xml:space="preserve"> handiwork to be, again, not only imprudent, but—under these circumstances, where [the defendant's] demonstrably infirm conviction hangs in the balance—troubling. Because the parties have not had an opportunity to engage with the merits of the Dissent's arguments, neither will we.</w:t>
            </w:r>
          </w:p>
          <w:p>
            <w:pPr>
              <w:pBdr>
                <w:bottom w:val="none" w:space="8"/>
              </w:pBdr>
              <w:spacing w:before="0" w:after="0" w:line="275" w:lineRule="atLeast"/>
              <w:jc w:val="both"/>
            </w:pPr>
            <w:hyperlink r:id="r127">
              <w:r>
                <w:rPr>
                  <w:rFonts w:ascii="Times New Roman" w:hAnsi="Times New Roman"/>
                  <w:color w:val="006fc4"/>
                  <w:sz w:val="20"/>
                </w:rPr>
                <w:t>976 F.3d at 1203 n.17</w:t>
              </w:r>
            </w:hyperlink>
            <w:r>
              <w:rPr>
                <w:rFonts w:ascii="Times New Roman" w:hAnsi="Times New Roman"/>
                <w:color w:val="000000"/>
                <w:sz w:val="20"/>
              </w:rPr>
              <w:t xml:space="preserve"> (citations omitted).</w:t>
            </w:r>
          </w:p>
        </w:tc>
      </w:tr>
      <w:tr>
        <w:tblPrEx/>
        <w:trPr/>
        <w:tc>
          <w:tcPr>
            <w:vAlign w:val="top"/>
          </w:tcPr>
          <w:p>
            <w:pPr>
              <w:spacing w:before="0" w:after="0" w:line="275" w:lineRule="atLeast"/>
            </w:pPr>
            <w:bookmarkStart w:id="90" w:name="co_footnote_B00082057466007_1"/>
            <w:hyperlink w:anchor="co_fnRef_B00082057466007_ID0E3CAI_1">
              <w:r>
                <w:rPr>
                  <w:rFonts w:ascii="Times New Roman" w:hAnsi="Times New Roman"/>
                  <w:color w:val="006fc4"/>
                  <w:sz w:val="20"/>
                  <w:vertAlign w:val="superscript"/>
                </w:rPr>
                <w:t>8</w:t>
              </w:r>
            </w:hyperlink>
            <w:bookmarkEnd w:id="90"/>
          </w:p>
        </w:tc>
        <w:tc>
          <w:tcPr>
            <w:vAlign w:val="top"/>
          </w:tcPr>
          <w:p>
            <w:pPr>
              <w:pBdr>
                <w:bottom w:val="none" w:space="8"/>
              </w:pBdr>
              <w:spacing w:before="0" w:after="0" w:line="275" w:lineRule="atLeast"/>
              <w:jc w:val="both"/>
            </w:pPr>
            <w:r>
              <w:rPr>
                <w:rFonts w:ascii="Times New Roman" w:hAnsi="Times New Roman"/>
                <w:color w:val="000000"/>
                <w:sz w:val="20"/>
              </w:rPr>
              <w:t>The dissent states that</w:t>
            </w:r>
          </w:p>
          <w:p>
            <w:pPr>
              <w:pBdr>
                <w:left w:val="none" w:space="20"/>
                <w:bottom w:val="none" w:space="8"/>
              </w:pBdr>
              <w:spacing w:before="0" w:after="0" w:line="275" w:lineRule="atLeast"/>
              <w:ind w:left="600" w:right="0" w:hanging="200"/>
              <w:jc w:val="both"/>
            </w:pPr>
            <w:r>
              <w:rPr>
                <w:rFonts w:ascii="Times New Roman" w:hAnsi="Times New Roman"/>
                <w:color w:val="000000"/>
                <w:sz w:val="20"/>
              </w:rPr>
              <w:t>• our decision “may portend the end of undercover operations targeting child predators in this Circuit” and “spell[ ] the end of undercover operations targeting child predators in the Tenth Circuit” and</w:t>
            </w:r>
          </w:p>
          <w:p>
            <w:pPr>
              <w:pBdr>
                <w:left w:val="none" w:space="20"/>
                <w:bottom w:val="none" w:space="8"/>
              </w:pBdr>
              <w:spacing w:before="0" w:after="0" w:line="275" w:lineRule="atLeast"/>
              <w:ind w:left="600" w:right="0" w:hanging="200"/>
              <w:jc w:val="both"/>
            </w:pPr>
            <w:r>
              <w:rPr>
                <w:rFonts w:ascii="Times New Roman" w:hAnsi="Times New Roman"/>
                <w:color w:val="000000"/>
                <w:sz w:val="20"/>
              </w:rPr>
              <w:t>• it is unclear “how an undercover operation targeting sexual predators online could ever avoid an entrapment instruction.”</w:t>
            </w:r>
          </w:p>
          <w:p>
            <w:pPr>
              <w:pBdr>
                <w:bottom w:val="none" w:space="8"/>
              </w:pBdr>
              <w:spacing w:before="0" w:after="0" w:line="275" w:lineRule="atLeast"/>
              <w:jc w:val="both"/>
            </w:pPr>
            <w:r>
              <w:rPr>
                <w:rFonts w:ascii="Times New Roman" w:hAnsi="Times New Roman"/>
                <w:color w:val="000000"/>
                <w:sz w:val="20"/>
              </w:rPr>
              <w:t>Dissent at 2, 17. Respectfully, we do not share these concerns.</w:t>
            </w:r>
          </w:p>
          <w:p>
            <w:pPr>
              <w:pBdr>
                <w:bottom w:val="none" w:space="8"/>
              </w:pBdr>
              <w:spacing w:before="0" w:after="0" w:line="275" w:lineRule="atLeast"/>
              <w:jc w:val="both"/>
            </w:pPr>
            <w:r>
              <w:rPr>
                <w:rFonts w:ascii="Times New Roman" w:hAnsi="Times New Roman"/>
                <w:color w:val="000000"/>
                <w:sz w:val="20"/>
              </w:rPr>
              <w:t>We're concluding only that the district court should have instructed the jury on entrapment. On remand, the district court may retry the defendant; and the new jury might reject the defense of entrapment. In any event, we've not questioned the government's ability to target child predators through undercover operations.</w:t>
            </w:r>
          </w:p>
          <w:p>
            <w:pPr>
              <w:pBdr>
                <w:bottom w:val="none" w:space="8"/>
              </w:pBdr>
              <w:spacing w:before="0" w:after="0" w:line="275" w:lineRule="atLeast"/>
              <w:jc w:val="both"/>
            </w:pPr>
            <w:r>
              <w:rPr>
                <w:rFonts w:ascii="Times New Roman" w:hAnsi="Times New Roman"/>
                <w:color w:val="000000"/>
                <w:sz w:val="20"/>
              </w:rPr>
              <w:t xml:space="preserve">And if the government argues in a future case that the defendant could have backed out, we can address this issue. Our opinion here wouldn't constrain us because we're not deciding the merits of the dissent's sua sponte theory to affirm. </w:t>
            </w:r>
            <w:r>
              <w:rPr>
                <w:rFonts w:ascii="Times New Roman" w:hAnsi="Times New Roman"/>
                <w:i/>
                <w:color w:val="000000"/>
                <w:sz w:val="20"/>
              </w:rPr>
              <w:t>See</w:t>
            </w:r>
            <w:r>
              <w:rPr>
                <w:rFonts w:ascii="Times New Roman" w:hAnsi="Times New Roman"/>
                <w:color w:val="000000"/>
                <w:sz w:val="20"/>
              </w:rPr>
              <w:t xml:space="preserve"> </w:t>
            </w:r>
            <w:hyperlink r:id="r128">
              <w:r>
                <w:rPr>
                  <w:rFonts w:ascii="Times New Roman" w:hAnsi="Times New Roman"/>
                  <w:i/>
                  <w:color w:val="006fc4"/>
                  <w:sz w:val="20"/>
                </w:rPr>
                <w:t>Merrifield v. Bd. of Cnty. Comm'rs</w:t>
              </w:r>
              <w:r>
                <w:rPr>
                  <w:rFonts w:ascii="Times New Roman" w:hAnsi="Times New Roman"/>
                  <w:color w:val="006fc4"/>
                  <w:sz w:val="20"/>
                </w:rPr>
                <w:t>, 654 F.3d 1073, 1084 (10th Cir. 2011)</w:t>
              </w:r>
            </w:hyperlink>
            <w:r>
              <w:rPr>
                <w:rFonts w:ascii="Times New Roman" w:hAnsi="Times New Roman"/>
                <w:color w:val="000000"/>
                <w:sz w:val="20"/>
              </w:rPr>
              <w:t xml:space="preserve"> (“It is elementary that an opinion is not binding precedent on an issue it did not address.”</w:t>
            </w:r>
            <w:r>
              <w:rPr>
                <w:rFonts w:ascii="Times New Roman" w:hAnsi="Times New Roman"/>
                <w:color w:val="000000"/>
                <w:sz w:val="20"/>
              </w:rPr>
              <w:t>).</w:t>
            </w:r>
          </w:p>
        </w:tc>
      </w:tr>
      <w:tr>
        <w:tblPrEx/>
        <w:trPr/>
        <w:tc>
          <w:tcPr>
            <w:vAlign w:val="top"/>
          </w:tcPr>
          <w:p>
            <w:pPr>
              <w:spacing w:before="0" w:after="0" w:line="275" w:lineRule="atLeast"/>
            </w:pPr>
            <w:bookmarkStart w:id="91" w:name="co_footnote_B00092057466007_1"/>
            <w:hyperlink w:anchor="co_fnRef_B00092057466007_ID0EXKAI_1">
              <w:r>
                <w:rPr>
                  <w:rFonts w:ascii="Times New Roman" w:hAnsi="Times New Roman"/>
                  <w:color w:val="006fc4"/>
                  <w:sz w:val="20"/>
                  <w:vertAlign w:val="superscript"/>
                </w:rPr>
                <w:t>1</w:t>
              </w:r>
            </w:hyperlink>
            <w:bookmarkEnd w:id="91"/>
          </w:p>
        </w:tc>
        <w:tc>
          <w:tcPr>
            <w:vAlign w:val="top"/>
          </w:tcPr>
          <w:p>
            <w:pPr>
              <w:pBdr>
                <w:bottom w:val="none" w:space="8"/>
              </w:pBdr>
              <w:spacing w:before="0" w:after="0" w:line="275" w:lineRule="atLeast"/>
              <w:jc w:val="both"/>
            </w:pPr>
            <w:r>
              <w:rPr>
                <w:rFonts w:ascii="Times New Roman" w:hAnsi="Times New Roman"/>
                <w:color w:val="000000"/>
                <w:sz w:val="20"/>
              </w:rPr>
              <w:t xml:space="preserve">I dissent on the entrapment issue, but I agree with the majority that there was sufficient evidence to support Spradley's conviction for traveling with a motivating purpose of engaging in illicit sexual conduct, in violation of </w:t>
            </w:r>
            <w:hyperlink r:id="r129">
              <w:r>
                <w:rPr>
                  <w:rFonts w:ascii="Times New Roman" w:hAnsi="Times New Roman"/>
                  <w:color w:val="006fc4"/>
                  <w:sz w:val="20"/>
                </w:rPr>
                <w:t>18 U.S.C. § 2423(b)</w:t>
              </w:r>
            </w:hyperlink>
            <w:r>
              <w:rPr>
                <w:rFonts w:ascii="Times New Roman" w:hAnsi="Times New Roman"/>
                <w:color w:val="000000"/>
                <w:sz w:val="20"/>
              </w:rPr>
              <w:t>. Spradley does not dispute that the government proved beyond a reasonable doubt that he traveled in interstate commerce. And the jury heard overwhelming evidence that the entire purpose of Spradley's trip to Kansas was to engage in sex with “Ashlee”—who he was told was seventeen years old—in exchange for $500.</w:t>
            </w:r>
          </w:p>
        </w:tc>
      </w:tr>
      <w:tr>
        <w:tblPrEx/>
        <w:trPr/>
        <w:tc>
          <w:tcPr>
            <w:vAlign w:val="top"/>
          </w:tcPr>
          <w:p>
            <w:pPr>
              <w:spacing w:before="0" w:after="0" w:line="275" w:lineRule="atLeast"/>
            </w:pPr>
            <w:bookmarkStart w:id="92" w:name="co_footnote_B00102057466007_1"/>
            <w:hyperlink w:anchor="co_fnRef_B00102057466007_ID0E51AI_1">
              <w:r>
                <w:rPr>
                  <w:rFonts w:ascii="Times New Roman" w:hAnsi="Times New Roman"/>
                  <w:color w:val="006fc4"/>
                  <w:sz w:val="20"/>
                  <w:vertAlign w:val="superscript"/>
                </w:rPr>
                <w:t>2</w:t>
              </w:r>
            </w:hyperlink>
            <w:bookmarkEnd w:id="92"/>
          </w:p>
        </w:tc>
        <w:tc>
          <w:tcPr>
            <w:vAlign w:val="top"/>
          </w:tcPr>
          <w:p>
            <w:pPr>
              <w:pBdr>
                <w:bottom w:val="none" w:space="8"/>
              </w:pBdr>
              <w:spacing w:before="0" w:after="0" w:line="275" w:lineRule="atLeast"/>
              <w:jc w:val="both"/>
            </w:pPr>
            <w:r>
              <w:rPr>
                <w:rFonts w:ascii="Times New Roman" w:hAnsi="Times New Roman"/>
                <w:color w:val="000000"/>
                <w:sz w:val="20"/>
              </w:rPr>
              <w:t xml:space="preserve">The First Circuit has similarly held that government conduct does not amount to inducement when an undercover officer gives the defendant an “opportunity to back away from the crime.” </w:t>
            </w:r>
            <w:hyperlink r:id="r130">
              <w:r>
                <w:rPr>
                  <w:rFonts w:ascii="Times New Roman" w:hAnsi="Times New Roman"/>
                  <w:i/>
                  <w:color w:val="006fc4"/>
                  <w:sz w:val="20"/>
                </w:rPr>
                <w:t>United States v. Vasco</w:t>
              </w:r>
              <w:r>
                <w:rPr>
                  <w:rFonts w:ascii="Times New Roman" w:hAnsi="Times New Roman"/>
                  <w:color w:val="006fc4"/>
                  <w:sz w:val="20"/>
                </w:rPr>
                <w:t>, 564 F.3d 12, 19 (1st Cir. 2009)</w:t>
              </w:r>
            </w:hyperlink>
            <w:r>
              <w:rPr>
                <w:rFonts w:ascii="Times New Roman" w:hAnsi="Times New Roman"/>
                <w:color w:val="000000"/>
                <w:sz w:val="20"/>
              </w:rPr>
              <w:t xml:space="preserve">; </w:t>
            </w:r>
            <w:r>
              <w:rPr>
                <w:rFonts w:ascii="Times New Roman" w:hAnsi="Times New Roman"/>
                <w:i/>
                <w:color w:val="000000"/>
                <w:sz w:val="20"/>
              </w:rPr>
              <w:t>see</w:t>
            </w:r>
            <w:r>
              <w:rPr>
                <w:rFonts w:ascii="Times New Roman" w:hAnsi="Times New Roman"/>
                <w:color w:val="000000"/>
                <w:sz w:val="20"/>
              </w:rPr>
              <w:t xml:space="preserve"> </w:t>
            </w:r>
            <w:hyperlink r:id="r131">
              <w:r>
                <w:rPr>
                  <w:rFonts w:ascii="Times New Roman" w:hAnsi="Times New Roman"/>
                  <w:i/>
                  <w:color w:val="006fc4"/>
                  <w:sz w:val="20"/>
                </w:rPr>
                <w:t>United States v. Cascella</w:t>
              </w:r>
              <w:r>
                <w:rPr>
                  <w:rFonts w:ascii="Times New Roman" w:hAnsi="Times New Roman"/>
                  <w:color w:val="006fc4"/>
                  <w:sz w:val="20"/>
                </w:rPr>
                <w:t>, 943 F.3d 1, 8 (1st Cir. 2019)</w:t>
              </w:r>
            </w:hyperlink>
            <w:r>
              <w:rPr>
                <w:rFonts w:ascii="Times New Roman" w:hAnsi="Times New Roman"/>
                <w:color w:val="000000"/>
                <w:sz w:val="20"/>
              </w:rPr>
              <w:t xml:space="preserve">. The Eleventh Circuit, meanwhile, has suggested that “[e]vidence that a defendant was afforded an opportunity to back out of a transaction and did not avail himself of that opportunity [ ] constitutes evidence of predisposition.” </w:t>
            </w:r>
            <w:r>
              <w:rPr>
                <w:rFonts w:ascii="Times New Roman" w:hAnsi="Times New Roman"/>
                <w:i/>
                <w:color w:val="000000"/>
                <w:sz w:val="20"/>
              </w:rPr>
              <w:t>See</w:t>
            </w:r>
            <w:r>
              <w:rPr>
                <w:rFonts w:ascii="Times New Roman" w:hAnsi="Times New Roman"/>
                <w:color w:val="000000"/>
                <w:sz w:val="20"/>
              </w:rPr>
              <w:t xml:space="preserve"> </w:t>
            </w:r>
            <w:hyperlink r:id="r132">
              <w:r>
                <w:rPr>
                  <w:rFonts w:ascii="Times New Roman" w:hAnsi="Times New Roman"/>
                  <w:i/>
                  <w:color w:val="006fc4"/>
                  <w:sz w:val="20"/>
                </w:rPr>
                <w:t>United States v. Ventura</w:t>
              </w:r>
              <w:r>
                <w:rPr>
                  <w:rFonts w:ascii="Times New Roman" w:hAnsi="Times New Roman"/>
                  <w:color w:val="006fc4"/>
                  <w:sz w:val="20"/>
                </w:rPr>
                <w:t>, 936 F.2d 1228, 1231 (11th Cir. 1991)</w:t>
              </w:r>
            </w:hyperlink>
            <w:r>
              <w:rPr>
                <w:rFonts w:ascii="Times New Roman" w:hAnsi="Times New Roman"/>
                <w:color w:val="000000"/>
                <w:sz w:val="20"/>
              </w:rPr>
              <w:t>. Whether properly analyzed under the inducement or predisposition prong, the result is the same: a defendant who fails to take advantage of a chance to back out of the crime cannot establish entrapment.</w:t>
            </w:r>
          </w:p>
        </w:tc>
      </w:tr>
      <w:tr>
        <w:tblPrEx/>
        <w:trPr/>
        <w:tc>
          <w:tcPr>
            <w:vAlign w:val="top"/>
          </w:tcPr>
          <w:p>
            <w:pPr>
              <w:spacing w:before="0" w:after="0" w:line="275" w:lineRule="atLeast"/>
            </w:pPr>
            <w:bookmarkStart w:id="93" w:name="co_footnote_B00112057466007_1"/>
            <w:hyperlink w:anchor="co_fnRef_B00112057466007_ID0EU6AI_1">
              <w:r>
                <w:rPr>
                  <w:rFonts w:ascii="Times New Roman" w:hAnsi="Times New Roman"/>
                  <w:color w:val="006fc4"/>
                  <w:sz w:val="20"/>
                  <w:vertAlign w:val="superscript"/>
                </w:rPr>
                <w:t>3</w:t>
              </w:r>
            </w:hyperlink>
            <w:bookmarkEnd w:id="93"/>
          </w:p>
        </w:tc>
        <w:tc>
          <w:tcPr>
            <w:vAlign w:val="top"/>
          </w:tcPr>
          <w:p>
            <w:pPr>
              <w:pBdr>
                <w:bottom w:val="none" w:space="8"/>
              </w:pBdr>
              <w:spacing w:before="0" w:after="0" w:line="275" w:lineRule="atLeast"/>
              <w:jc w:val="both"/>
            </w:pPr>
            <w:r>
              <w:rPr>
                <w:rFonts w:ascii="Times New Roman" w:hAnsi="Times New Roman"/>
                <w:color w:val="000000"/>
                <w:sz w:val="20"/>
              </w:rPr>
              <w:t xml:space="preserve">Despite the majority's suggestion that Spradley faced no criminal liability until the government persuaded him to drive across the Kansas border, </w:t>
            </w:r>
            <w:r>
              <w:rPr>
                <w:rFonts w:ascii="Times New Roman" w:hAnsi="Times New Roman"/>
                <w:i/>
                <w:color w:val="000000"/>
                <w:sz w:val="20"/>
              </w:rPr>
              <w:t>see</w:t>
            </w:r>
            <w:r>
              <w:rPr>
                <w:rFonts w:ascii="Times New Roman" w:hAnsi="Times New Roman"/>
                <w:color w:val="000000"/>
                <w:sz w:val="20"/>
              </w:rPr>
              <w:t xml:space="preserve"> Maj. Op. at 12, knowingly “[h]iring a person younger than 18 years of age by ... offering ... anything of value to any person, to engage in ... sexual intercourse” constitutes commercial sexual exploitation of a child under Kansas law. </w:t>
            </w:r>
            <w:hyperlink r:id="r133">
              <w:r>
                <w:rPr>
                  <w:rFonts w:ascii="Times New Roman" w:hAnsi="Times New Roman"/>
                  <w:color w:val="006fc4"/>
                  <w:sz w:val="20"/>
                </w:rPr>
                <w:t>Kan. Stat. Ann. § 21-6422(a)(1)</w:t>
              </w:r>
            </w:hyperlink>
            <w:r>
              <w:rPr>
                <w:rFonts w:ascii="Times New Roman" w:hAnsi="Times New Roman"/>
                <w:color w:val="000000"/>
                <w:sz w:val="20"/>
              </w:rPr>
              <w:t xml:space="preserve">. Consequently, when Spradley declined the government's out, he committed a felony, even if he was not ultimately charged with that crime in state court. Had he accepted the government's offer to back out, he would not have continued to commit the crimes he did, including the federal crime he was convicted of here. In that way, the government's conduct did not induce an otherwise law-abiding citizen to commit </w:t>
            </w:r>
            <w:r>
              <w:rPr>
                <w:rFonts w:ascii="Times New Roman" w:hAnsi="Times New Roman"/>
                <w:i/>
                <w:color w:val="000000"/>
                <w:sz w:val="20"/>
              </w:rPr>
              <w:t>any</w:t>
            </w:r>
            <w:r>
              <w:rPr>
                <w:rFonts w:ascii="Times New Roman" w:hAnsi="Times New Roman"/>
                <w:color w:val="000000"/>
                <w:sz w:val="20"/>
              </w:rPr>
              <w:t xml:space="preserve"> crimes—much less the crime of traveling with the purpose of engaging in commercial sex with a minor.</w:t>
            </w:r>
          </w:p>
        </w:tc>
      </w:tr>
      <w:tr>
        <w:tblPrEx/>
        <w:trPr/>
        <w:tc>
          <w:tcPr>
            <w:vAlign w:val="top"/>
          </w:tcPr>
          <w:p>
            <w:pPr>
              <w:spacing w:before="0" w:after="0" w:line="275" w:lineRule="atLeast"/>
            </w:pPr>
            <w:bookmarkStart w:id="94" w:name="co_footnote_B00122057466007_1"/>
            <w:hyperlink w:anchor="co_fnRef_B00122057466007_ID0ECEBI_1">
              <w:r>
                <w:rPr>
                  <w:rFonts w:ascii="Times New Roman" w:hAnsi="Times New Roman"/>
                  <w:color w:val="006fc4"/>
                  <w:sz w:val="20"/>
                  <w:vertAlign w:val="superscript"/>
                </w:rPr>
                <w:t>4</w:t>
              </w:r>
            </w:hyperlink>
            <w:bookmarkEnd w:id="94"/>
          </w:p>
        </w:tc>
        <w:tc>
          <w:tcPr>
            <w:vAlign w:val="top"/>
          </w:tcPr>
          <w:p>
            <w:pPr>
              <w:pBdr>
                <w:bottom w:val="none" w:space="8"/>
              </w:pBdr>
              <w:spacing w:before="0" w:after="0" w:line="275" w:lineRule="atLeast"/>
              <w:jc w:val="both"/>
            </w:pPr>
            <w:r>
              <w:rPr>
                <w:rFonts w:ascii="Times New Roman" w:hAnsi="Times New Roman"/>
                <w:color w:val="000000"/>
                <w:sz w:val="20"/>
              </w:rPr>
              <w:t>The majority suggests that much of the conversation about the money-for-sex scheme was a joke because Spradley included internet slang at the end of his messages. Maj. Op. at 6. But including common slang like “laugh out loud” or “lawlz” at the end of a message, even when viewed in the light most favorable to the defendant, does not automatically turn a serious message into a joke, shielding the participants from criminal liability.</w:t>
            </w:r>
          </w:p>
        </w:tc>
      </w:tr>
      <w:tr>
        <w:tblPrEx/>
        <w:trPr/>
        <w:tc>
          <w:tcPr>
            <w:vAlign w:val="top"/>
          </w:tcPr>
          <w:p>
            <w:pPr>
              <w:spacing w:before="0" w:after="0" w:line="275" w:lineRule="atLeast"/>
            </w:pPr>
            <w:bookmarkStart w:id="95" w:name="co_footnote_B00132057466007_1"/>
            <w:hyperlink w:anchor="co_fnRef_B00132057466007_ID0ED1BI_1">
              <w:r>
                <w:rPr>
                  <w:rFonts w:ascii="Times New Roman" w:hAnsi="Times New Roman"/>
                  <w:color w:val="006fc4"/>
                  <w:sz w:val="20"/>
                  <w:vertAlign w:val="superscript"/>
                </w:rPr>
                <w:t>5</w:t>
              </w:r>
            </w:hyperlink>
            <w:bookmarkEnd w:id="95"/>
          </w:p>
        </w:tc>
        <w:tc>
          <w:tcPr>
            <w:vAlign w:val="top"/>
          </w:tcPr>
          <w:p>
            <w:pPr>
              <w:pBdr>
                <w:bottom w:val="none" w:space="8"/>
              </w:pBdr>
              <w:spacing w:before="0" w:after="0" w:line="275" w:lineRule="atLeast"/>
              <w:jc w:val="both"/>
            </w:pPr>
            <w:r>
              <w:rPr>
                <w:rFonts w:ascii="Times New Roman" w:hAnsi="Times New Roman"/>
                <w:color w:val="000000"/>
                <w:sz w:val="20"/>
              </w:rPr>
              <w:t xml:space="preserve">While the majority rightly notes that assessing inducement can sometimes involve considering the defendant's characteristics or susceptibilities, it overlooks that such characteristics and susceptibilities are relevant to inducement only if the government knows and takes advantage of those attributes to cause a defendant to commit a crime. Without such knowledge, it would be illogical to conclude that the government's conduct was overreaching because of a defendant's particular susceptibility. Consequently, even when the defendant's individual characteristics are relevant, the inducement analysis remains focused on the government's conduct with respect to what the government knew or should have known about the defendant—not on the defendant's subjective beliefs. </w:t>
            </w:r>
            <w:r>
              <w:rPr>
                <w:rFonts w:ascii="Times New Roman" w:hAnsi="Times New Roman"/>
                <w:i/>
                <w:color w:val="000000"/>
                <w:sz w:val="20"/>
              </w:rPr>
              <w:t>See</w:t>
            </w:r>
            <w:r>
              <w:rPr>
                <w:rFonts w:ascii="Times New Roman" w:hAnsi="Times New Roman"/>
                <w:color w:val="000000"/>
                <w:sz w:val="20"/>
              </w:rPr>
              <w:t xml:space="preserve"> </w:t>
            </w:r>
            <w:hyperlink r:id="r134">
              <w:r>
                <w:rPr>
                  <w:rFonts w:ascii="Times New Roman" w:hAnsi="Times New Roman"/>
                  <w:i/>
                  <w:color w:val="006fc4"/>
                  <w:sz w:val="20"/>
                </w:rPr>
                <w:t>United States v. Montoya</w:t>
              </w:r>
              <w:r>
                <w:rPr>
                  <w:rFonts w:ascii="Times New Roman" w:hAnsi="Times New Roman"/>
                  <w:color w:val="006fc4"/>
                  <w:sz w:val="20"/>
                </w:rPr>
                <w:t>, 844 F.3d 63, 67–68 (1st Cir. 2016)</w:t>
              </w:r>
            </w:hyperlink>
            <w:r>
              <w:rPr>
                <w:rFonts w:ascii="Times New Roman" w:hAnsi="Times New Roman"/>
                <w:color w:val="000000"/>
                <w:sz w:val="20"/>
              </w:rPr>
              <w:t xml:space="preserve"> (explaining that the government's knowledge of the defendant's characteristics, such as the defendant's drug addition, can factor into the inducement inquiry if “the government cooperator used [the defendant's] addiction either to engender sympathy or to create a sense of urgency”).</w:t>
            </w:r>
          </w:p>
          <w:p>
            <w:pPr>
              <w:pBdr>
                <w:bottom w:val="none" w:space="8"/>
              </w:pBdr>
              <w:spacing w:before="0" w:after="0" w:line="275" w:lineRule="atLeast"/>
              <w:jc w:val="both"/>
            </w:pPr>
            <w:r>
              <w:rPr>
                <w:rFonts w:ascii="Times New Roman" w:hAnsi="Times New Roman"/>
                <w:color w:val="000000"/>
                <w:sz w:val="20"/>
              </w:rPr>
              <w:t>Here, the record does not show that the government knew about some susceptibility or characteristic and took advantage of it. Rather, the undercover agent had no reason to know Spradley was skeptical that Ashlee was underage. In that way, Spradley's belief about Ashlee's age is irrelevant in determining whether the government's conduct was overreaching.</w:t>
            </w:r>
          </w:p>
        </w:tc>
      </w:tr>
      <w:tr>
        <w:tblPrEx/>
        <w:trPr/>
        <w:tc>
          <w:tcPr>
            <w:vAlign w:val="top"/>
          </w:tcPr>
          <w:p>
            <w:pPr>
              <w:spacing w:before="0" w:after="0" w:line="275" w:lineRule="atLeast"/>
            </w:pPr>
            <w:bookmarkStart w:id="96" w:name="co_footnote_B00142057466007_1"/>
            <w:hyperlink w:anchor="co_fnRef_B00142057466007_ID0EU5BI_1">
              <w:r>
                <w:rPr>
                  <w:rFonts w:ascii="Times New Roman" w:hAnsi="Times New Roman"/>
                  <w:color w:val="006fc4"/>
                  <w:sz w:val="20"/>
                  <w:vertAlign w:val="superscript"/>
                </w:rPr>
                <w:t>6</w:t>
              </w:r>
            </w:hyperlink>
            <w:bookmarkEnd w:id="96"/>
          </w:p>
        </w:tc>
        <w:tc>
          <w:tcPr>
            <w:vAlign w:val="top"/>
          </w:tcPr>
          <w:p>
            <w:pPr>
              <w:pBdr>
                <w:bottom w:val="none" w:space="8"/>
              </w:pBdr>
              <w:spacing w:before="0" w:after="0" w:line="275" w:lineRule="atLeast"/>
              <w:jc w:val="both"/>
            </w:pPr>
            <w:r>
              <w:rPr>
                <w:rFonts w:ascii="Times New Roman" w:hAnsi="Times New Roman"/>
                <w:color w:val="000000"/>
                <w:sz w:val="20"/>
              </w:rPr>
              <w:t xml:space="preserve">As we have made clear, “conclusory and self-serving statements” by themselves are not enough “to establish a triable issue” for an entrapment defense. </w:t>
            </w:r>
            <w:hyperlink r:id="r135">
              <w:r>
                <w:rPr>
                  <w:rFonts w:ascii="Times New Roman" w:hAnsi="Times New Roman"/>
                  <w:i/>
                  <w:color w:val="006fc4"/>
                  <w:sz w:val="20"/>
                </w:rPr>
                <w:t>Ortiz</w:t>
              </w:r>
              <w:r>
                <w:rPr>
                  <w:rFonts w:ascii="Times New Roman" w:hAnsi="Times New Roman"/>
                  <w:color w:val="006fc4"/>
                  <w:sz w:val="20"/>
                </w:rPr>
                <w:t>, 804 F.2d at 1165–66</w:t>
              </w:r>
            </w:hyperlink>
            <w:r>
              <w:rPr>
                <w:rFonts w:ascii="Times New Roman" w:hAnsi="Times New Roman"/>
                <w:color w:val="000000"/>
                <w:sz w:val="20"/>
              </w:rPr>
              <w:t>.</w:t>
            </w:r>
          </w:p>
        </w:tc>
      </w:tr>
      <w:tr>
        <w:tblPrEx/>
        <w:trPr/>
        <w:tc>
          <w:tcPr>
            <w:vAlign w:val="top"/>
          </w:tcPr>
          <w:p>
            <w:pPr>
              <w:spacing w:before="0" w:after="0" w:line="275" w:lineRule="atLeast"/>
            </w:pPr>
            <w:bookmarkStart w:id="97" w:name="co_footnote_B00152057466007_1"/>
            <w:hyperlink w:anchor="co_fnRef_B00152057466007_ID0EHCCI_1">
              <w:r>
                <w:rPr>
                  <w:rFonts w:ascii="Times New Roman" w:hAnsi="Times New Roman"/>
                  <w:color w:val="006fc4"/>
                  <w:sz w:val="20"/>
                  <w:vertAlign w:val="superscript"/>
                </w:rPr>
                <w:t>7</w:t>
              </w:r>
            </w:hyperlink>
            <w:bookmarkEnd w:id="97"/>
          </w:p>
        </w:tc>
        <w:tc>
          <w:tcPr>
            <w:vAlign w:val="top"/>
          </w:tcPr>
          <w:p>
            <w:pPr>
              <w:pBdr>
                <w:bottom w:val="none" w:space="8"/>
              </w:pBdr>
              <w:spacing w:before="0" w:after="0" w:line="275" w:lineRule="atLeast"/>
              <w:jc w:val="both"/>
            </w:pPr>
            <w:r>
              <w:rPr>
                <w:rFonts w:ascii="Times New Roman" w:hAnsi="Times New Roman"/>
                <w:color w:val="000000"/>
                <w:sz w:val="20"/>
              </w:rPr>
              <w:t xml:space="preserve">Because the majority reverses Spradley's conviction for failing to instruct the jury on entrapment, it does not address Spradley's other grounds for reversal. I would instead address Spradley's remaining arguments concerning (1) the </w:t>
            </w:r>
            <w:r>
              <w:rPr>
                <w:rFonts w:ascii="Times New Roman" w:hAnsi="Times New Roman"/>
                <w:i/>
                <w:color w:val="000000"/>
                <w:sz w:val="20"/>
              </w:rPr>
              <w:t>Allen</w:t>
            </w:r>
            <w:r>
              <w:rPr>
                <w:rFonts w:ascii="Times New Roman" w:hAnsi="Times New Roman"/>
                <w:color w:val="000000"/>
                <w:sz w:val="20"/>
              </w:rPr>
              <w:t xml:space="preserve"> instruction, (2) the admission of certain testimony, and (3) the existence of cumulative error, and I would ultimately affirm Spradley's conviction.</w:t>
            </w:r>
          </w:p>
        </w:tc>
      </w:tr>
    </w:tbl>
    <w:p>
      <w:pPr>
        <w:spacing w:before="0" w:after="0" w:line="240" w:lineRule="auto"/>
        <w:rPr>
          <w:sz w:val="24"/>
        </w:rPr>
      </w:pPr>
    </w:p>
    <w:tbl>
      <w:tblPr>
        <w:tblInd w:w="24" w:type="dxa"/>
        <w:tblLayout w:type="fixed"/>
      </w:tblPr>
      <w:tblGrid>
        <w:gridCol w:w="4305"/>
        <w:gridCol w:w="5745"/>
      </w:tblGrid>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24" w:type="dxa"/>
              <w:right w:w="24" w:type="dxa"/>
            </w:tcMar>
            <w:vAlign w:val="top"/>
          </w:tcPr>
          <w:p>
            <w:pPr>
              <w:spacing w:before="0" w:after="0" w:line="235" w:lineRule="atLeast"/>
              <w:jc w:val="right"/>
            </w:pPr>
            <w:r>
              <w:rPr>
                <w:rFonts w:ascii="Times New Roman" w:hAnsi="Times New Roman"/>
                <w:color w:val="777777"/>
                <w:sz w:val="16"/>
              </w:rPr>
              <w:t>© 2025 Thomson Reuters. No claim to original U.S. Government Works.</w:t>
            </w:r>
          </w:p>
        </w:tc>
      </w:tr>
    </w:tbl>
    <w:sectPr>
      <w:pgSz w:w="12240" w:h="15840"/>
      <w:pgMar w:top="1080" w:bottom="1080" w:left="1080" w:right="1080"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2025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United States v. Spradley, --- F.4th ---- (2025)</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