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EE758" w14:textId="0C706654" w:rsidR="008A0D36" w:rsidRPr="00716554" w:rsidRDefault="006D0457">
      <w:pPr>
        <w:rPr>
          <w:color w:val="FF0000"/>
          <w:szCs w:val="26"/>
        </w:rPr>
      </w:pPr>
      <w:r w:rsidRPr="00716554">
        <w:rPr>
          <w:color w:val="FF0000"/>
          <w:szCs w:val="26"/>
        </w:rPr>
        <w:t>Objection: The prosecutor asked the officer to opine on whether the prosecution witnesses’ testimony was consistent with the statements they gave on the night of the incident, and whether the witnesses’ statements were consistent with each other.</w:t>
      </w:r>
    </w:p>
    <w:p w14:paraId="64CC29B5" w14:textId="0768E710" w:rsidR="006D0457" w:rsidRPr="00716554" w:rsidRDefault="006D0457">
      <w:pPr>
        <w:rPr>
          <w:szCs w:val="26"/>
        </w:rPr>
      </w:pPr>
    </w:p>
    <w:p w14:paraId="330D168B" w14:textId="77777777" w:rsidR="006D0457" w:rsidRPr="00716554" w:rsidRDefault="006D0457" w:rsidP="006D0457">
      <w:pPr>
        <w:pStyle w:val="BlockQuote"/>
        <w:rPr>
          <w:szCs w:val="26"/>
        </w:rPr>
      </w:pPr>
      <w:r w:rsidRPr="00716554">
        <w:rPr>
          <w:szCs w:val="26"/>
        </w:rPr>
        <w:t xml:space="preserve">“[N]either lay </w:t>
      </w:r>
      <w:proofErr w:type="gramStart"/>
      <w:r w:rsidRPr="00716554">
        <w:rPr>
          <w:szCs w:val="26"/>
        </w:rPr>
        <w:t>nor</w:t>
      </w:r>
      <w:proofErr w:type="gramEnd"/>
      <w:r w:rsidRPr="00716554">
        <w:rPr>
          <w:szCs w:val="26"/>
        </w:rPr>
        <w:t xml:space="preserve"> expert witnesses may give opinion testimony that another witness was telling the truth on a specific occasion.” </w:t>
      </w:r>
      <w:r w:rsidRPr="00716554">
        <w:rPr>
          <w:i/>
          <w:iCs/>
          <w:szCs w:val="26"/>
        </w:rPr>
        <w:t>People v. Wittrein</w:t>
      </w:r>
      <w:r w:rsidRPr="00716554">
        <w:rPr>
          <w:szCs w:val="26"/>
        </w:rPr>
        <w:t>, 221 P.3d 1076, 1081 (Colo. 2009)</w:t>
      </w:r>
      <w:proofErr w:type="gramStart"/>
      <w:r w:rsidRPr="00716554">
        <w:rPr>
          <w:szCs w:val="26"/>
        </w:rPr>
        <w:t xml:space="preserve">. </w:t>
      </w:r>
      <w:proofErr w:type="gramEnd"/>
      <w:r w:rsidRPr="00716554">
        <w:rPr>
          <w:szCs w:val="26"/>
        </w:rPr>
        <w:t xml:space="preserve">This prohibition extends, for example, to comments on a witness’s sincerity, </w:t>
      </w:r>
      <w:r w:rsidRPr="00716554">
        <w:rPr>
          <w:i/>
          <w:iCs/>
          <w:szCs w:val="26"/>
        </w:rPr>
        <w:t xml:space="preserve">People v. </w:t>
      </w:r>
      <w:proofErr w:type="spellStart"/>
      <w:r w:rsidRPr="00716554">
        <w:rPr>
          <w:i/>
          <w:iCs/>
          <w:szCs w:val="26"/>
        </w:rPr>
        <w:t>Eppens</w:t>
      </w:r>
      <w:proofErr w:type="spellEnd"/>
      <w:r w:rsidRPr="00716554">
        <w:rPr>
          <w:szCs w:val="26"/>
        </w:rPr>
        <w:t xml:space="preserve">, 979 P.2d 14, 17 (Colo. 1999); believability, </w:t>
      </w:r>
      <w:r w:rsidRPr="00716554">
        <w:rPr>
          <w:i/>
          <w:iCs/>
          <w:szCs w:val="26"/>
        </w:rPr>
        <w:t>People v. Gaffney</w:t>
      </w:r>
      <w:r w:rsidRPr="00716554">
        <w:rPr>
          <w:szCs w:val="26"/>
        </w:rPr>
        <w:t xml:space="preserve">, 769 P.2d 1081, 1088 (Colo. 1989); or predisposition to fabricating allegations, </w:t>
      </w:r>
      <w:r w:rsidRPr="00716554">
        <w:rPr>
          <w:i/>
          <w:iCs/>
          <w:szCs w:val="26"/>
        </w:rPr>
        <w:t>People v. Snook</w:t>
      </w:r>
      <w:r w:rsidRPr="00716554">
        <w:rPr>
          <w:szCs w:val="26"/>
        </w:rPr>
        <w:t>, 745 P.2d 647, 649 (Colo. 1987). Further, the supreme court has “held that prosecutorial use of the word ‘</w:t>
      </w:r>
      <w:proofErr w:type="gramStart"/>
      <w:r w:rsidRPr="00716554">
        <w:rPr>
          <w:szCs w:val="26"/>
        </w:rPr>
        <w:t>lie</w:t>
      </w:r>
      <w:proofErr w:type="gramEnd"/>
      <w:r w:rsidRPr="00716554">
        <w:rPr>
          <w:szCs w:val="26"/>
        </w:rPr>
        <w:t xml:space="preserve">’ and the various forms of ‘lie’ are categorically improper.” </w:t>
      </w:r>
      <w:r w:rsidRPr="00716554">
        <w:rPr>
          <w:i/>
          <w:iCs/>
          <w:szCs w:val="26"/>
        </w:rPr>
        <w:t xml:space="preserve">Wend </w:t>
      </w:r>
      <w:proofErr w:type="gramStart"/>
      <w:r w:rsidRPr="00716554">
        <w:rPr>
          <w:i/>
          <w:iCs/>
          <w:szCs w:val="26"/>
        </w:rPr>
        <w:t xml:space="preserve">v. </w:t>
      </w:r>
      <w:proofErr w:type="gramEnd"/>
      <w:r w:rsidRPr="00716554">
        <w:rPr>
          <w:i/>
          <w:iCs/>
          <w:szCs w:val="26"/>
        </w:rPr>
        <w:t>People</w:t>
      </w:r>
      <w:r w:rsidRPr="00716554">
        <w:rPr>
          <w:szCs w:val="26"/>
        </w:rPr>
        <w:t>, 235 P.3d 1089, 1096 (Colo. 2010).</w:t>
      </w:r>
    </w:p>
    <w:p w14:paraId="5E751046" w14:textId="1EA8712D" w:rsidR="006D0457" w:rsidRPr="00716554" w:rsidRDefault="006D0457">
      <w:pPr>
        <w:rPr>
          <w:szCs w:val="26"/>
        </w:rPr>
      </w:pPr>
    </w:p>
    <w:p w14:paraId="274697A3" w14:textId="77777777" w:rsidR="006D0457" w:rsidRPr="00716554" w:rsidRDefault="006D0457">
      <w:pPr>
        <w:rPr>
          <w:szCs w:val="26"/>
        </w:rPr>
      </w:pPr>
      <w:r w:rsidRPr="00716554">
        <w:rPr>
          <w:szCs w:val="26"/>
        </w:rPr>
        <w:t xml:space="preserve">The jury heard all the testimony and "does not need help determining whether statements were consistent, particularly from a witness who is obviously aligned with the prosecution."  This should be enough to end the inquiry because no opinion is admissible under either CRE 701 or 702 unless it is helpful to the jury. </w:t>
      </w:r>
    </w:p>
    <w:p w14:paraId="1D2DC335" w14:textId="77777777" w:rsidR="006D0457" w:rsidRPr="00716554" w:rsidRDefault="006D0457">
      <w:pPr>
        <w:rPr>
          <w:szCs w:val="26"/>
        </w:rPr>
      </w:pPr>
    </w:p>
    <w:p w14:paraId="26E1D68F" w14:textId="6910B8A6" w:rsidR="006D0457" w:rsidRPr="00716554" w:rsidRDefault="006D0457" w:rsidP="006D0457">
      <w:pPr>
        <w:rPr>
          <w:szCs w:val="26"/>
        </w:rPr>
      </w:pPr>
      <w:r w:rsidRPr="00716554">
        <w:rPr>
          <w:szCs w:val="26"/>
        </w:rPr>
        <w:t xml:space="preserve">But there is a stronger reason to reject such opinions.  They invariably constitute an indirect opinion on the credibility of the witness.  And, our Supreme Court made clear in </w:t>
      </w:r>
      <w:r w:rsidRPr="00716554">
        <w:rPr>
          <w:i/>
          <w:iCs/>
          <w:szCs w:val="26"/>
        </w:rPr>
        <w:t>Wittrein</w:t>
      </w:r>
      <w:r w:rsidRPr="00716554">
        <w:rPr>
          <w:szCs w:val="26"/>
        </w:rPr>
        <w:t xml:space="preserve"> and </w:t>
      </w:r>
      <w:r w:rsidRPr="00716554">
        <w:rPr>
          <w:i/>
          <w:iCs/>
          <w:szCs w:val="26"/>
        </w:rPr>
        <w:t>Venalonzo</w:t>
      </w:r>
      <w:r w:rsidRPr="00716554">
        <w:rPr>
          <w:szCs w:val="26"/>
        </w:rPr>
        <w:t xml:space="preserve"> that indirect opinions on another witness’s credibility are subject to the same exclusionary rules as direct opinions.  The detective’s opinion regarding consistency was, in effect, nothing less than the detective telling the jury that the witness was truthful in her accounts of the relevant events. </w:t>
      </w:r>
    </w:p>
    <w:p w14:paraId="3F0A869E" w14:textId="3537E39B" w:rsidR="006D0457" w:rsidRPr="00716554" w:rsidRDefault="006D0457">
      <w:pPr>
        <w:rPr>
          <w:szCs w:val="26"/>
        </w:rPr>
      </w:pPr>
    </w:p>
    <w:p w14:paraId="041DA1DB" w14:textId="77777777" w:rsidR="006D0457" w:rsidRPr="00716554" w:rsidRDefault="006D0457" w:rsidP="006D0457">
      <w:pPr>
        <w:pStyle w:val="BlockQuote"/>
        <w:ind w:left="0"/>
        <w:rPr>
          <w:szCs w:val="26"/>
        </w:rPr>
      </w:pPr>
      <w:r w:rsidRPr="00716554">
        <w:rPr>
          <w:szCs w:val="26"/>
        </w:rPr>
        <w:t>And worse yet, the circumstances surrounding this testimony are more egregious than an off-the-cuff opinion regarding the credibility of another witness</w:t>
      </w:r>
      <w:proofErr w:type="gramStart"/>
      <w:r w:rsidRPr="00716554">
        <w:rPr>
          <w:szCs w:val="26"/>
        </w:rPr>
        <w:t xml:space="preserve">. </w:t>
      </w:r>
      <w:proofErr w:type="gramEnd"/>
      <w:r w:rsidRPr="00716554">
        <w:rPr>
          <w:szCs w:val="26"/>
        </w:rPr>
        <w:t>Here, the detective expressing the opinion was the prosecution’s advisory witness in a case in which all other witnesses had been sequestered under CRE 615.  This detective was the only witness in the entire case who was permitted to remain in the courtroom during the testimony of other witnesses.  The prosecution leveraged this privilege (the purpose of which has nothing whatsoever to do with the giving of such opinions) to provide these prohibited opinions.</w:t>
      </w:r>
    </w:p>
    <w:p w14:paraId="3C2387DA" w14:textId="4F125F69" w:rsidR="006D0457" w:rsidRPr="00716554" w:rsidRDefault="006D0457">
      <w:pPr>
        <w:rPr>
          <w:szCs w:val="26"/>
        </w:rPr>
      </w:pPr>
    </w:p>
    <w:p w14:paraId="0EE31025" w14:textId="23004924" w:rsidR="006D0457" w:rsidRPr="00716554" w:rsidRDefault="006D0457">
      <w:pPr>
        <w:rPr>
          <w:color w:val="FF0000"/>
          <w:szCs w:val="26"/>
        </w:rPr>
      </w:pPr>
      <w:r w:rsidRPr="00716554">
        <w:rPr>
          <w:color w:val="FF0000"/>
          <w:szCs w:val="26"/>
        </w:rPr>
        <w:lastRenderedPageBreak/>
        <w:t>Objection: The prosecutor is asking the witness whether another witness (officer) was</w:t>
      </w:r>
      <w:r w:rsidR="005C1DCA" w:rsidRPr="00716554">
        <w:rPr>
          <w:color w:val="FF0000"/>
          <w:szCs w:val="26"/>
        </w:rPr>
        <w:t xml:space="preserve"> "lying" or</w:t>
      </w:r>
      <w:r w:rsidRPr="00716554">
        <w:rPr>
          <w:color w:val="FF0000"/>
          <w:szCs w:val="26"/>
        </w:rPr>
        <w:t xml:space="preserve"> "mistaken" or had </w:t>
      </w:r>
      <w:r w:rsidR="005C1DCA" w:rsidRPr="00716554">
        <w:rPr>
          <w:color w:val="FF0000"/>
          <w:szCs w:val="26"/>
        </w:rPr>
        <w:t>"</w:t>
      </w:r>
      <w:r w:rsidRPr="00716554">
        <w:rPr>
          <w:color w:val="FF0000"/>
          <w:szCs w:val="26"/>
        </w:rPr>
        <w:t>made up their testimony.</w:t>
      </w:r>
      <w:r w:rsidR="005C1DCA" w:rsidRPr="00716554">
        <w:rPr>
          <w:color w:val="FF0000"/>
          <w:szCs w:val="26"/>
        </w:rPr>
        <w:t>"</w:t>
      </w:r>
    </w:p>
    <w:p w14:paraId="632DEBC7" w14:textId="115A6FC7" w:rsidR="006D0457" w:rsidRPr="00716554" w:rsidRDefault="006D0457">
      <w:pPr>
        <w:rPr>
          <w:color w:val="000000" w:themeColor="text1"/>
          <w:szCs w:val="26"/>
        </w:rPr>
      </w:pPr>
    </w:p>
    <w:p w14:paraId="49D98EE8" w14:textId="29FB5070" w:rsidR="005C1DCA" w:rsidRPr="008A17EF" w:rsidRDefault="005C1DCA" w:rsidP="005C1DCA">
      <w:pPr>
        <w:pStyle w:val="Default"/>
        <w:rPr>
          <w:sz w:val="26"/>
          <w:szCs w:val="26"/>
        </w:rPr>
      </w:pPr>
      <w:bookmarkStart w:id="0" w:name="_Hlk28953916"/>
      <w:r w:rsidRPr="00716554">
        <w:rPr>
          <w:sz w:val="26"/>
          <w:szCs w:val="26"/>
        </w:rPr>
        <w:t xml:space="preserve">It is categorically improper to ask a witness to comment on the veracity of another witness by means of “were they lying” types of questions.  </w:t>
      </w:r>
      <w:r w:rsidRPr="00716554">
        <w:rPr>
          <w:i/>
          <w:iCs/>
          <w:sz w:val="26"/>
          <w:szCs w:val="26"/>
        </w:rPr>
        <w:t xml:space="preserve">Liggett </w:t>
      </w:r>
      <w:proofErr w:type="gramStart"/>
      <w:r w:rsidRPr="00716554">
        <w:rPr>
          <w:i/>
          <w:iCs/>
          <w:sz w:val="26"/>
          <w:szCs w:val="26"/>
        </w:rPr>
        <w:t xml:space="preserve">v. </w:t>
      </w:r>
      <w:proofErr w:type="gramEnd"/>
      <w:r w:rsidRPr="00716554">
        <w:rPr>
          <w:i/>
          <w:iCs/>
          <w:sz w:val="26"/>
          <w:szCs w:val="26"/>
        </w:rPr>
        <w:t>People</w:t>
      </w:r>
      <w:r w:rsidRPr="00716554">
        <w:rPr>
          <w:sz w:val="26"/>
          <w:szCs w:val="26"/>
        </w:rPr>
        <w:t xml:space="preserve">, 135 P.3d 725, 727 (Colo. 2006).  Such questions “invade the province of the jury, lack probative value, distort the government’s burden of proof, create a ‘no win’ situation for the witness, and are argumentative.” </w:t>
      </w:r>
      <w:r w:rsidR="008A17EF">
        <w:rPr>
          <w:i/>
          <w:iCs/>
          <w:sz w:val="26"/>
          <w:szCs w:val="26"/>
        </w:rPr>
        <w:t>Id</w:t>
      </w:r>
      <w:r w:rsidR="008A17EF">
        <w:rPr>
          <w:sz w:val="26"/>
          <w:szCs w:val="26"/>
        </w:rPr>
        <w:t>.</w:t>
      </w:r>
    </w:p>
    <w:bookmarkEnd w:id="0"/>
    <w:p w14:paraId="557EE9C7" w14:textId="024DE48D" w:rsidR="005C1DCA" w:rsidRPr="00716554" w:rsidRDefault="005C1DCA">
      <w:pPr>
        <w:rPr>
          <w:color w:val="000000" w:themeColor="text1"/>
          <w:szCs w:val="26"/>
        </w:rPr>
      </w:pPr>
    </w:p>
    <w:p w14:paraId="4F4E1913" w14:textId="2815902C" w:rsidR="005C1DCA" w:rsidRPr="00716554" w:rsidRDefault="005C1DCA" w:rsidP="005C1DCA">
      <w:pPr>
        <w:pStyle w:val="Default"/>
        <w:rPr>
          <w:sz w:val="26"/>
          <w:szCs w:val="26"/>
        </w:rPr>
      </w:pPr>
      <w:bookmarkStart w:id="1" w:name="_Hlk28953958"/>
      <w:r w:rsidRPr="00716554">
        <w:rPr>
          <w:sz w:val="26"/>
          <w:szCs w:val="26"/>
        </w:rPr>
        <w:t xml:space="preserve">By asking whether the officer “made it up” or was “mistaken,” the prosecutor asked questions that were equivalent to the impermissible questions at issue in </w:t>
      </w:r>
      <w:r w:rsidRPr="00716554">
        <w:rPr>
          <w:i/>
          <w:iCs/>
          <w:sz w:val="26"/>
          <w:szCs w:val="26"/>
        </w:rPr>
        <w:t>Liggett</w:t>
      </w:r>
      <w:r w:rsidRPr="00716554">
        <w:rPr>
          <w:sz w:val="26"/>
          <w:szCs w:val="26"/>
        </w:rPr>
        <w:t xml:space="preserve">. </w:t>
      </w:r>
      <w:r w:rsidR="00676504">
        <w:rPr>
          <w:sz w:val="26"/>
          <w:szCs w:val="26"/>
        </w:rPr>
        <w:t xml:space="preserve"> For example, in</w:t>
      </w:r>
      <w:r w:rsidRPr="00716554">
        <w:rPr>
          <w:i/>
          <w:iCs/>
          <w:sz w:val="26"/>
          <w:szCs w:val="26"/>
        </w:rPr>
        <w:t xml:space="preserve"> People v. Koper</w:t>
      </w:r>
      <w:r w:rsidRPr="00716554">
        <w:rPr>
          <w:sz w:val="26"/>
          <w:szCs w:val="26"/>
        </w:rPr>
        <w:t xml:space="preserve">, 2018 COA 137, ¶ 32 </w:t>
      </w:r>
      <w:r w:rsidR="00676504">
        <w:rPr>
          <w:sz w:val="26"/>
          <w:szCs w:val="26"/>
        </w:rPr>
        <w:t xml:space="preserve">the Court found: </w:t>
      </w:r>
      <w:r w:rsidRPr="00716554">
        <w:rPr>
          <w:sz w:val="26"/>
          <w:szCs w:val="26"/>
        </w:rPr>
        <w:t xml:space="preserve">“Improper ‘were they lying’ type questions include asking a testifying defendant whether another witness was ‘mistaken,’ as well as questions asking a defendant to explain the testimony of an adverse witness[.]” </w:t>
      </w:r>
    </w:p>
    <w:p w14:paraId="4A5D0B7F" w14:textId="49572566" w:rsidR="005C1DCA" w:rsidRPr="00716554" w:rsidRDefault="005C1DCA">
      <w:pPr>
        <w:rPr>
          <w:color w:val="000000" w:themeColor="text1"/>
          <w:szCs w:val="26"/>
        </w:rPr>
      </w:pPr>
    </w:p>
    <w:p w14:paraId="1605CAAA" w14:textId="77777777" w:rsidR="005C1DCA" w:rsidRPr="00716554" w:rsidRDefault="005C1DCA" w:rsidP="005C1DCA">
      <w:pPr>
        <w:pStyle w:val="Default"/>
        <w:rPr>
          <w:sz w:val="26"/>
          <w:szCs w:val="26"/>
        </w:rPr>
      </w:pPr>
      <w:r w:rsidRPr="00716554">
        <w:rPr>
          <w:sz w:val="26"/>
          <w:szCs w:val="26"/>
        </w:rPr>
        <w:t xml:space="preserve">By directly pitting the officer’s veracity against the defendant's, the prosecutor painted the defendant into a corner and put her in precisely the “no win” situation described in </w:t>
      </w:r>
      <w:r w:rsidRPr="00716554">
        <w:rPr>
          <w:i/>
          <w:iCs/>
          <w:sz w:val="26"/>
          <w:szCs w:val="26"/>
        </w:rPr>
        <w:t>Liggett</w:t>
      </w:r>
      <w:r w:rsidRPr="00716554">
        <w:rPr>
          <w:sz w:val="26"/>
          <w:szCs w:val="26"/>
        </w:rPr>
        <w:t xml:space="preserve">. </w:t>
      </w:r>
    </w:p>
    <w:p w14:paraId="6878432B" w14:textId="77777777" w:rsidR="005C1DCA" w:rsidRPr="00716554" w:rsidRDefault="005C1DCA" w:rsidP="005C1DCA">
      <w:pPr>
        <w:pStyle w:val="Default"/>
        <w:rPr>
          <w:sz w:val="26"/>
          <w:szCs w:val="26"/>
        </w:rPr>
      </w:pPr>
    </w:p>
    <w:p w14:paraId="0435F354" w14:textId="68B5C1A1" w:rsidR="005C1DCA" w:rsidRPr="00716554" w:rsidRDefault="005C1DCA" w:rsidP="005C1DCA">
      <w:pPr>
        <w:pStyle w:val="BlockQuote"/>
        <w:rPr>
          <w:szCs w:val="26"/>
        </w:rPr>
      </w:pPr>
      <w:r w:rsidRPr="00716554">
        <w:rPr>
          <w:szCs w:val="26"/>
        </w:rPr>
        <w:t xml:space="preserve">“If the defendant says the other witness </w:t>
      </w:r>
      <w:r w:rsidRPr="00716554">
        <w:rPr>
          <w:i/>
          <w:iCs/>
          <w:szCs w:val="26"/>
        </w:rPr>
        <w:t xml:space="preserve">is </w:t>
      </w:r>
      <w:r w:rsidRPr="00716554">
        <w:rPr>
          <w:szCs w:val="26"/>
        </w:rPr>
        <w:t>lying, then the defendant is put in the position of calling someone a liar, a particularly unenviable state when the other witness is a law enforcement officer</w:t>
      </w:r>
      <w:proofErr w:type="gramStart"/>
      <w:r w:rsidRPr="00716554">
        <w:rPr>
          <w:szCs w:val="26"/>
        </w:rPr>
        <w:t xml:space="preserve">. </w:t>
      </w:r>
      <w:proofErr w:type="gramEnd"/>
      <w:r w:rsidRPr="00716554">
        <w:rPr>
          <w:szCs w:val="26"/>
        </w:rPr>
        <w:t xml:space="preserve">If the defendant says a contradictory witness is </w:t>
      </w:r>
      <w:r w:rsidRPr="00716554">
        <w:rPr>
          <w:i/>
          <w:iCs/>
          <w:szCs w:val="26"/>
        </w:rPr>
        <w:t xml:space="preserve">not </w:t>
      </w:r>
      <w:r w:rsidRPr="00716554">
        <w:rPr>
          <w:szCs w:val="26"/>
        </w:rPr>
        <w:t xml:space="preserve">lying, then a fair inference is that the </w:t>
      </w:r>
      <w:r w:rsidRPr="00716554">
        <w:rPr>
          <w:i/>
          <w:iCs/>
          <w:szCs w:val="26"/>
        </w:rPr>
        <w:t xml:space="preserve">defendant </w:t>
      </w:r>
      <w:r w:rsidRPr="00716554">
        <w:rPr>
          <w:szCs w:val="26"/>
        </w:rPr>
        <w:t xml:space="preserve">is lying.” </w:t>
      </w:r>
    </w:p>
    <w:p w14:paraId="1FD224BE" w14:textId="2E72CA49" w:rsidR="005C1DCA" w:rsidRPr="00716554" w:rsidRDefault="005C1DCA" w:rsidP="005C1DCA">
      <w:pPr>
        <w:pStyle w:val="Default"/>
        <w:rPr>
          <w:sz w:val="26"/>
          <w:szCs w:val="26"/>
        </w:rPr>
      </w:pPr>
      <w:r w:rsidRPr="00716554">
        <w:rPr>
          <w:i/>
          <w:iCs/>
          <w:sz w:val="26"/>
          <w:szCs w:val="26"/>
        </w:rPr>
        <w:t>Liggett</w:t>
      </w:r>
      <w:r w:rsidRPr="00716554">
        <w:rPr>
          <w:sz w:val="26"/>
          <w:szCs w:val="26"/>
        </w:rPr>
        <w:t>, 135 P.3d at 732</w:t>
      </w:r>
    </w:p>
    <w:bookmarkEnd w:id="1"/>
    <w:p w14:paraId="2F429FCF" w14:textId="04C710B7" w:rsidR="005C1DCA" w:rsidRPr="00716554" w:rsidRDefault="005C1DCA">
      <w:pPr>
        <w:rPr>
          <w:color w:val="000000" w:themeColor="text1"/>
          <w:szCs w:val="26"/>
        </w:rPr>
      </w:pPr>
    </w:p>
    <w:p w14:paraId="23C68C97" w14:textId="5789E8D3" w:rsidR="00716554" w:rsidRPr="00716554" w:rsidRDefault="00716554" w:rsidP="00716554">
      <w:pPr>
        <w:pStyle w:val="Default"/>
        <w:rPr>
          <w:sz w:val="26"/>
          <w:szCs w:val="26"/>
        </w:rPr>
      </w:pPr>
      <w:bookmarkStart w:id="2" w:name="_Hlk28954148"/>
      <w:r w:rsidRPr="00716554">
        <w:rPr>
          <w:color w:val="000000" w:themeColor="text1"/>
          <w:sz w:val="26"/>
          <w:szCs w:val="26"/>
        </w:rPr>
        <w:t xml:space="preserve">Importantly, the prosecutor </w:t>
      </w:r>
      <w:r w:rsidRPr="00716554">
        <w:rPr>
          <w:sz w:val="26"/>
          <w:szCs w:val="26"/>
        </w:rPr>
        <w:t xml:space="preserve">put her in the “no win” situation on an issue which, unlike in </w:t>
      </w:r>
      <w:r w:rsidRPr="00716554">
        <w:rPr>
          <w:i/>
          <w:iCs/>
          <w:sz w:val="26"/>
          <w:szCs w:val="26"/>
        </w:rPr>
        <w:t>Liggett</w:t>
      </w:r>
      <w:r w:rsidRPr="00716554">
        <w:rPr>
          <w:sz w:val="26"/>
          <w:szCs w:val="26"/>
        </w:rPr>
        <w:t xml:space="preserve">, was not “largely peripheral to issues before the court.” </w:t>
      </w:r>
    </w:p>
    <w:bookmarkEnd w:id="2"/>
    <w:p w14:paraId="1C23355D" w14:textId="4885ED7C" w:rsidR="00716554" w:rsidRDefault="00716554" w:rsidP="00716554">
      <w:pPr>
        <w:pStyle w:val="Default"/>
        <w:rPr>
          <w:sz w:val="26"/>
          <w:szCs w:val="26"/>
        </w:rPr>
      </w:pPr>
    </w:p>
    <w:p w14:paraId="54F49320" w14:textId="45BD0DBD" w:rsidR="00741670" w:rsidRDefault="00741670" w:rsidP="00716554">
      <w:pPr>
        <w:pStyle w:val="Default"/>
        <w:rPr>
          <w:sz w:val="26"/>
          <w:szCs w:val="26"/>
        </w:rPr>
      </w:pPr>
    </w:p>
    <w:p w14:paraId="6A965EC6" w14:textId="77777777" w:rsidR="00741670" w:rsidRPr="00716554" w:rsidRDefault="00741670" w:rsidP="00716554">
      <w:pPr>
        <w:pStyle w:val="Default"/>
        <w:rPr>
          <w:sz w:val="26"/>
          <w:szCs w:val="26"/>
        </w:rPr>
      </w:pPr>
    </w:p>
    <w:p w14:paraId="63D8E6D0" w14:textId="2CD391F5" w:rsidR="000D50EA" w:rsidRDefault="000D50EA">
      <w:pPr>
        <w:spacing w:after="160" w:line="259" w:lineRule="auto"/>
        <w:rPr>
          <w:color w:val="000000" w:themeColor="text1"/>
          <w:szCs w:val="26"/>
        </w:rPr>
      </w:pPr>
      <w:r>
        <w:rPr>
          <w:color w:val="000000" w:themeColor="text1"/>
          <w:szCs w:val="26"/>
        </w:rPr>
        <w:br w:type="page"/>
      </w:r>
    </w:p>
    <w:p w14:paraId="0C4CEB50" w14:textId="5332F1EF" w:rsidR="000D50EA" w:rsidRPr="000D50EA" w:rsidRDefault="000D50EA" w:rsidP="000D50EA">
      <w:pPr>
        <w:rPr>
          <w:color w:val="FF0000"/>
        </w:rPr>
      </w:pPr>
      <w:r>
        <w:rPr>
          <w:color w:val="FF0000"/>
        </w:rPr>
        <w:lastRenderedPageBreak/>
        <w:t xml:space="preserve">Objection, [the court's] [prosecutor's] analogy will confuse the jurors and lower the burden of proof or diminish the presumption of innocence and thereby deny my client the right to the due process of law guaranteed by both the Colorado and United States Constitution.  </w:t>
      </w:r>
      <w:r>
        <w:t xml:space="preserve"> </w:t>
      </w:r>
    </w:p>
    <w:p w14:paraId="7B3231DB" w14:textId="77777777" w:rsidR="000D50EA" w:rsidRDefault="000D50EA" w:rsidP="000D50EA"/>
    <w:p w14:paraId="36FF3668" w14:textId="4FAFA654" w:rsidR="000D50EA" w:rsidRPr="00733F82" w:rsidRDefault="000D50EA" w:rsidP="000D50EA">
      <w:pPr>
        <w:rPr>
          <w:i/>
          <w:iCs/>
        </w:rPr>
      </w:pPr>
      <w:r>
        <w:t>Since at least 1914, Colorado appellate courts have been discouraging trial courts from creating their own formulations of reasonable doubt</w:t>
      </w:r>
      <w:proofErr w:type="gramStart"/>
      <w:r>
        <w:t xml:space="preserve">. </w:t>
      </w:r>
      <w:proofErr w:type="gramEnd"/>
      <w:r>
        <w:t>See</w:t>
      </w:r>
      <w:r>
        <w:t>,</w:t>
      </w:r>
      <w:r>
        <w:t xml:space="preserve"> </w:t>
      </w:r>
      <w:r w:rsidRPr="00F779B0">
        <w:rPr>
          <w:i/>
          <w:iCs/>
        </w:rPr>
        <w:t xml:space="preserve">Foster </w:t>
      </w:r>
      <w:proofErr w:type="gramStart"/>
      <w:r w:rsidRPr="00F779B0">
        <w:rPr>
          <w:i/>
          <w:iCs/>
        </w:rPr>
        <w:t xml:space="preserve">v. </w:t>
      </w:r>
      <w:proofErr w:type="gramEnd"/>
      <w:r w:rsidRPr="00F779B0">
        <w:rPr>
          <w:i/>
          <w:iCs/>
        </w:rPr>
        <w:t>People</w:t>
      </w:r>
      <w:r>
        <w:t>, 56 Colo. 452, 458, 139 P. 10, 12 (1914) (“[W]e [have previously] called the attention of district attorneys and trial judges, and now do so again, to the advisability of following an approved instruction on the subject of reasonable doubt . . . , for the reason that this is the safe practice, and obviates the necessity of considering instructions on the subject differently worded.”)  Few decisions that people make have the gravity of deciding whether to convict an accused person of a crime</w:t>
      </w:r>
      <w:proofErr w:type="gramStart"/>
      <w:r>
        <w:t xml:space="preserve">. </w:t>
      </w:r>
      <w:proofErr w:type="gramEnd"/>
      <w:r>
        <w:rPr>
          <w:i/>
          <w:iCs/>
        </w:rPr>
        <w:t xml:space="preserve">People v. </w:t>
      </w:r>
      <w:proofErr w:type="spellStart"/>
      <w:r>
        <w:rPr>
          <w:i/>
          <w:iCs/>
        </w:rPr>
        <w:t>Knobbe</w:t>
      </w:r>
      <w:proofErr w:type="spellEnd"/>
      <w:r>
        <w:t>, 2020COA7</w:t>
      </w:r>
      <w:proofErr w:type="gramStart"/>
      <w:r>
        <w:t xml:space="preserve">. </w:t>
      </w:r>
      <w:proofErr w:type="gramEnd"/>
      <w:r>
        <w:t>Such comments lower the prosecution’s burden of proof below reasonable doubt and constitutes structural error and requires automatic reversal</w:t>
      </w:r>
      <w:proofErr w:type="gramStart"/>
      <w:r>
        <w:t xml:space="preserve">. </w:t>
      </w:r>
      <w:proofErr w:type="gramEnd"/>
      <w:r>
        <w:rPr>
          <w:i/>
          <w:iCs/>
        </w:rPr>
        <w:t>Id.</w:t>
      </w:r>
    </w:p>
    <w:p w14:paraId="4B932258" w14:textId="4D1F2642" w:rsidR="00716554" w:rsidRDefault="00716554">
      <w:pPr>
        <w:rPr>
          <w:color w:val="000000" w:themeColor="text1"/>
          <w:szCs w:val="26"/>
        </w:rPr>
      </w:pPr>
    </w:p>
    <w:p w14:paraId="3F0B87EB" w14:textId="59A3A400" w:rsidR="000D50EA" w:rsidRDefault="000D50EA">
      <w:r>
        <w:t xml:space="preserve">Presumption of innocence: </w:t>
      </w:r>
      <w:r w:rsidR="00C754C8">
        <w:t xml:space="preserve">In </w:t>
      </w:r>
      <w:r w:rsidR="00C754C8">
        <w:rPr>
          <w:i/>
          <w:iCs/>
        </w:rPr>
        <w:t xml:space="preserve">People v. </w:t>
      </w:r>
      <w:proofErr w:type="spellStart"/>
      <w:r w:rsidR="00C754C8">
        <w:rPr>
          <w:i/>
          <w:iCs/>
        </w:rPr>
        <w:t>Knobbe</w:t>
      </w:r>
      <w:proofErr w:type="spellEnd"/>
      <w:r w:rsidR="00C754C8">
        <w:t>, 2020COA7</w:t>
      </w:r>
      <w:r w:rsidR="00C754C8">
        <w:t>, the division did not feel that they needed to reach the presumption of innocence issue separately.  Instead they stated: "</w:t>
      </w:r>
      <w:r>
        <w:t>We say only that, as with the description of the burden of proof, it is not within the trial court’s purview to redefine the presumption of innocence for jurors.</w:t>
      </w:r>
      <w:r w:rsidR="00C754C8">
        <w:t xml:space="preserve">" See also, </w:t>
      </w:r>
      <w:r w:rsidR="00C754C8">
        <w:t>People v. Flynn, 2019 COA 105, ¶ 42</w:t>
      </w:r>
      <w:r w:rsidR="00C754C8">
        <w:t xml:space="preserve"> ("</w:t>
      </w:r>
      <w:r w:rsidR="00C754C8">
        <w:t>Divisions of this court have repeatedly expressed disapproval of the practice, because such instructions run the risk of confusing the jurors and may even lower the burden of proof or diminish the presumption of innocence.</w:t>
      </w:r>
      <w:r w:rsidR="00C754C8">
        <w:t>")</w:t>
      </w:r>
    </w:p>
    <w:p w14:paraId="141FA67D" w14:textId="1D42C13C" w:rsidR="000D50EA" w:rsidRDefault="000D50EA"/>
    <w:p w14:paraId="24FBDAA3" w14:textId="77777777" w:rsidR="000D50EA" w:rsidRDefault="000D50EA">
      <w:pPr>
        <w:rPr>
          <w:color w:val="000000" w:themeColor="text1"/>
          <w:szCs w:val="26"/>
        </w:rPr>
      </w:pPr>
      <w:bookmarkStart w:id="3" w:name="_GoBack"/>
      <w:bookmarkEnd w:id="3"/>
    </w:p>
    <w:sectPr w:rsidR="000D5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1tTC1NDEztzA1NrZU0lEKTi0uzszPAykwqgUA8/7r9ywAAAA="/>
  </w:docVars>
  <w:rsids>
    <w:rsidRoot w:val="00D4329C"/>
    <w:rsid w:val="000651AF"/>
    <w:rsid w:val="000D50EA"/>
    <w:rsid w:val="002103C3"/>
    <w:rsid w:val="003E7E30"/>
    <w:rsid w:val="004273FC"/>
    <w:rsid w:val="0046120C"/>
    <w:rsid w:val="005B00C8"/>
    <w:rsid w:val="005C1DCA"/>
    <w:rsid w:val="00676504"/>
    <w:rsid w:val="006D0457"/>
    <w:rsid w:val="00716554"/>
    <w:rsid w:val="00741670"/>
    <w:rsid w:val="007C2B1D"/>
    <w:rsid w:val="008A0D36"/>
    <w:rsid w:val="008A17EF"/>
    <w:rsid w:val="009830A4"/>
    <w:rsid w:val="009B6647"/>
    <w:rsid w:val="00C754C8"/>
    <w:rsid w:val="00C81006"/>
    <w:rsid w:val="00CE44CE"/>
    <w:rsid w:val="00D132E5"/>
    <w:rsid w:val="00D4329C"/>
    <w:rsid w:val="00DE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481F"/>
  <w15:chartTrackingRefBased/>
  <w15:docId w15:val="{68100D8E-7A3A-45F8-94B4-14143A52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B1D"/>
    <w:pPr>
      <w:spacing w:after="0" w:line="240" w:lineRule="auto"/>
    </w:pPr>
    <w:rPr>
      <w:rFonts w:ascii="Bookman Old Style" w:hAnsi="Bookman Old Style" w:cs="Calibr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next w:val="Normal"/>
    <w:autoRedefine/>
    <w:qFormat/>
    <w:rsid w:val="005B00C8"/>
    <w:pPr>
      <w:ind w:left="720" w:right="720"/>
      <w:jc w:val="both"/>
    </w:pPr>
    <w:rPr>
      <w:szCs w:val="28"/>
    </w:rPr>
  </w:style>
  <w:style w:type="paragraph" w:customStyle="1" w:styleId="Default">
    <w:name w:val="Default"/>
    <w:rsid w:val="005C1DCA"/>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Rosen</dc:creator>
  <cp:keywords/>
  <dc:description/>
  <cp:lastModifiedBy>Jonathan Rosen</cp:lastModifiedBy>
  <cp:revision>2</cp:revision>
  <dcterms:created xsi:type="dcterms:W3CDTF">2020-01-16T17:51:00Z</dcterms:created>
  <dcterms:modified xsi:type="dcterms:W3CDTF">2020-01-16T17:51:00Z</dcterms:modified>
</cp:coreProperties>
</file>