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19A385" w14:textId="1DC38BAA" w:rsidR="00057300" w:rsidRPr="00721C4A" w:rsidRDefault="00057300">
      <w:pPr>
        <w:rPr>
          <w:szCs w:val="26"/>
        </w:rPr>
      </w:pPr>
      <w:r w:rsidRPr="00721C4A">
        <w:rPr>
          <w:szCs w:val="26"/>
        </w:rPr>
        <w:t>Friends,</w:t>
      </w:r>
    </w:p>
    <w:p w14:paraId="71D1AA82" w14:textId="77777777" w:rsidR="00A7033E" w:rsidRPr="00721C4A" w:rsidRDefault="00A7033E">
      <w:pPr>
        <w:rPr>
          <w:szCs w:val="26"/>
        </w:rPr>
      </w:pPr>
    </w:p>
    <w:p w14:paraId="48A2FC02" w14:textId="13873C45" w:rsidR="00057300" w:rsidRPr="00721C4A" w:rsidRDefault="00057300">
      <w:pPr>
        <w:rPr>
          <w:rStyle w:val="Hyperlink"/>
          <w:szCs w:val="26"/>
        </w:rPr>
      </w:pPr>
      <w:r w:rsidRPr="00721C4A">
        <w:rPr>
          <w:szCs w:val="26"/>
          <w:u w:val="single"/>
        </w:rPr>
        <w:t>Podcast</w:t>
      </w:r>
      <w:r w:rsidRPr="00721C4A">
        <w:rPr>
          <w:szCs w:val="26"/>
        </w:rPr>
        <w:t xml:space="preserve">: Last week’s summaries are available on this week’s podcast located here: </w:t>
      </w:r>
      <w:hyperlink r:id="rId7" w:history="1">
        <w:r w:rsidRPr="00721C4A">
          <w:rPr>
            <w:rStyle w:val="Hyperlink"/>
            <w:szCs w:val="26"/>
          </w:rPr>
          <w:t>http://coloradoadc.libsyn.com</w:t>
        </w:r>
      </w:hyperlink>
    </w:p>
    <w:p w14:paraId="461FE8AD" w14:textId="77777777" w:rsidR="00A7033E" w:rsidRPr="00721C4A" w:rsidRDefault="00A7033E">
      <w:pPr>
        <w:rPr>
          <w:color w:val="0563C1" w:themeColor="hyperlink"/>
          <w:szCs w:val="26"/>
          <w:u w:val="single"/>
        </w:rPr>
      </w:pPr>
    </w:p>
    <w:p w14:paraId="2FAAB8A3" w14:textId="0D80E344" w:rsidR="00057300" w:rsidRPr="00721C4A" w:rsidRDefault="00057300">
      <w:pPr>
        <w:rPr>
          <w:szCs w:val="26"/>
        </w:rPr>
      </w:pPr>
      <w:r w:rsidRPr="00721C4A">
        <w:rPr>
          <w:szCs w:val="26"/>
          <w:u w:val="single"/>
        </w:rPr>
        <w:t>Cases</w:t>
      </w:r>
      <w:r w:rsidRPr="00721C4A">
        <w:rPr>
          <w:szCs w:val="26"/>
        </w:rPr>
        <w:t xml:space="preserve">:  </w:t>
      </w:r>
      <w:r w:rsidR="00BF4544" w:rsidRPr="00721C4A">
        <w:rPr>
          <w:szCs w:val="26"/>
        </w:rPr>
        <w:t>With the SCOTUS and Colorado Supreme Court on summer break, t</w:t>
      </w:r>
      <w:r w:rsidRPr="00721C4A">
        <w:rPr>
          <w:szCs w:val="26"/>
        </w:rPr>
        <w:t xml:space="preserve">his week </w:t>
      </w:r>
      <w:r w:rsidR="00BF4544" w:rsidRPr="00721C4A">
        <w:rPr>
          <w:szCs w:val="26"/>
        </w:rPr>
        <w:t>I start to catch up with the COA opinions.</w:t>
      </w:r>
    </w:p>
    <w:p w14:paraId="44FB11E3" w14:textId="6EE9F8DE" w:rsidR="007937BD" w:rsidRPr="00721C4A" w:rsidRDefault="007937BD">
      <w:pPr>
        <w:rPr>
          <w:szCs w:val="26"/>
        </w:rPr>
      </w:pPr>
    </w:p>
    <w:p w14:paraId="3C264EDE" w14:textId="54C481D4" w:rsidR="00057300" w:rsidRPr="00721C4A" w:rsidRDefault="00057300" w:rsidP="00FB527D">
      <w:pPr>
        <w:pStyle w:val="Default"/>
        <w:rPr>
          <w:sz w:val="26"/>
          <w:szCs w:val="26"/>
        </w:rPr>
      </w:pPr>
      <w:r w:rsidRPr="00721C4A">
        <w:rPr>
          <w:i/>
          <w:sz w:val="26"/>
          <w:szCs w:val="26"/>
        </w:rPr>
        <w:t xml:space="preserve">People v.  </w:t>
      </w:r>
      <w:r w:rsidR="00FB527D" w:rsidRPr="00721C4A">
        <w:rPr>
          <w:i/>
          <w:iCs/>
          <w:sz w:val="26"/>
          <w:szCs w:val="26"/>
        </w:rPr>
        <w:t xml:space="preserve">Hamilton, </w:t>
      </w:r>
      <w:r w:rsidR="00775A78" w:rsidRPr="00721C4A">
        <w:rPr>
          <w:sz w:val="26"/>
          <w:szCs w:val="26"/>
        </w:rPr>
        <w:t>2019COA101</w:t>
      </w:r>
      <w:r w:rsidR="00FB527D" w:rsidRPr="00721C4A">
        <w:rPr>
          <w:sz w:val="26"/>
          <w:szCs w:val="26"/>
        </w:rPr>
        <w:t xml:space="preserve"> (July 3, 2019)</w:t>
      </w:r>
      <w:r w:rsidR="004574C7" w:rsidRPr="00721C4A">
        <w:rPr>
          <w:sz w:val="26"/>
          <w:szCs w:val="26"/>
        </w:rPr>
        <w:t xml:space="preserve"> </w:t>
      </w:r>
      <w:r w:rsidR="00BF4544" w:rsidRPr="00721C4A">
        <w:rPr>
          <w:sz w:val="26"/>
          <w:szCs w:val="26"/>
        </w:rPr>
        <w:t xml:space="preserve">Lipinsky, J. </w:t>
      </w:r>
      <w:r w:rsidR="004574C7" w:rsidRPr="00721C4A">
        <w:rPr>
          <w:sz w:val="26"/>
          <w:szCs w:val="26"/>
        </w:rPr>
        <w:t>reversing</w:t>
      </w:r>
    </w:p>
    <w:p w14:paraId="048E4BD4" w14:textId="61FFB5B1" w:rsidR="004574C7" w:rsidRPr="00721C4A" w:rsidRDefault="004574C7" w:rsidP="00FB527D">
      <w:pPr>
        <w:pStyle w:val="Default"/>
        <w:rPr>
          <w:sz w:val="26"/>
          <w:szCs w:val="26"/>
        </w:rPr>
      </w:pPr>
    </w:p>
    <w:p w14:paraId="4DE93C8D" w14:textId="3FCC910F" w:rsidR="004574C7" w:rsidRPr="00721C4A" w:rsidRDefault="00363697" w:rsidP="007D280D">
      <w:pPr>
        <w:pStyle w:val="Default"/>
        <w:rPr>
          <w:sz w:val="26"/>
          <w:szCs w:val="26"/>
        </w:rPr>
      </w:pPr>
      <w:r>
        <w:rPr>
          <w:sz w:val="26"/>
          <w:szCs w:val="26"/>
        </w:rPr>
        <w:t>J.F.</w:t>
      </w:r>
      <w:r w:rsidR="00EF66CF" w:rsidRPr="00721C4A">
        <w:rPr>
          <w:sz w:val="26"/>
          <w:szCs w:val="26"/>
        </w:rPr>
        <w:t xml:space="preserve"> was drinking </w:t>
      </w:r>
      <w:r w:rsidR="00AF09AF" w:rsidRPr="00721C4A">
        <w:rPr>
          <w:sz w:val="26"/>
          <w:szCs w:val="26"/>
        </w:rPr>
        <w:t xml:space="preserve">at a bar </w:t>
      </w:r>
      <w:r w:rsidR="00EF66CF" w:rsidRPr="00721C4A">
        <w:rPr>
          <w:sz w:val="26"/>
          <w:szCs w:val="26"/>
        </w:rPr>
        <w:t>with friends when she ran into Hamilton, who bought her a shot.  After that</w:t>
      </w:r>
      <w:r w:rsidR="00AF09AF" w:rsidRPr="00721C4A">
        <w:rPr>
          <w:sz w:val="26"/>
          <w:szCs w:val="26"/>
        </w:rPr>
        <w:t>,</w:t>
      </w:r>
      <w:r w:rsidR="00EF66CF" w:rsidRPr="00721C4A">
        <w:rPr>
          <w:sz w:val="26"/>
          <w:szCs w:val="26"/>
        </w:rPr>
        <w:t xml:space="preserve"> she remembered nothing until she woke up in an </w:t>
      </w:r>
      <w:r w:rsidR="00AF09AF" w:rsidRPr="00721C4A">
        <w:rPr>
          <w:sz w:val="26"/>
          <w:szCs w:val="26"/>
        </w:rPr>
        <w:t xml:space="preserve">unfamiliar </w:t>
      </w:r>
      <w:r w:rsidR="00EF66CF" w:rsidRPr="00721C4A">
        <w:rPr>
          <w:sz w:val="26"/>
          <w:szCs w:val="26"/>
        </w:rPr>
        <w:t>apartment, on her stomach, with her hands held above her h</w:t>
      </w:r>
      <w:r w:rsidR="00AF09AF" w:rsidRPr="00721C4A">
        <w:rPr>
          <w:sz w:val="26"/>
          <w:szCs w:val="26"/>
        </w:rPr>
        <w:t>ea</w:t>
      </w:r>
      <w:r w:rsidR="00EF66CF" w:rsidRPr="00721C4A">
        <w:rPr>
          <w:sz w:val="26"/>
          <w:szCs w:val="26"/>
        </w:rPr>
        <w:t>d</w:t>
      </w:r>
      <w:r w:rsidR="00AF09AF" w:rsidRPr="00721C4A">
        <w:rPr>
          <w:sz w:val="26"/>
          <w:szCs w:val="26"/>
        </w:rPr>
        <w:t>,</w:t>
      </w:r>
      <w:r w:rsidR="00EF66CF" w:rsidRPr="00721C4A">
        <w:rPr>
          <w:sz w:val="26"/>
          <w:szCs w:val="26"/>
        </w:rPr>
        <w:t xml:space="preserve"> being penetrated by Hamilton.  </w:t>
      </w:r>
      <w:r>
        <w:rPr>
          <w:sz w:val="26"/>
          <w:szCs w:val="26"/>
        </w:rPr>
        <w:t>J.F.</w:t>
      </w:r>
      <w:r w:rsidR="00EF66CF" w:rsidRPr="00721C4A">
        <w:rPr>
          <w:sz w:val="26"/>
          <w:szCs w:val="26"/>
        </w:rPr>
        <w:t xml:space="preserve"> said "no" and squirmed to get away</w:t>
      </w:r>
      <w:r>
        <w:rPr>
          <w:sz w:val="26"/>
          <w:szCs w:val="26"/>
        </w:rPr>
        <w:t>;</w:t>
      </w:r>
      <w:r w:rsidR="00EF66CF" w:rsidRPr="00721C4A">
        <w:rPr>
          <w:sz w:val="26"/>
          <w:szCs w:val="26"/>
        </w:rPr>
        <w:t xml:space="preserve"> but was unable.  </w:t>
      </w:r>
      <w:r w:rsidR="00AF09AF" w:rsidRPr="00721C4A">
        <w:rPr>
          <w:sz w:val="26"/>
          <w:szCs w:val="26"/>
        </w:rPr>
        <w:t xml:space="preserve">She later claimed that he had slipped a drug into her drink and that the sex was not consensual. </w:t>
      </w:r>
      <w:r w:rsidR="004574C7" w:rsidRPr="00721C4A">
        <w:rPr>
          <w:sz w:val="26"/>
          <w:szCs w:val="26"/>
        </w:rPr>
        <w:t>Hamilton</w:t>
      </w:r>
      <w:r w:rsidR="00EF66CF" w:rsidRPr="00721C4A">
        <w:rPr>
          <w:sz w:val="26"/>
          <w:szCs w:val="26"/>
        </w:rPr>
        <w:t xml:space="preserve"> agreed he was drinking with J.F. and later had sex with her but claimed </w:t>
      </w:r>
      <w:r w:rsidR="007D280D" w:rsidRPr="00721C4A">
        <w:rPr>
          <w:sz w:val="26"/>
          <w:szCs w:val="26"/>
        </w:rPr>
        <w:t xml:space="preserve">the sex was consensual. Hamilton was charged with numerous offenses and convicted of </w:t>
      </w:r>
      <w:r w:rsidR="004574C7" w:rsidRPr="00721C4A">
        <w:rPr>
          <w:sz w:val="26"/>
          <w:szCs w:val="26"/>
        </w:rPr>
        <w:t>sexual assault and distribution</w:t>
      </w:r>
      <w:r w:rsidR="007D280D" w:rsidRPr="00721C4A">
        <w:rPr>
          <w:sz w:val="26"/>
          <w:szCs w:val="26"/>
        </w:rPr>
        <w:t xml:space="preserve"> of a controlled substance </w:t>
      </w:r>
      <w:r w:rsidR="004574C7" w:rsidRPr="00721C4A">
        <w:rPr>
          <w:sz w:val="26"/>
          <w:szCs w:val="26"/>
        </w:rPr>
        <w:t xml:space="preserve">and acquitted on the remaining counts. </w:t>
      </w:r>
    </w:p>
    <w:p w14:paraId="29EA318D" w14:textId="6AA1620D" w:rsidR="004574C7" w:rsidRPr="00721C4A" w:rsidRDefault="004574C7" w:rsidP="00FB527D">
      <w:pPr>
        <w:pStyle w:val="Default"/>
        <w:rPr>
          <w:sz w:val="26"/>
          <w:szCs w:val="26"/>
        </w:rPr>
      </w:pPr>
    </w:p>
    <w:p w14:paraId="74C5242A" w14:textId="2B23079C" w:rsidR="004574C7" w:rsidRPr="00721C4A" w:rsidRDefault="00E0668B" w:rsidP="00FB527D">
      <w:pPr>
        <w:pStyle w:val="Default"/>
        <w:rPr>
          <w:sz w:val="26"/>
          <w:szCs w:val="26"/>
        </w:rPr>
      </w:pPr>
      <w:r w:rsidRPr="00721C4A">
        <w:rPr>
          <w:sz w:val="26"/>
          <w:szCs w:val="26"/>
          <w:u w:val="single"/>
        </w:rPr>
        <w:t>Issue</w:t>
      </w:r>
      <w:r w:rsidR="00B77561" w:rsidRPr="00721C4A">
        <w:rPr>
          <w:sz w:val="26"/>
          <w:szCs w:val="26"/>
          <w:u w:val="single"/>
        </w:rPr>
        <w:t xml:space="preserve"> 1</w:t>
      </w:r>
      <w:r w:rsidRPr="00721C4A">
        <w:rPr>
          <w:sz w:val="26"/>
          <w:szCs w:val="26"/>
        </w:rPr>
        <w:t xml:space="preserve">: </w:t>
      </w:r>
      <w:r w:rsidR="00B77561" w:rsidRPr="00721C4A">
        <w:rPr>
          <w:sz w:val="26"/>
          <w:szCs w:val="26"/>
        </w:rPr>
        <w:t>Phone content reports: Hearsay</w:t>
      </w:r>
    </w:p>
    <w:p w14:paraId="1FC00775" w14:textId="24EAE7BA" w:rsidR="00E0668B" w:rsidRPr="00721C4A" w:rsidRDefault="00E0668B" w:rsidP="00FB527D">
      <w:pPr>
        <w:pStyle w:val="Default"/>
        <w:rPr>
          <w:sz w:val="26"/>
          <w:szCs w:val="26"/>
        </w:rPr>
      </w:pPr>
    </w:p>
    <w:p w14:paraId="5BBA7EFC" w14:textId="25E5B475" w:rsidR="00EE7C29" w:rsidRPr="00721C4A" w:rsidRDefault="00E0668B" w:rsidP="00FB527D">
      <w:pPr>
        <w:pStyle w:val="Default"/>
        <w:rPr>
          <w:sz w:val="26"/>
          <w:szCs w:val="26"/>
        </w:rPr>
      </w:pPr>
      <w:r w:rsidRPr="00721C4A">
        <w:rPr>
          <w:sz w:val="26"/>
          <w:szCs w:val="26"/>
        </w:rPr>
        <w:t xml:space="preserve">Hamilton asserted that </w:t>
      </w:r>
      <w:r w:rsidR="00AF09AF" w:rsidRPr="00721C4A">
        <w:rPr>
          <w:sz w:val="26"/>
          <w:szCs w:val="26"/>
        </w:rPr>
        <w:t xml:space="preserve">he and </w:t>
      </w:r>
      <w:r w:rsidRPr="00721C4A">
        <w:rPr>
          <w:sz w:val="26"/>
          <w:szCs w:val="26"/>
        </w:rPr>
        <w:t>J.F. exchanged text messages in the bar before the sex and the next morning.  Thus</w:t>
      </w:r>
      <w:r w:rsidR="00363697">
        <w:rPr>
          <w:sz w:val="26"/>
          <w:szCs w:val="26"/>
        </w:rPr>
        <w:t>,</w:t>
      </w:r>
      <w:r w:rsidRPr="00721C4A">
        <w:rPr>
          <w:sz w:val="26"/>
          <w:szCs w:val="26"/>
        </w:rPr>
        <w:t xml:space="preserve"> establishing she was not unconscious before the sex and </w:t>
      </w:r>
      <w:r w:rsidR="002E07AF" w:rsidRPr="00721C4A">
        <w:rPr>
          <w:sz w:val="26"/>
          <w:szCs w:val="26"/>
        </w:rPr>
        <w:t>that she was interested in him both before and after the sex. In rebuttal, t</w:t>
      </w:r>
      <w:r w:rsidRPr="00721C4A">
        <w:rPr>
          <w:sz w:val="26"/>
          <w:szCs w:val="26"/>
        </w:rPr>
        <w:t xml:space="preserve">he prosecution called Detective Slay who testified that he reviewed reports prepared by </w:t>
      </w:r>
      <w:r w:rsidR="00AF09AF" w:rsidRPr="00721C4A">
        <w:rPr>
          <w:sz w:val="26"/>
          <w:szCs w:val="26"/>
        </w:rPr>
        <w:t xml:space="preserve">the </w:t>
      </w:r>
      <w:r w:rsidRPr="00721C4A">
        <w:rPr>
          <w:sz w:val="26"/>
          <w:szCs w:val="26"/>
        </w:rPr>
        <w:t xml:space="preserve">police </w:t>
      </w:r>
      <w:r w:rsidR="00EE7C29" w:rsidRPr="00721C4A">
        <w:rPr>
          <w:sz w:val="26"/>
          <w:szCs w:val="26"/>
        </w:rPr>
        <w:t>"tech guys"</w:t>
      </w:r>
      <w:r w:rsidRPr="00721C4A">
        <w:rPr>
          <w:sz w:val="26"/>
          <w:szCs w:val="26"/>
        </w:rPr>
        <w:t xml:space="preserve"> who downloaded the contents of both Hamilton's and J.F.'s phones.  </w:t>
      </w:r>
      <w:r w:rsidR="000075F2" w:rsidRPr="00721C4A">
        <w:rPr>
          <w:sz w:val="26"/>
          <w:szCs w:val="26"/>
        </w:rPr>
        <w:t xml:space="preserve">(The Reports).  </w:t>
      </w:r>
      <w:r w:rsidRPr="00721C4A">
        <w:rPr>
          <w:sz w:val="26"/>
          <w:szCs w:val="26"/>
        </w:rPr>
        <w:t xml:space="preserve">The </w:t>
      </w:r>
      <w:r w:rsidR="000075F2" w:rsidRPr="00721C4A">
        <w:rPr>
          <w:sz w:val="26"/>
          <w:szCs w:val="26"/>
        </w:rPr>
        <w:t>R</w:t>
      </w:r>
      <w:r w:rsidRPr="00721C4A">
        <w:rPr>
          <w:sz w:val="26"/>
          <w:szCs w:val="26"/>
        </w:rPr>
        <w:t>eports</w:t>
      </w:r>
      <w:r w:rsidR="00EE7C29" w:rsidRPr="00721C4A">
        <w:rPr>
          <w:sz w:val="26"/>
          <w:szCs w:val="26"/>
        </w:rPr>
        <w:t xml:space="preserve">, he testified, showed that neither phone contained text messages from J.F. to Hamilton. Hamilton argued that this testimony was inadmissible hearsay and violated his confrontation clause rights.  </w:t>
      </w:r>
      <w:r w:rsidR="000075F2" w:rsidRPr="00721C4A">
        <w:rPr>
          <w:sz w:val="26"/>
          <w:szCs w:val="26"/>
        </w:rPr>
        <w:t>The COA agreed</w:t>
      </w:r>
      <w:r w:rsidR="00AF09AF" w:rsidRPr="00721C4A">
        <w:rPr>
          <w:sz w:val="26"/>
          <w:szCs w:val="26"/>
        </w:rPr>
        <w:t xml:space="preserve"> the testimony was inadmissible hearsay and, therefore, did not address the Confrontation Clause argument.</w:t>
      </w:r>
    </w:p>
    <w:p w14:paraId="49C0DA8F" w14:textId="068D6F01" w:rsidR="000075F2" w:rsidRPr="00721C4A" w:rsidRDefault="000075F2" w:rsidP="00FB527D">
      <w:pPr>
        <w:pStyle w:val="Default"/>
        <w:rPr>
          <w:sz w:val="26"/>
          <w:szCs w:val="26"/>
        </w:rPr>
      </w:pPr>
    </w:p>
    <w:p w14:paraId="4B6C1CD3" w14:textId="2E9BB29F" w:rsidR="00C72136" w:rsidRPr="00721C4A" w:rsidRDefault="000075F2" w:rsidP="000075F2">
      <w:pPr>
        <w:pStyle w:val="Default"/>
        <w:rPr>
          <w:sz w:val="26"/>
          <w:szCs w:val="26"/>
        </w:rPr>
      </w:pPr>
      <w:r w:rsidRPr="00721C4A">
        <w:rPr>
          <w:sz w:val="26"/>
          <w:szCs w:val="26"/>
        </w:rPr>
        <w:t>The prosecutor failed to establish the Reports were not hearsay. T</w:t>
      </w:r>
      <w:r w:rsidR="002C52F4" w:rsidRPr="00721C4A">
        <w:rPr>
          <w:sz w:val="26"/>
          <w:szCs w:val="26"/>
        </w:rPr>
        <w:t xml:space="preserve">he contents of the </w:t>
      </w:r>
      <w:r w:rsidRPr="00721C4A">
        <w:rPr>
          <w:sz w:val="26"/>
          <w:szCs w:val="26"/>
        </w:rPr>
        <w:t>R</w:t>
      </w:r>
      <w:r w:rsidR="002C52F4" w:rsidRPr="00721C4A">
        <w:rPr>
          <w:sz w:val="26"/>
          <w:szCs w:val="26"/>
        </w:rPr>
        <w:t xml:space="preserve">eports were offered for the truth of the matter asserted – that </w:t>
      </w:r>
      <w:r w:rsidR="00AF09AF" w:rsidRPr="00721C4A">
        <w:rPr>
          <w:sz w:val="26"/>
          <w:szCs w:val="26"/>
        </w:rPr>
        <w:t xml:space="preserve">J.F. did not send Hamilton </w:t>
      </w:r>
      <w:r w:rsidR="002C52F4" w:rsidRPr="00721C4A">
        <w:rPr>
          <w:sz w:val="26"/>
          <w:szCs w:val="26"/>
        </w:rPr>
        <w:t xml:space="preserve">text messages.  </w:t>
      </w:r>
      <w:r w:rsidR="00AF09AF" w:rsidRPr="00721C4A">
        <w:rPr>
          <w:sz w:val="26"/>
          <w:szCs w:val="26"/>
        </w:rPr>
        <w:t>E</w:t>
      </w:r>
      <w:r w:rsidR="00EC270A" w:rsidRPr="00721C4A">
        <w:rPr>
          <w:sz w:val="26"/>
          <w:szCs w:val="26"/>
        </w:rPr>
        <w:t xml:space="preserve">ven though </w:t>
      </w:r>
      <w:r w:rsidR="00C72136" w:rsidRPr="00721C4A">
        <w:rPr>
          <w:sz w:val="26"/>
          <w:szCs w:val="26"/>
        </w:rPr>
        <w:t xml:space="preserve">the Reports </w:t>
      </w:r>
      <w:r w:rsidR="00EC270A" w:rsidRPr="00721C4A">
        <w:rPr>
          <w:sz w:val="26"/>
          <w:szCs w:val="26"/>
        </w:rPr>
        <w:t xml:space="preserve">were offered </w:t>
      </w:r>
      <w:r w:rsidR="00C72136" w:rsidRPr="00721C4A">
        <w:rPr>
          <w:sz w:val="26"/>
          <w:szCs w:val="26"/>
        </w:rPr>
        <w:t>to prove the truth of the</w:t>
      </w:r>
      <w:r w:rsidR="00EC270A" w:rsidRPr="00721C4A">
        <w:rPr>
          <w:sz w:val="26"/>
          <w:szCs w:val="26"/>
        </w:rPr>
        <w:t xml:space="preserve"> matter asserted, they</w:t>
      </w:r>
      <w:r w:rsidR="00C72136" w:rsidRPr="00721C4A">
        <w:rPr>
          <w:sz w:val="26"/>
          <w:szCs w:val="26"/>
        </w:rPr>
        <w:t xml:space="preserve"> would not be hearsay if a machine generated them automatically</w:t>
      </w:r>
      <w:r w:rsidR="00EC270A" w:rsidRPr="00721C4A">
        <w:rPr>
          <w:sz w:val="26"/>
          <w:szCs w:val="26"/>
        </w:rPr>
        <w:t>, without human input</w:t>
      </w:r>
      <w:r w:rsidR="00031968" w:rsidRPr="00721C4A">
        <w:rPr>
          <w:sz w:val="26"/>
          <w:szCs w:val="26"/>
        </w:rPr>
        <w:t xml:space="preserve"> or interpretation</w:t>
      </w:r>
      <w:r w:rsidR="00C72136" w:rsidRPr="00721C4A">
        <w:rPr>
          <w:sz w:val="26"/>
          <w:szCs w:val="26"/>
        </w:rPr>
        <w:t xml:space="preserve">. Such records are not hearsay because no </w:t>
      </w:r>
      <w:r w:rsidR="00C72136" w:rsidRPr="00721C4A">
        <w:rPr>
          <w:sz w:val="26"/>
          <w:szCs w:val="26"/>
        </w:rPr>
        <w:lastRenderedPageBreak/>
        <w:t>“person” or “declarant” made a communicative “statement” within the meaning of CRE 801.</w:t>
      </w:r>
    </w:p>
    <w:p w14:paraId="687E431D" w14:textId="77777777" w:rsidR="00031968" w:rsidRPr="00721C4A" w:rsidRDefault="00031968" w:rsidP="00EC270A">
      <w:pPr>
        <w:autoSpaceDE w:val="0"/>
        <w:autoSpaceDN w:val="0"/>
        <w:adjustRightInd w:val="0"/>
        <w:contextualSpacing w:val="0"/>
        <w:rPr>
          <w:rFonts w:cs="Bookman Old Style"/>
          <w:color w:val="000000"/>
          <w:szCs w:val="26"/>
        </w:rPr>
      </w:pPr>
    </w:p>
    <w:p w14:paraId="18BA2232" w14:textId="18616D00" w:rsidR="002C52F4" w:rsidRPr="00721C4A" w:rsidRDefault="00EC270A" w:rsidP="000075F2">
      <w:pPr>
        <w:autoSpaceDE w:val="0"/>
        <w:autoSpaceDN w:val="0"/>
        <w:adjustRightInd w:val="0"/>
        <w:contextualSpacing w:val="0"/>
        <w:rPr>
          <w:rFonts w:cs="Bookman Old Style"/>
          <w:color w:val="000000"/>
          <w:szCs w:val="26"/>
        </w:rPr>
      </w:pPr>
      <w:r w:rsidRPr="00721C4A">
        <w:rPr>
          <w:rFonts w:cs="Bookman Old Style"/>
          <w:color w:val="000000"/>
          <w:szCs w:val="26"/>
        </w:rPr>
        <w:t xml:space="preserve">The </w:t>
      </w:r>
      <w:r w:rsidR="00AF09AF" w:rsidRPr="00721C4A">
        <w:rPr>
          <w:rFonts w:cs="Bookman Old Style"/>
          <w:color w:val="000000"/>
          <w:szCs w:val="26"/>
        </w:rPr>
        <w:t>R</w:t>
      </w:r>
      <w:r w:rsidRPr="00721C4A">
        <w:rPr>
          <w:rFonts w:cs="Bookman Old Style"/>
          <w:color w:val="000000"/>
          <w:szCs w:val="26"/>
        </w:rPr>
        <w:t xml:space="preserve">ecords were machine generated.  However, the prosecution failed </w:t>
      </w:r>
      <w:r w:rsidR="00031968" w:rsidRPr="00721C4A">
        <w:rPr>
          <w:rFonts w:cs="Bookman Old Style"/>
          <w:color w:val="000000"/>
          <w:szCs w:val="26"/>
        </w:rPr>
        <w:t xml:space="preserve">to </w:t>
      </w:r>
      <w:r w:rsidRPr="00721C4A">
        <w:rPr>
          <w:rFonts w:cs="Bookman Old Style"/>
          <w:color w:val="000000"/>
          <w:szCs w:val="26"/>
        </w:rPr>
        <w:t xml:space="preserve">lay a foundation that </w:t>
      </w:r>
      <w:r w:rsidR="00031968" w:rsidRPr="00721C4A">
        <w:rPr>
          <w:rFonts w:cs="Bookman Old Style"/>
          <w:color w:val="000000"/>
          <w:szCs w:val="26"/>
        </w:rPr>
        <w:t>the report</w:t>
      </w:r>
      <w:r w:rsidRPr="00721C4A">
        <w:rPr>
          <w:rFonts w:cs="Bookman Old Style"/>
          <w:color w:val="000000"/>
          <w:szCs w:val="26"/>
        </w:rPr>
        <w:t xml:space="preserve"> was machine-generated </w:t>
      </w:r>
      <w:r w:rsidR="00031968" w:rsidRPr="00721C4A">
        <w:rPr>
          <w:rFonts w:cs="Bookman Old Style"/>
          <w:color w:val="000000"/>
          <w:szCs w:val="26"/>
        </w:rPr>
        <w:t xml:space="preserve">automatically, </w:t>
      </w:r>
      <w:r w:rsidRPr="00721C4A">
        <w:rPr>
          <w:rFonts w:cs="Bookman Old Style"/>
          <w:color w:val="000000"/>
          <w:szCs w:val="26"/>
        </w:rPr>
        <w:t>without human input</w:t>
      </w:r>
      <w:r w:rsidR="00031968" w:rsidRPr="00721C4A">
        <w:rPr>
          <w:rFonts w:cs="Bookman Old Style"/>
          <w:color w:val="000000"/>
          <w:szCs w:val="26"/>
        </w:rPr>
        <w:t xml:space="preserve"> or interpretation</w:t>
      </w:r>
      <w:r w:rsidRPr="00721C4A">
        <w:rPr>
          <w:rFonts w:cs="Bookman Old Style"/>
          <w:color w:val="000000"/>
          <w:szCs w:val="26"/>
        </w:rPr>
        <w:t>.</w:t>
      </w:r>
      <w:r w:rsidR="000075F2" w:rsidRPr="00721C4A">
        <w:rPr>
          <w:rFonts w:cs="Bookman Old Style"/>
          <w:color w:val="000000"/>
          <w:szCs w:val="26"/>
        </w:rPr>
        <w:t xml:space="preserve"> </w:t>
      </w:r>
      <w:r w:rsidR="00031968" w:rsidRPr="00721C4A">
        <w:rPr>
          <w:rFonts w:cs="Bookman Old Style"/>
          <w:color w:val="000000"/>
          <w:szCs w:val="26"/>
        </w:rPr>
        <w:t xml:space="preserve">The prosecution did not </w:t>
      </w:r>
      <w:r w:rsidR="00031968" w:rsidRPr="00721C4A">
        <w:rPr>
          <w:szCs w:val="26"/>
        </w:rPr>
        <w:t xml:space="preserve">introduce the records themselves.  Nor did they </w:t>
      </w:r>
      <w:r w:rsidR="00031968" w:rsidRPr="00721C4A">
        <w:rPr>
          <w:rFonts w:cs="Bookman Old Style"/>
          <w:color w:val="000000"/>
          <w:szCs w:val="26"/>
        </w:rPr>
        <w:t>call as witnesses the police department employees who had examined the phones or generated the Reports. Instead</w:t>
      </w:r>
      <w:r w:rsidR="00031968" w:rsidRPr="00721C4A">
        <w:rPr>
          <w:szCs w:val="26"/>
        </w:rPr>
        <w:t xml:space="preserve">, the only foundation testimony was by </w:t>
      </w:r>
      <w:r w:rsidR="002C52F4" w:rsidRPr="00721C4A">
        <w:rPr>
          <w:rFonts w:cs="Bookman Old Style"/>
          <w:color w:val="000000"/>
          <w:szCs w:val="26"/>
        </w:rPr>
        <w:t>Detective Slay</w:t>
      </w:r>
      <w:r w:rsidR="00031968" w:rsidRPr="00721C4A">
        <w:rPr>
          <w:szCs w:val="26"/>
        </w:rPr>
        <w:t xml:space="preserve"> who</w:t>
      </w:r>
      <w:r w:rsidR="002C52F4" w:rsidRPr="00721C4A">
        <w:rPr>
          <w:rFonts w:cs="Bookman Old Style"/>
          <w:color w:val="000000"/>
          <w:szCs w:val="26"/>
        </w:rPr>
        <w:t xml:space="preserve"> testified that he had “the tech guys work on [the phone],” and that he was able to view “the report that [he] had the technical people run.” </w:t>
      </w:r>
      <w:r w:rsidR="00031968" w:rsidRPr="00721C4A">
        <w:rPr>
          <w:szCs w:val="26"/>
        </w:rPr>
        <w:t xml:space="preserve">This </w:t>
      </w:r>
      <w:r w:rsidR="00AF09AF" w:rsidRPr="00721C4A">
        <w:rPr>
          <w:szCs w:val="26"/>
        </w:rPr>
        <w:t xml:space="preserve">testimony </w:t>
      </w:r>
      <w:r w:rsidR="00031968" w:rsidRPr="00721C4A">
        <w:rPr>
          <w:szCs w:val="26"/>
        </w:rPr>
        <w:t>was an i</w:t>
      </w:r>
      <w:r w:rsidR="00AF09AF" w:rsidRPr="00721C4A">
        <w:rPr>
          <w:szCs w:val="26"/>
        </w:rPr>
        <w:t>n</w:t>
      </w:r>
      <w:r w:rsidR="00031968" w:rsidRPr="00721C4A">
        <w:rPr>
          <w:szCs w:val="26"/>
        </w:rPr>
        <w:t>sufficient</w:t>
      </w:r>
      <w:r w:rsidR="002C52F4" w:rsidRPr="00721C4A">
        <w:rPr>
          <w:rFonts w:cs="Bookman Old Style"/>
          <w:color w:val="000000"/>
          <w:szCs w:val="26"/>
        </w:rPr>
        <w:t xml:space="preserve"> </w:t>
      </w:r>
      <w:r w:rsidR="00031968" w:rsidRPr="00721C4A">
        <w:rPr>
          <w:szCs w:val="26"/>
        </w:rPr>
        <w:t xml:space="preserve">foundation </w:t>
      </w:r>
      <w:r w:rsidR="000075F2" w:rsidRPr="00721C4A">
        <w:rPr>
          <w:szCs w:val="26"/>
        </w:rPr>
        <w:t xml:space="preserve">to </w:t>
      </w:r>
      <w:r w:rsidR="00031968" w:rsidRPr="00721C4A">
        <w:rPr>
          <w:szCs w:val="26"/>
        </w:rPr>
        <w:t xml:space="preserve">establish the </w:t>
      </w:r>
      <w:r w:rsidR="000075F2" w:rsidRPr="00721C4A">
        <w:rPr>
          <w:szCs w:val="26"/>
        </w:rPr>
        <w:t>R</w:t>
      </w:r>
      <w:r w:rsidR="00031968" w:rsidRPr="00721C4A">
        <w:rPr>
          <w:szCs w:val="26"/>
        </w:rPr>
        <w:t>ecord</w:t>
      </w:r>
      <w:r w:rsidR="002C52F4" w:rsidRPr="00721C4A">
        <w:rPr>
          <w:rFonts w:cs="Bookman Old Style"/>
          <w:color w:val="000000"/>
          <w:szCs w:val="26"/>
        </w:rPr>
        <w:t xml:space="preserve"> generated without human input</w:t>
      </w:r>
      <w:r w:rsidR="00031968" w:rsidRPr="00721C4A">
        <w:rPr>
          <w:szCs w:val="26"/>
        </w:rPr>
        <w:t xml:space="preserve"> or interpretation</w:t>
      </w:r>
      <w:r w:rsidR="002C52F4" w:rsidRPr="00721C4A">
        <w:rPr>
          <w:rFonts w:cs="Bookman Old Style"/>
          <w:color w:val="000000"/>
          <w:szCs w:val="26"/>
        </w:rPr>
        <w:t>.</w:t>
      </w:r>
    </w:p>
    <w:p w14:paraId="72B64309" w14:textId="5536AC80" w:rsidR="00B77561" w:rsidRPr="00721C4A" w:rsidRDefault="00B77561" w:rsidP="000075F2">
      <w:pPr>
        <w:autoSpaceDE w:val="0"/>
        <w:autoSpaceDN w:val="0"/>
        <w:adjustRightInd w:val="0"/>
        <w:contextualSpacing w:val="0"/>
        <w:rPr>
          <w:rFonts w:cs="Bookman Old Style"/>
          <w:color w:val="000000"/>
          <w:szCs w:val="26"/>
        </w:rPr>
      </w:pPr>
    </w:p>
    <w:p w14:paraId="405E235F" w14:textId="0782DFE9" w:rsidR="00B77561" w:rsidRPr="00721C4A" w:rsidRDefault="00AF09AF" w:rsidP="00AF09AF">
      <w:pPr>
        <w:pStyle w:val="Default"/>
        <w:rPr>
          <w:sz w:val="26"/>
          <w:szCs w:val="26"/>
        </w:rPr>
      </w:pPr>
      <w:r w:rsidRPr="00721C4A">
        <w:rPr>
          <w:sz w:val="26"/>
          <w:szCs w:val="26"/>
        </w:rPr>
        <w:t xml:space="preserve">Plus, </w:t>
      </w:r>
      <w:r w:rsidR="00B77561" w:rsidRPr="00721C4A">
        <w:rPr>
          <w:sz w:val="26"/>
          <w:szCs w:val="26"/>
        </w:rPr>
        <w:t xml:space="preserve">Detective Slay's testimony was an additional layer of hearsay. He described the contents of the Reports to prove the truth of their content.  The prosecution did not argue, and the COA could not find, any hearsay exception that applied to this testimony.  Absent the application of a hearsay exception, Detective Slay could not testify about the contents of the Reports, even if the Reports themselves were admissible. </w:t>
      </w:r>
      <w:r w:rsidR="00B77561" w:rsidRPr="00721C4A">
        <w:rPr>
          <w:i/>
          <w:iCs/>
          <w:sz w:val="26"/>
          <w:szCs w:val="26"/>
        </w:rPr>
        <w:t>See People v. Raffaelli</w:t>
      </w:r>
      <w:r w:rsidR="00B77561" w:rsidRPr="00721C4A">
        <w:rPr>
          <w:sz w:val="26"/>
          <w:szCs w:val="26"/>
        </w:rPr>
        <w:t xml:space="preserve">, 701 P.2d 881, 884 (Colo. App. 1985) (holding that detective’s or caseworker’s testimony regarding the content of a doctor’s report was inadmissible hearsay under CRE 802 and CRE 805). </w:t>
      </w:r>
    </w:p>
    <w:p w14:paraId="55EE70C6" w14:textId="37692E47" w:rsidR="00B77561" w:rsidRPr="00721C4A" w:rsidRDefault="00B77561" w:rsidP="00B77561">
      <w:pPr>
        <w:autoSpaceDE w:val="0"/>
        <w:autoSpaceDN w:val="0"/>
        <w:adjustRightInd w:val="0"/>
        <w:contextualSpacing w:val="0"/>
        <w:rPr>
          <w:rFonts w:cs="Bookman Old Style"/>
          <w:color w:val="000000"/>
          <w:szCs w:val="26"/>
        </w:rPr>
      </w:pPr>
    </w:p>
    <w:p w14:paraId="472A36F5" w14:textId="1A33C0CA" w:rsidR="00B77561" w:rsidRPr="00721C4A" w:rsidRDefault="00B77561" w:rsidP="00B77561">
      <w:pPr>
        <w:pStyle w:val="Default"/>
        <w:rPr>
          <w:sz w:val="26"/>
          <w:szCs w:val="26"/>
        </w:rPr>
      </w:pPr>
      <w:r w:rsidRPr="00721C4A">
        <w:rPr>
          <w:sz w:val="26"/>
          <w:szCs w:val="26"/>
          <w:u w:val="single"/>
        </w:rPr>
        <w:t>Issue 2</w:t>
      </w:r>
      <w:r w:rsidRPr="00721C4A">
        <w:rPr>
          <w:sz w:val="26"/>
          <w:szCs w:val="26"/>
        </w:rPr>
        <w:t>: Phone content reports: Reliability and Authenticity</w:t>
      </w:r>
    </w:p>
    <w:p w14:paraId="4E77B94F" w14:textId="620CF7D2" w:rsidR="00B77561" w:rsidRPr="00721C4A" w:rsidRDefault="00B77561" w:rsidP="00B77561">
      <w:pPr>
        <w:pStyle w:val="Default"/>
        <w:rPr>
          <w:sz w:val="26"/>
          <w:szCs w:val="26"/>
        </w:rPr>
      </w:pPr>
    </w:p>
    <w:p w14:paraId="420EB869" w14:textId="4B7C2FD1" w:rsidR="00B77561" w:rsidRPr="00721C4A" w:rsidRDefault="00AF09AF" w:rsidP="00B77561">
      <w:pPr>
        <w:autoSpaceDE w:val="0"/>
        <w:autoSpaceDN w:val="0"/>
        <w:adjustRightInd w:val="0"/>
        <w:contextualSpacing w:val="0"/>
        <w:rPr>
          <w:rFonts w:cs="Bookman Old Style"/>
          <w:color w:val="000000"/>
          <w:szCs w:val="26"/>
        </w:rPr>
      </w:pPr>
      <w:r w:rsidRPr="00721C4A">
        <w:rPr>
          <w:rFonts w:cs="Bookman Old Style"/>
          <w:color w:val="000000"/>
          <w:szCs w:val="26"/>
        </w:rPr>
        <w:t xml:space="preserve">The prosecution also failed to establish </w:t>
      </w:r>
      <w:r w:rsidR="00B77561" w:rsidRPr="00721C4A">
        <w:rPr>
          <w:rFonts w:cs="Bookman Old Style"/>
          <w:color w:val="000000"/>
          <w:szCs w:val="26"/>
        </w:rPr>
        <w:t xml:space="preserve">the reliability and accuracy of the process used to create and obtain the underlying data and whether the report is authentic. </w:t>
      </w:r>
    </w:p>
    <w:p w14:paraId="06F53B96" w14:textId="77777777" w:rsidR="00B77561" w:rsidRPr="00721C4A" w:rsidRDefault="00B77561" w:rsidP="00B77561">
      <w:pPr>
        <w:autoSpaceDE w:val="0"/>
        <w:autoSpaceDN w:val="0"/>
        <w:adjustRightInd w:val="0"/>
        <w:contextualSpacing w:val="0"/>
        <w:rPr>
          <w:rFonts w:cs="Bookman Old Style"/>
          <w:color w:val="000000"/>
          <w:szCs w:val="26"/>
        </w:rPr>
      </w:pPr>
    </w:p>
    <w:p w14:paraId="6A63818B" w14:textId="415B2CE4" w:rsidR="00C8676D" w:rsidRPr="00721C4A" w:rsidRDefault="00C8676D" w:rsidP="00C8676D">
      <w:pPr>
        <w:pStyle w:val="Default"/>
        <w:rPr>
          <w:sz w:val="26"/>
          <w:szCs w:val="26"/>
        </w:rPr>
      </w:pPr>
      <w:r w:rsidRPr="00721C4A">
        <w:rPr>
          <w:sz w:val="26"/>
          <w:szCs w:val="26"/>
        </w:rPr>
        <w:t>Reliability: "The proponent of computer-generated evidence must lay a sufficient foundation to establish that the machine’s results are valid and reliable, the machine was in proper working order at the time it generated the report, and the operator was qualified to operate it."</w:t>
      </w:r>
    </w:p>
    <w:p w14:paraId="37AEC410" w14:textId="77777777" w:rsidR="00C8676D" w:rsidRPr="00721C4A" w:rsidRDefault="00C8676D" w:rsidP="00C8676D">
      <w:pPr>
        <w:pStyle w:val="Default"/>
        <w:rPr>
          <w:sz w:val="26"/>
          <w:szCs w:val="26"/>
        </w:rPr>
      </w:pPr>
    </w:p>
    <w:p w14:paraId="5C202505" w14:textId="5A829CB6" w:rsidR="00C8676D" w:rsidRPr="00721C4A" w:rsidRDefault="00C8676D" w:rsidP="00C8676D">
      <w:pPr>
        <w:pStyle w:val="Default"/>
        <w:rPr>
          <w:sz w:val="26"/>
          <w:szCs w:val="26"/>
        </w:rPr>
      </w:pPr>
      <w:r w:rsidRPr="00721C4A">
        <w:rPr>
          <w:sz w:val="26"/>
          <w:szCs w:val="26"/>
        </w:rPr>
        <w:t xml:space="preserve">Authentication:  The authenticity of electronically generated printouts may be established through testimony of a person with personal knowledge of how the printouts were generated and that they are what they are claimed to be. </w:t>
      </w:r>
      <w:r w:rsidR="00AF09AF" w:rsidRPr="00721C4A">
        <w:rPr>
          <w:i/>
          <w:iCs/>
          <w:sz w:val="26"/>
          <w:szCs w:val="26"/>
        </w:rPr>
        <w:t>People v. Glover</w:t>
      </w:r>
      <w:r w:rsidR="00AF09AF" w:rsidRPr="00721C4A">
        <w:rPr>
          <w:sz w:val="26"/>
          <w:szCs w:val="26"/>
        </w:rPr>
        <w:t>, 2015 COA 16.</w:t>
      </w:r>
    </w:p>
    <w:p w14:paraId="159FFC62" w14:textId="7FADE20D" w:rsidR="00C8676D" w:rsidRPr="00721C4A" w:rsidRDefault="00C8676D" w:rsidP="00C8676D">
      <w:pPr>
        <w:pStyle w:val="Default"/>
        <w:rPr>
          <w:sz w:val="26"/>
          <w:szCs w:val="26"/>
        </w:rPr>
      </w:pPr>
      <w:r w:rsidRPr="00721C4A">
        <w:rPr>
          <w:sz w:val="26"/>
          <w:szCs w:val="26"/>
        </w:rPr>
        <w:t xml:space="preserve"> </w:t>
      </w:r>
    </w:p>
    <w:p w14:paraId="4EFA88F8" w14:textId="77777777" w:rsidR="00AF09AF" w:rsidRPr="00721C4A" w:rsidRDefault="00AF09AF">
      <w:pPr>
        <w:spacing w:after="160" w:line="259" w:lineRule="auto"/>
        <w:contextualSpacing w:val="0"/>
        <w:rPr>
          <w:rFonts w:cs="Bookman Old Style"/>
          <w:color w:val="000000"/>
          <w:szCs w:val="26"/>
        </w:rPr>
      </w:pPr>
      <w:r w:rsidRPr="00721C4A">
        <w:rPr>
          <w:szCs w:val="26"/>
        </w:rPr>
        <w:br w:type="page"/>
      </w:r>
    </w:p>
    <w:p w14:paraId="5D43FB2D" w14:textId="77777777" w:rsidR="00AF09AF" w:rsidRPr="00721C4A" w:rsidRDefault="00C8676D" w:rsidP="00883EF6">
      <w:pPr>
        <w:pStyle w:val="Default"/>
        <w:rPr>
          <w:sz w:val="26"/>
          <w:szCs w:val="26"/>
        </w:rPr>
      </w:pPr>
      <w:r w:rsidRPr="00721C4A">
        <w:rPr>
          <w:sz w:val="26"/>
          <w:szCs w:val="26"/>
        </w:rPr>
        <w:lastRenderedPageBreak/>
        <w:t xml:space="preserve">The prosecutor </w:t>
      </w:r>
      <w:r w:rsidR="00883EF6" w:rsidRPr="00721C4A">
        <w:rPr>
          <w:sz w:val="26"/>
          <w:szCs w:val="26"/>
        </w:rPr>
        <w:t>failed to establish either the reliability or the authenticity of the Reports.  Here, the record lacks any evidence that</w:t>
      </w:r>
      <w:r w:rsidR="00AF09AF" w:rsidRPr="00721C4A">
        <w:rPr>
          <w:sz w:val="26"/>
          <w:szCs w:val="26"/>
        </w:rPr>
        <w:t>:</w:t>
      </w:r>
    </w:p>
    <w:p w14:paraId="1D7468D2" w14:textId="5A467D5B" w:rsidR="00883EF6" w:rsidRPr="00721C4A" w:rsidRDefault="00883EF6" w:rsidP="00883EF6">
      <w:pPr>
        <w:pStyle w:val="Default"/>
        <w:rPr>
          <w:sz w:val="26"/>
          <w:szCs w:val="26"/>
        </w:rPr>
      </w:pPr>
      <w:r w:rsidRPr="00721C4A">
        <w:rPr>
          <w:sz w:val="26"/>
          <w:szCs w:val="26"/>
        </w:rPr>
        <w:t xml:space="preserve"> </w:t>
      </w:r>
    </w:p>
    <w:p w14:paraId="15E60E11" w14:textId="4FB5EE4D" w:rsidR="00883EF6" w:rsidRPr="00721C4A" w:rsidRDefault="00883EF6" w:rsidP="00883EF6">
      <w:pPr>
        <w:pStyle w:val="ListParagraph"/>
        <w:numPr>
          <w:ilvl w:val="0"/>
          <w:numId w:val="8"/>
        </w:numPr>
        <w:autoSpaceDE w:val="0"/>
        <w:autoSpaceDN w:val="0"/>
        <w:adjustRightInd w:val="0"/>
        <w:contextualSpacing w:val="0"/>
        <w:rPr>
          <w:rFonts w:cs="Bookman Old Style"/>
          <w:color w:val="000000"/>
          <w:szCs w:val="26"/>
        </w:rPr>
      </w:pPr>
      <w:r w:rsidRPr="00721C4A">
        <w:rPr>
          <w:rFonts w:cs="Bookman Old Style"/>
          <w:color w:val="000000"/>
          <w:szCs w:val="26"/>
        </w:rPr>
        <w:t xml:space="preserve">the machine used to generate the Reports produces accurate reports of the contents of phones; </w:t>
      </w:r>
    </w:p>
    <w:p w14:paraId="35B66A7C" w14:textId="6A2C171B" w:rsidR="00883EF6" w:rsidRPr="00721C4A" w:rsidRDefault="00883EF6" w:rsidP="00883EF6">
      <w:pPr>
        <w:pStyle w:val="ListParagraph"/>
        <w:numPr>
          <w:ilvl w:val="0"/>
          <w:numId w:val="8"/>
        </w:numPr>
        <w:autoSpaceDE w:val="0"/>
        <w:autoSpaceDN w:val="0"/>
        <w:adjustRightInd w:val="0"/>
        <w:contextualSpacing w:val="0"/>
        <w:rPr>
          <w:rFonts w:cs="Bookman Old Style"/>
          <w:color w:val="000000"/>
          <w:szCs w:val="26"/>
        </w:rPr>
      </w:pPr>
      <w:r w:rsidRPr="00721C4A">
        <w:rPr>
          <w:rFonts w:cs="Bookman Old Style"/>
          <w:color w:val="000000"/>
          <w:szCs w:val="26"/>
        </w:rPr>
        <w:t xml:space="preserve">the machine was in proper working order at the time it generated the Reports; </w:t>
      </w:r>
    </w:p>
    <w:p w14:paraId="21D977F4" w14:textId="33A977B6" w:rsidR="00883EF6" w:rsidRPr="00721C4A" w:rsidRDefault="00883EF6" w:rsidP="00883EF6">
      <w:pPr>
        <w:pStyle w:val="ListParagraph"/>
        <w:numPr>
          <w:ilvl w:val="0"/>
          <w:numId w:val="8"/>
        </w:numPr>
        <w:autoSpaceDE w:val="0"/>
        <w:autoSpaceDN w:val="0"/>
        <w:adjustRightInd w:val="0"/>
        <w:contextualSpacing w:val="0"/>
        <w:rPr>
          <w:rFonts w:cs="Bookman Old Style"/>
          <w:color w:val="000000"/>
          <w:szCs w:val="26"/>
        </w:rPr>
      </w:pPr>
      <w:r w:rsidRPr="00721C4A">
        <w:rPr>
          <w:rFonts w:cs="Bookman Old Style"/>
          <w:color w:val="000000"/>
          <w:szCs w:val="26"/>
        </w:rPr>
        <w:t xml:space="preserve">the person operating the machine at the time was properly qualified; </w:t>
      </w:r>
    </w:p>
    <w:p w14:paraId="2EDB9E10" w14:textId="2A0A5CF4" w:rsidR="00883EF6" w:rsidRPr="00721C4A" w:rsidRDefault="00883EF6" w:rsidP="00883EF6">
      <w:pPr>
        <w:pStyle w:val="ListParagraph"/>
        <w:numPr>
          <w:ilvl w:val="0"/>
          <w:numId w:val="8"/>
        </w:numPr>
        <w:autoSpaceDE w:val="0"/>
        <w:autoSpaceDN w:val="0"/>
        <w:adjustRightInd w:val="0"/>
        <w:contextualSpacing w:val="0"/>
        <w:rPr>
          <w:rFonts w:cs="Bookman Old Style"/>
          <w:color w:val="000000"/>
          <w:szCs w:val="26"/>
        </w:rPr>
      </w:pPr>
      <w:r w:rsidRPr="00721C4A">
        <w:rPr>
          <w:rFonts w:cs="Bookman Old Style"/>
          <w:color w:val="000000"/>
          <w:szCs w:val="26"/>
        </w:rPr>
        <w:t xml:space="preserve">the person followed proper procedures in operating the machine; </w:t>
      </w:r>
    </w:p>
    <w:p w14:paraId="3A4B9E29" w14:textId="21E6D28B" w:rsidR="00883EF6" w:rsidRPr="00721C4A" w:rsidRDefault="00883EF6" w:rsidP="00883EF6">
      <w:pPr>
        <w:numPr>
          <w:ilvl w:val="0"/>
          <w:numId w:val="8"/>
        </w:numPr>
        <w:autoSpaceDE w:val="0"/>
        <w:autoSpaceDN w:val="0"/>
        <w:adjustRightInd w:val="0"/>
        <w:contextualSpacing w:val="0"/>
        <w:rPr>
          <w:rFonts w:cs="Bookman Old Style"/>
          <w:color w:val="000000"/>
          <w:szCs w:val="26"/>
        </w:rPr>
      </w:pPr>
      <w:r w:rsidRPr="00721C4A">
        <w:rPr>
          <w:rFonts w:cs="Bookman Old Style"/>
          <w:color w:val="000000"/>
          <w:szCs w:val="26"/>
        </w:rPr>
        <w:t xml:space="preserve">the Reports were valid and reliable; or </w:t>
      </w:r>
    </w:p>
    <w:p w14:paraId="01FF5647" w14:textId="641A113C" w:rsidR="00883EF6" w:rsidRPr="00721C4A" w:rsidRDefault="00883EF6" w:rsidP="00883EF6">
      <w:pPr>
        <w:numPr>
          <w:ilvl w:val="0"/>
          <w:numId w:val="8"/>
        </w:numPr>
        <w:autoSpaceDE w:val="0"/>
        <w:autoSpaceDN w:val="0"/>
        <w:adjustRightInd w:val="0"/>
        <w:contextualSpacing w:val="0"/>
        <w:rPr>
          <w:rFonts w:cs="Bookman Old Style"/>
          <w:color w:val="000000"/>
          <w:szCs w:val="26"/>
        </w:rPr>
      </w:pPr>
      <w:r w:rsidRPr="00721C4A">
        <w:rPr>
          <w:rFonts w:cs="Bookman Old Style"/>
          <w:color w:val="000000"/>
          <w:szCs w:val="26"/>
        </w:rPr>
        <w:t xml:space="preserve">Detective Slay was qualified to interpret the Reports. </w:t>
      </w:r>
    </w:p>
    <w:p w14:paraId="664814DB" w14:textId="77777777" w:rsidR="00115AF3" w:rsidRPr="00721C4A" w:rsidRDefault="00115AF3" w:rsidP="00883EF6">
      <w:pPr>
        <w:autoSpaceDE w:val="0"/>
        <w:autoSpaceDN w:val="0"/>
        <w:adjustRightInd w:val="0"/>
        <w:contextualSpacing w:val="0"/>
        <w:rPr>
          <w:rFonts w:cs="Bookman Old Style"/>
          <w:color w:val="000000"/>
          <w:szCs w:val="26"/>
        </w:rPr>
      </w:pPr>
    </w:p>
    <w:p w14:paraId="3B9D8AEE" w14:textId="53FEFD00" w:rsidR="00883EF6" w:rsidRPr="00721C4A" w:rsidRDefault="00883EF6" w:rsidP="00883EF6">
      <w:pPr>
        <w:autoSpaceDE w:val="0"/>
        <w:autoSpaceDN w:val="0"/>
        <w:adjustRightInd w:val="0"/>
        <w:contextualSpacing w:val="0"/>
        <w:rPr>
          <w:rFonts w:cs="Bookman Old Style"/>
          <w:color w:val="000000"/>
          <w:szCs w:val="26"/>
        </w:rPr>
      </w:pPr>
      <w:r w:rsidRPr="00721C4A">
        <w:rPr>
          <w:rFonts w:cs="Bookman Old Style"/>
          <w:color w:val="000000"/>
          <w:szCs w:val="26"/>
        </w:rPr>
        <w:t xml:space="preserve">Without this type of evidentiary foundation, Detective Slay’s testimony regarding the extraction of data from Hamilton’s and J.F.’s phones, the generation of the Reports, and </w:t>
      </w:r>
      <w:r w:rsidR="00AF09AF" w:rsidRPr="00721C4A">
        <w:rPr>
          <w:rFonts w:cs="Bookman Old Style"/>
          <w:color w:val="000000"/>
          <w:szCs w:val="26"/>
        </w:rPr>
        <w:t>Slay's</w:t>
      </w:r>
      <w:r w:rsidRPr="00721C4A">
        <w:rPr>
          <w:rFonts w:cs="Bookman Old Style"/>
          <w:color w:val="000000"/>
          <w:szCs w:val="26"/>
        </w:rPr>
        <w:t xml:space="preserve"> interpretation of the Reports was speculative. </w:t>
      </w:r>
    </w:p>
    <w:p w14:paraId="2D49B1FA" w14:textId="77777777" w:rsidR="00883EF6" w:rsidRPr="00721C4A" w:rsidRDefault="00883EF6" w:rsidP="00883EF6">
      <w:pPr>
        <w:autoSpaceDE w:val="0"/>
        <w:autoSpaceDN w:val="0"/>
        <w:adjustRightInd w:val="0"/>
        <w:contextualSpacing w:val="0"/>
        <w:rPr>
          <w:rFonts w:cs="Bookman Old Style"/>
          <w:color w:val="000000"/>
          <w:szCs w:val="26"/>
        </w:rPr>
      </w:pPr>
    </w:p>
    <w:p w14:paraId="7691387C" w14:textId="1D026A8F" w:rsidR="00115AF3" w:rsidRPr="00721C4A" w:rsidRDefault="00115AF3" w:rsidP="00115AF3">
      <w:pPr>
        <w:autoSpaceDE w:val="0"/>
        <w:autoSpaceDN w:val="0"/>
        <w:adjustRightInd w:val="0"/>
        <w:contextualSpacing w:val="0"/>
        <w:rPr>
          <w:rFonts w:cs="Bookman Old Style"/>
          <w:color w:val="000000"/>
          <w:szCs w:val="26"/>
        </w:rPr>
      </w:pPr>
      <w:r w:rsidRPr="00721C4A">
        <w:rPr>
          <w:rFonts w:cs="Bookman Old Style"/>
          <w:color w:val="000000"/>
          <w:szCs w:val="26"/>
          <w:u w:val="single"/>
        </w:rPr>
        <w:t>Issue 3</w:t>
      </w:r>
      <w:r w:rsidRPr="00721C4A">
        <w:rPr>
          <w:rFonts w:cs="Bookman Old Style"/>
          <w:color w:val="000000"/>
          <w:szCs w:val="26"/>
        </w:rPr>
        <w:t>: Reversible error</w:t>
      </w:r>
    </w:p>
    <w:p w14:paraId="1E2B43C4" w14:textId="77777777" w:rsidR="002E07AF" w:rsidRPr="00721C4A" w:rsidRDefault="002E07AF" w:rsidP="002E07AF">
      <w:pPr>
        <w:pStyle w:val="Default"/>
        <w:rPr>
          <w:sz w:val="26"/>
          <w:szCs w:val="26"/>
        </w:rPr>
      </w:pPr>
    </w:p>
    <w:p w14:paraId="39A92E79" w14:textId="6C9F5ADC" w:rsidR="00115AF3" w:rsidRPr="00721C4A" w:rsidRDefault="002E07AF" w:rsidP="002E07AF">
      <w:pPr>
        <w:pStyle w:val="Default"/>
        <w:rPr>
          <w:sz w:val="26"/>
          <w:szCs w:val="26"/>
        </w:rPr>
      </w:pPr>
      <w:r w:rsidRPr="00721C4A">
        <w:rPr>
          <w:sz w:val="26"/>
          <w:szCs w:val="26"/>
        </w:rPr>
        <w:t xml:space="preserve">The division reviewed for harmless error since </w:t>
      </w:r>
      <w:r w:rsidR="00115AF3" w:rsidRPr="00721C4A">
        <w:rPr>
          <w:sz w:val="26"/>
          <w:szCs w:val="26"/>
        </w:rPr>
        <w:t>Hamilton adequately objected to the detective's testimony concerning the reports relating to J.F.'s phone</w:t>
      </w:r>
      <w:r w:rsidRPr="00721C4A">
        <w:rPr>
          <w:sz w:val="26"/>
          <w:szCs w:val="26"/>
        </w:rPr>
        <w:t>. The</w:t>
      </w:r>
      <w:r w:rsidR="00AF09AF" w:rsidRPr="00721C4A">
        <w:rPr>
          <w:sz w:val="26"/>
          <w:szCs w:val="26"/>
        </w:rPr>
        <w:t xml:space="preserve"> error was not harmless.  The testimony directly contradicted Hami</w:t>
      </w:r>
      <w:r w:rsidR="00363697">
        <w:rPr>
          <w:sz w:val="26"/>
          <w:szCs w:val="26"/>
        </w:rPr>
        <w:t>l</w:t>
      </w:r>
      <w:r w:rsidR="00AF09AF" w:rsidRPr="00721C4A">
        <w:rPr>
          <w:sz w:val="26"/>
          <w:szCs w:val="26"/>
        </w:rPr>
        <w:t xml:space="preserve">ton's testimony and undermined his credibility.  Plus, it lent credibility to J.F.'s testimony </w:t>
      </w:r>
      <w:r w:rsidR="00115AF3" w:rsidRPr="00721C4A">
        <w:rPr>
          <w:sz w:val="26"/>
          <w:szCs w:val="26"/>
        </w:rPr>
        <w:t xml:space="preserve">that “there was never a physical attraction” and that there was “nothing that would have ever made [her] want to have sex with him.” </w:t>
      </w:r>
    </w:p>
    <w:p w14:paraId="36F1E4AE" w14:textId="77777777" w:rsidR="00115AF3" w:rsidRPr="00721C4A" w:rsidRDefault="00115AF3" w:rsidP="00115AF3">
      <w:pPr>
        <w:autoSpaceDE w:val="0"/>
        <w:autoSpaceDN w:val="0"/>
        <w:adjustRightInd w:val="0"/>
        <w:contextualSpacing w:val="0"/>
        <w:rPr>
          <w:rFonts w:cs="Bookman Old Style"/>
          <w:color w:val="000000"/>
          <w:szCs w:val="26"/>
        </w:rPr>
      </w:pPr>
    </w:p>
    <w:p w14:paraId="5151E537" w14:textId="77777777" w:rsidR="00AF09AF" w:rsidRPr="00721C4A" w:rsidRDefault="00115AF3" w:rsidP="00115AF3">
      <w:pPr>
        <w:autoSpaceDE w:val="0"/>
        <w:autoSpaceDN w:val="0"/>
        <w:adjustRightInd w:val="0"/>
        <w:contextualSpacing w:val="0"/>
        <w:rPr>
          <w:rFonts w:cs="Bookman Old Style"/>
          <w:color w:val="000000"/>
          <w:szCs w:val="26"/>
        </w:rPr>
      </w:pPr>
      <w:r w:rsidRPr="00721C4A">
        <w:rPr>
          <w:rFonts w:cs="Bookman Old Style"/>
          <w:color w:val="000000"/>
          <w:szCs w:val="26"/>
        </w:rPr>
        <w:t xml:space="preserve">Detective Slay’s testimony was particularly prejudicial because it was part of the prosecutor’s rebuttal case. Hamilton had no opportunity to respond to the evidence or provide an explanation as to why the police did not find any text messages from J.F. to Hamilton on J.F.’s phone. </w:t>
      </w:r>
      <w:r w:rsidR="00AF09AF" w:rsidRPr="00721C4A">
        <w:rPr>
          <w:rFonts w:cs="Bookman Old Style"/>
          <w:color w:val="000000"/>
          <w:szCs w:val="26"/>
        </w:rPr>
        <w:t xml:space="preserve">Also, </w:t>
      </w:r>
      <w:r w:rsidRPr="00721C4A">
        <w:rPr>
          <w:rFonts w:cs="Bookman Old Style"/>
          <w:color w:val="000000"/>
          <w:szCs w:val="26"/>
        </w:rPr>
        <w:t xml:space="preserve">the jury gave significant weight to the evidence </w:t>
      </w:r>
      <w:r w:rsidR="00AF09AF" w:rsidRPr="00721C4A">
        <w:rPr>
          <w:rFonts w:cs="Bookman Old Style"/>
          <w:color w:val="000000"/>
          <w:szCs w:val="26"/>
        </w:rPr>
        <w:t>because several</w:t>
      </w:r>
      <w:r w:rsidRPr="00721C4A">
        <w:rPr>
          <w:rFonts w:cs="Bookman Old Style"/>
          <w:color w:val="000000"/>
          <w:szCs w:val="26"/>
        </w:rPr>
        <w:t xml:space="preserve"> jurors</w:t>
      </w:r>
      <w:r w:rsidR="00AF09AF" w:rsidRPr="00721C4A">
        <w:rPr>
          <w:rFonts w:cs="Bookman Old Style"/>
          <w:color w:val="000000"/>
          <w:szCs w:val="26"/>
        </w:rPr>
        <w:t xml:space="preserve"> asked</w:t>
      </w:r>
      <w:r w:rsidRPr="00721C4A">
        <w:rPr>
          <w:rFonts w:cs="Bookman Old Style"/>
          <w:color w:val="000000"/>
          <w:szCs w:val="26"/>
        </w:rPr>
        <w:t xml:space="preserve"> questions</w:t>
      </w:r>
      <w:r w:rsidR="00AF09AF" w:rsidRPr="00721C4A">
        <w:rPr>
          <w:rFonts w:cs="Bookman Old Style"/>
          <w:color w:val="000000"/>
          <w:szCs w:val="26"/>
        </w:rPr>
        <w:t xml:space="preserve"> about this testimony. </w:t>
      </w:r>
    </w:p>
    <w:p w14:paraId="78DEC5FE" w14:textId="0876D18E" w:rsidR="00115AF3" w:rsidRPr="00721C4A" w:rsidRDefault="00115AF3" w:rsidP="00115AF3">
      <w:pPr>
        <w:autoSpaceDE w:val="0"/>
        <w:autoSpaceDN w:val="0"/>
        <w:adjustRightInd w:val="0"/>
        <w:contextualSpacing w:val="0"/>
        <w:rPr>
          <w:rFonts w:cs="Bookman Old Style"/>
          <w:color w:val="000000"/>
          <w:szCs w:val="26"/>
        </w:rPr>
      </w:pPr>
      <w:r w:rsidRPr="00721C4A">
        <w:rPr>
          <w:rFonts w:cs="Bookman Old Style"/>
          <w:color w:val="000000"/>
          <w:szCs w:val="26"/>
        </w:rPr>
        <w:t xml:space="preserve"> </w:t>
      </w:r>
    </w:p>
    <w:p w14:paraId="1F4755A6" w14:textId="77777777" w:rsidR="00115AF3" w:rsidRPr="00721C4A" w:rsidRDefault="00115AF3" w:rsidP="00115AF3">
      <w:pPr>
        <w:autoSpaceDE w:val="0"/>
        <w:autoSpaceDN w:val="0"/>
        <w:adjustRightInd w:val="0"/>
        <w:contextualSpacing w:val="0"/>
        <w:rPr>
          <w:rFonts w:cs="Bookman Old Style"/>
          <w:color w:val="000000"/>
          <w:szCs w:val="26"/>
        </w:rPr>
      </w:pPr>
    </w:p>
    <w:p w14:paraId="3C30EA2D" w14:textId="4DD34466" w:rsidR="00115AF3" w:rsidRPr="00721C4A" w:rsidRDefault="002E07AF" w:rsidP="00115AF3">
      <w:pPr>
        <w:autoSpaceDE w:val="0"/>
        <w:autoSpaceDN w:val="0"/>
        <w:adjustRightInd w:val="0"/>
        <w:contextualSpacing w:val="0"/>
        <w:rPr>
          <w:rFonts w:cs="Bookman Old Style"/>
          <w:color w:val="000000"/>
          <w:szCs w:val="26"/>
        </w:rPr>
      </w:pPr>
      <w:r w:rsidRPr="00721C4A">
        <w:rPr>
          <w:rFonts w:cs="Bookman Old Style"/>
          <w:color w:val="000000"/>
          <w:szCs w:val="26"/>
        </w:rPr>
        <w:t xml:space="preserve">The COA addressed Hamilton's other </w:t>
      </w:r>
      <w:r w:rsidR="0058611D" w:rsidRPr="00721C4A">
        <w:rPr>
          <w:rFonts w:cs="Bookman Old Style"/>
          <w:color w:val="000000"/>
          <w:szCs w:val="26"/>
        </w:rPr>
        <w:t>claimed errors because it was possible they could resurface on retrial.</w:t>
      </w:r>
    </w:p>
    <w:p w14:paraId="3CF3D997" w14:textId="71EF5C34" w:rsidR="00AF09AF" w:rsidRPr="00721C4A" w:rsidRDefault="00AF09AF" w:rsidP="00115AF3">
      <w:pPr>
        <w:autoSpaceDE w:val="0"/>
        <w:autoSpaceDN w:val="0"/>
        <w:adjustRightInd w:val="0"/>
        <w:contextualSpacing w:val="0"/>
        <w:rPr>
          <w:rFonts w:cs="Bookman Old Style"/>
          <w:color w:val="000000"/>
          <w:szCs w:val="26"/>
        </w:rPr>
      </w:pPr>
    </w:p>
    <w:p w14:paraId="06B13BBE" w14:textId="584D9D72" w:rsidR="00AF09AF" w:rsidRPr="00721C4A" w:rsidRDefault="00AF09AF" w:rsidP="00115AF3">
      <w:pPr>
        <w:autoSpaceDE w:val="0"/>
        <w:autoSpaceDN w:val="0"/>
        <w:adjustRightInd w:val="0"/>
        <w:contextualSpacing w:val="0"/>
        <w:rPr>
          <w:rFonts w:cs="Bookman Old Style"/>
          <w:color w:val="000000"/>
          <w:szCs w:val="26"/>
        </w:rPr>
      </w:pPr>
    </w:p>
    <w:p w14:paraId="316D6A60" w14:textId="77777777" w:rsidR="00AF09AF" w:rsidRPr="00721C4A" w:rsidRDefault="00AF09AF">
      <w:pPr>
        <w:spacing w:after="160" w:line="259" w:lineRule="auto"/>
        <w:contextualSpacing w:val="0"/>
        <w:rPr>
          <w:rFonts w:cs="Bookman Old Style"/>
          <w:color w:val="000000"/>
          <w:szCs w:val="26"/>
          <w:u w:val="single"/>
        </w:rPr>
      </w:pPr>
      <w:r w:rsidRPr="00721C4A">
        <w:rPr>
          <w:rFonts w:cs="Bookman Old Style"/>
          <w:color w:val="000000"/>
          <w:szCs w:val="26"/>
          <w:u w:val="single"/>
        </w:rPr>
        <w:br w:type="page"/>
      </w:r>
    </w:p>
    <w:p w14:paraId="4C40E146" w14:textId="2E37E588" w:rsidR="0058611D" w:rsidRPr="00721C4A" w:rsidRDefault="0058611D" w:rsidP="00115AF3">
      <w:pPr>
        <w:autoSpaceDE w:val="0"/>
        <w:autoSpaceDN w:val="0"/>
        <w:adjustRightInd w:val="0"/>
        <w:contextualSpacing w:val="0"/>
        <w:rPr>
          <w:rFonts w:cs="Bookman Old Style"/>
          <w:color w:val="000000"/>
          <w:szCs w:val="26"/>
        </w:rPr>
      </w:pPr>
      <w:r w:rsidRPr="00721C4A">
        <w:rPr>
          <w:rFonts w:cs="Bookman Old Style"/>
          <w:color w:val="000000"/>
          <w:szCs w:val="26"/>
          <w:u w:val="single"/>
        </w:rPr>
        <w:lastRenderedPageBreak/>
        <w:t>Issue 4</w:t>
      </w:r>
      <w:r w:rsidRPr="00721C4A">
        <w:rPr>
          <w:rFonts w:cs="Bookman Old Style"/>
          <w:color w:val="000000"/>
          <w:szCs w:val="26"/>
        </w:rPr>
        <w:t>: 404(b): prior sex assaults</w:t>
      </w:r>
    </w:p>
    <w:p w14:paraId="173D46C2" w14:textId="24D03C0C" w:rsidR="0058611D" w:rsidRPr="00721C4A" w:rsidRDefault="0058611D" w:rsidP="00115AF3">
      <w:pPr>
        <w:autoSpaceDE w:val="0"/>
        <w:autoSpaceDN w:val="0"/>
        <w:adjustRightInd w:val="0"/>
        <w:contextualSpacing w:val="0"/>
        <w:rPr>
          <w:rFonts w:cs="Bookman Old Style"/>
          <w:color w:val="000000"/>
          <w:szCs w:val="26"/>
        </w:rPr>
      </w:pPr>
    </w:p>
    <w:p w14:paraId="639C5B58" w14:textId="57B81539" w:rsidR="0058611D" w:rsidRPr="00721C4A" w:rsidRDefault="0058611D" w:rsidP="0058611D">
      <w:pPr>
        <w:pStyle w:val="Default"/>
        <w:rPr>
          <w:sz w:val="26"/>
          <w:szCs w:val="26"/>
        </w:rPr>
      </w:pPr>
      <w:r w:rsidRPr="00721C4A">
        <w:rPr>
          <w:sz w:val="26"/>
          <w:szCs w:val="26"/>
        </w:rPr>
        <w:t xml:space="preserve">Hamilton was charged </w:t>
      </w:r>
      <w:r w:rsidR="00AF09AF" w:rsidRPr="00721C4A">
        <w:rPr>
          <w:sz w:val="26"/>
          <w:szCs w:val="26"/>
        </w:rPr>
        <w:t xml:space="preserve">with sex assault </w:t>
      </w:r>
      <w:r w:rsidRPr="00721C4A">
        <w:rPr>
          <w:sz w:val="26"/>
          <w:szCs w:val="26"/>
        </w:rPr>
        <w:t xml:space="preserve">twice before.  </w:t>
      </w:r>
      <w:r w:rsidR="00EF66CF" w:rsidRPr="00721C4A">
        <w:rPr>
          <w:sz w:val="26"/>
          <w:szCs w:val="26"/>
        </w:rPr>
        <w:t xml:space="preserve">Each time the woman was drinking with friends, separated from their friends, taken to an apartment, forcibly held down and sexually assaulted.  </w:t>
      </w:r>
      <w:r w:rsidRPr="00721C4A">
        <w:rPr>
          <w:sz w:val="26"/>
          <w:szCs w:val="26"/>
        </w:rPr>
        <w:t>One time</w:t>
      </w:r>
      <w:r w:rsidR="00AF09AF" w:rsidRPr="00721C4A">
        <w:rPr>
          <w:sz w:val="26"/>
          <w:szCs w:val="26"/>
        </w:rPr>
        <w:t>,</w:t>
      </w:r>
      <w:r w:rsidRPr="00721C4A">
        <w:rPr>
          <w:sz w:val="26"/>
          <w:szCs w:val="26"/>
        </w:rPr>
        <w:t xml:space="preserve"> the charge was dismissed</w:t>
      </w:r>
      <w:r w:rsidR="00AF09AF" w:rsidRPr="00721C4A">
        <w:rPr>
          <w:sz w:val="26"/>
          <w:szCs w:val="26"/>
        </w:rPr>
        <w:t>, and</w:t>
      </w:r>
      <w:r w:rsidRPr="00721C4A">
        <w:rPr>
          <w:sz w:val="26"/>
          <w:szCs w:val="26"/>
        </w:rPr>
        <w:t xml:space="preserve"> the other time</w:t>
      </w:r>
      <w:r w:rsidR="00AF09AF" w:rsidRPr="00721C4A">
        <w:rPr>
          <w:sz w:val="26"/>
          <w:szCs w:val="26"/>
        </w:rPr>
        <w:t>,</w:t>
      </w:r>
      <w:r w:rsidRPr="00721C4A">
        <w:rPr>
          <w:sz w:val="26"/>
          <w:szCs w:val="26"/>
        </w:rPr>
        <w:t xml:space="preserve"> he was acquitted at trial</w:t>
      </w:r>
      <w:r w:rsidR="00AF09AF" w:rsidRPr="00721C4A">
        <w:rPr>
          <w:sz w:val="26"/>
          <w:szCs w:val="26"/>
        </w:rPr>
        <w:t xml:space="preserve"> of sex assault but convicted of kidnapping</w:t>
      </w:r>
      <w:r w:rsidRPr="00721C4A">
        <w:rPr>
          <w:sz w:val="26"/>
          <w:szCs w:val="26"/>
        </w:rPr>
        <w:t>.  The DA was permitted to introduce evidence of both alleged incidents.  The COA agreed that the evidence was admissible under under CRE 404(b) and section 16-10-301(3).</w:t>
      </w:r>
    </w:p>
    <w:p w14:paraId="252B5000" w14:textId="09A8DC0E" w:rsidR="0058611D" w:rsidRPr="00721C4A" w:rsidRDefault="0058611D" w:rsidP="0058611D">
      <w:pPr>
        <w:pStyle w:val="Default"/>
        <w:rPr>
          <w:sz w:val="26"/>
          <w:szCs w:val="26"/>
        </w:rPr>
      </w:pPr>
    </w:p>
    <w:p w14:paraId="5535C7FC" w14:textId="16CFC3D6" w:rsidR="0065480A" w:rsidRPr="00721C4A" w:rsidRDefault="0058611D" w:rsidP="0065480A">
      <w:pPr>
        <w:pStyle w:val="Default"/>
        <w:rPr>
          <w:sz w:val="26"/>
          <w:szCs w:val="26"/>
        </w:rPr>
      </w:pPr>
      <w:r w:rsidRPr="00721C4A">
        <w:rPr>
          <w:sz w:val="26"/>
          <w:szCs w:val="26"/>
        </w:rPr>
        <w:t xml:space="preserve">The evidence was admitted to refute the defense </w:t>
      </w:r>
      <w:r w:rsidR="00AF09AF" w:rsidRPr="00721C4A">
        <w:rPr>
          <w:sz w:val="26"/>
          <w:szCs w:val="26"/>
        </w:rPr>
        <w:t xml:space="preserve">of consent </w:t>
      </w:r>
      <w:r w:rsidRPr="00721C4A">
        <w:rPr>
          <w:sz w:val="26"/>
          <w:szCs w:val="26"/>
        </w:rPr>
        <w:t xml:space="preserve">and establish </w:t>
      </w:r>
      <w:r w:rsidR="00AF09AF" w:rsidRPr="00721C4A">
        <w:rPr>
          <w:sz w:val="26"/>
          <w:szCs w:val="26"/>
        </w:rPr>
        <w:t xml:space="preserve">a </w:t>
      </w:r>
      <w:r w:rsidR="00EF66CF" w:rsidRPr="00721C4A">
        <w:rPr>
          <w:sz w:val="26"/>
          <w:szCs w:val="26"/>
        </w:rPr>
        <w:t xml:space="preserve">common plan, scheme, design, modus operandi, and preparation. </w:t>
      </w:r>
      <w:r w:rsidR="007D280D" w:rsidRPr="00721C4A">
        <w:rPr>
          <w:sz w:val="26"/>
          <w:szCs w:val="26"/>
        </w:rPr>
        <w:t xml:space="preserve">As such, the evidence related to a material fact. </w:t>
      </w:r>
      <w:r w:rsidR="00AF09AF" w:rsidRPr="00721C4A">
        <w:rPr>
          <w:sz w:val="26"/>
          <w:szCs w:val="26"/>
        </w:rPr>
        <w:t>T</w:t>
      </w:r>
      <w:r w:rsidR="0065480A" w:rsidRPr="00721C4A">
        <w:rPr>
          <w:sz w:val="26"/>
          <w:szCs w:val="26"/>
        </w:rPr>
        <w:t>he evidence was logically relevant</w:t>
      </w:r>
      <w:r w:rsidR="00AF09AF" w:rsidRPr="00721C4A">
        <w:rPr>
          <w:sz w:val="26"/>
          <w:szCs w:val="26"/>
        </w:rPr>
        <w:t>, and t</w:t>
      </w:r>
      <w:r w:rsidR="0065480A" w:rsidRPr="00721C4A">
        <w:rPr>
          <w:sz w:val="26"/>
          <w:szCs w:val="26"/>
        </w:rPr>
        <w:t>he logical relevance did not depend on the jury believing Hamilton had a bad character</w:t>
      </w:r>
      <w:r w:rsidR="0065480A" w:rsidRPr="00721C4A">
        <w:rPr>
          <w:rFonts w:cs="Times New Roman"/>
          <w:sz w:val="26"/>
          <w:szCs w:val="26"/>
        </w:rPr>
        <w:t>.  Instead, "[t]</w:t>
      </w:r>
      <w:r w:rsidR="0065480A" w:rsidRPr="00721C4A">
        <w:rPr>
          <w:sz w:val="26"/>
          <w:szCs w:val="26"/>
        </w:rPr>
        <w:t xml:space="preserve">he evidence demonstrated a pattern of behavior in committing sexual assaults from which the jury could infer that Hamilton sexually assaulted J.F., independent of any character flaws or propensity."  </w:t>
      </w:r>
    </w:p>
    <w:p w14:paraId="67970E8F" w14:textId="77777777" w:rsidR="00AF09AF" w:rsidRPr="00721C4A" w:rsidRDefault="00AF09AF" w:rsidP="009A6FC9">
      <w:pPr>
        <w:pStyle w:val="Default"/>
        <w:rPr>
          <w:sz w:val="26"/>
          <w:szCs w:val="26"/>
        </w:rPr>
      </w:pPr>
    </w:p>
    <w:p w14:paraId="4D657E0D" w14:textId="24D20A00" w:rsidR="009A6FC9" w:rsidRPr="00721C4A" w:rsidRDefault="009A6FC9" w:rsidP="009A6FC9">
      <w:pPr>
        <w:pStyle w:val="Default"/>
        <w:rPr>
          <w:sz w:val="26"/>
          <w:szCs w:val="26"/>
        </w:rPr>
      </w:pPr>
      <w:r w:rsidRPr="00721C4A">
        <w:rPr>
          <w:sz w:val="26"/>
          <w:szCs w:val="26"/>
        </w:rPr>
        <w:t>In the CRE 403 analysis, the division found "[t]he combination of the three incidents added substantial weight to the inference that Hamilton employs a technique to isolate intoxicated women for the purpose of sexually assaulting them." It undermined H</w:t>
      </w:r>
      <w:r w:rsidR="00AF09AF" w:rsidRPr="00721C4A">
        <w:rPr>
          <w:sz w:val="26"/>
          <w:szCs w:val="26"/>
        </w:rPr>
        <w:t>am</w:t>
      </w:r>
      <w:r w:rsidRPr="00721C4A">
        <w:rPr>
          <w:sz w:val="26"/>
          <w:szCs w:val="26"/>
        </w:rPr>
        <w:t>ilton's theory of defense and len</w:t>
      </w:r>
      <w:r w:rsidR="00AF09AF" w:rsidRPr="00721C4A">
        <w:rPr>
          <w:sz w:val="26"/>
          <w:szCs w:val="26"/>
        </w:rPr>
        <w:t>t</w:t>
      </w:r>
      <w:r w:rsidRPr="00721C4A">
        <w:rPr>
          <w:sz w:val="26"/>
          <w:szCs w:val="26"/>
        </w:rPr>
        <w:t xml:space="preserve"> credibility to J.F. Thus, although the other acts evidence was undoubtedly prejudicial, the probative value was not substantially outweighed by any danger of unfair prejudice to Hamilton. </w:t>
      </w:r>
    </w:p>
    <w:p w14:paraId="2E1A915E" w14:textId="4C4783E3" w:rsidR="00B21899" w:rsidRPr="00721C4A" w:rsidRDefault="00B21899" w:rsidP="009A6FC9">
      <w:pPr>
        <w:pStyle w:val="Default"/>
        <w:rPr>
          <w:sz w:val="26"/>
          <w:szCs w:val="26"/>
        </w:rPr>
      </w:pPr>
    </w:p>
    <w:p w14:paraId="6E9B72E7" w14:textId="521F7DA8" w:rsidR="00B21899" w:rsidRPr="00721C4A" w:rsidRDefault="00B21899" w:rsidP="009A6FC9">
      <w:pPr>
        <w:pStyle w:val="Default"/>
        <w:rPr>
          <w:sz w:val="26"/>
          <w:szCs w:val="26"/>
        </w:rPr>
      </w:pPr>
      <w:r w:rsidRPr="00721C4A">
        <w:rPr>
          <w:sz w:val="26"/>
          <w:szCs w:val="26"/>
        </w:rPr>
        <w:t xml:space="preserve">Since the evidence was admissible under CRE 404b, they </w:t>
      </w:r>
      <w:r w:rsidR="00AF09AF" w:rsidRPr="00721C4A">
        <w:rPr>
          <w:sz w:val="26"/>
          <w:szCs w:val="26"/>
        </w:rPr>
        <w:t xml:space="preserve">did not feel a need to </w:t>
      </w:r>
      <w:r w:rsidRPr="00721C4A">
        <w:rPr>
          <w:sz w:val="26"/>
          <w:szCs w:val="26"/>
        </w:rPr>
        <w:t>address whether it was admissible under the doctrine of chances or whether the admission violated his right to the due process of law.</w:t>
      </w:r>
    </w:p>
    <w:p w14:paraId="3DBFE4F2" w14:textId="05BEDBF4" w:rsidR="00B21899" w:rsidRPr="00721C4A" w:rsidRDefault="00B21899" w:rsidP="00B21899">
      <w:pPr>
        <w:pStyle w:val="Default"/>
        <w:rPr>
          <w:sz w:val="26"/>
          <w:szCs w:val="26"/>
        </w:rPr>
      </w:pPr>
    </w:p>
    <w:p w14:paraId="0608D06C" w14:textId="7F4957FF" w:rsidR="00B21899" w:rsidRPr="00721C4A" w:rsidRDefault="00B21899" w:rsidP="00B21899">
      <w:pPr>
        <w:pStyle w:val="Default"/>
        <w:rPr>
          <w:sz w:val="26"/>
          <w:szCs w:val="26"/>
        </w:rPr>
      </w:pPr>
      <w:r w:rsidRPr="00721C4A">
        <w:rPr>
          <w:sz w:val="26"/>
          <w:szCs w:val="26"/>
          <w:u w:val="single"/>
        </w:rPr>
        <w:t>Issue 5</w:t>
      </w:r>
      <w:r w:rsidRPr="00721C4A">
        <w:rPr>
          <w:sz w:val="26"/>
          <w:szCs w:val="26"/>
        </w:rPr>
        <w:t xml:space="preserve">: The </w:t>
      </w:r>
      <w:r w:rsidR="00AF09AF" w:rsidRPr="00721C4A">
        <w:rPr>
          <w:sz w:val="26"/>
          <w:szCs w:val="26"/>
        </w:rPr>
        <w:t>Prior Act Instructions</w:t>
      </w:r>
    </w:p>
    <w:p w14:paraId="2E35823C" w14:textId="55D2080B" w:rsidR="00B21899" w:rsidRPr="00721C4A" w:rsidRDefault="00B21899" w:rsidP="00B21899">
      <w:pPr>
        <w:pStyle w:val="Default"/>
        <w:rPr>
          <w:sz w:val="26"/>
          <w:szCs w:val="26"/>
        </w:rPr>
      </w:pPr>
    </w:p>
    <w:p w14:paraId="132BEEF9" w14:textId="7C38BC9D" w:rsidR="00B21899" w:rsidRPr="00721C4A" w:rsidRDefault="00AF09AF" w:rsidP="00C42384">
      <w:pPr>
        <w:pStyle w:val="Default"/>
        <w:rPr>
          <w:rFonts w:cs="Times New Roman"/>
          <w:sz w:val="26"/>
          <w:szCs w:val="26"/>
        </w:rPr>
      </w:pPr>
      <w:r w:rsidRPr="00721C4A">
        <w:rPr>
          <w:sz w:val="26"/>
          <w:szCs w:val="26"/>
        </w:rPr>
        <w:t xml:space="preserve">The trial court provided an instruction for how the jury should treat the prior incident where Hamilton was found not guilty of the sex assault but guilty of kidnapping.  </w:t>
      </w:r>
      <w:r w:rsidR="00C42384" w:rsidRPr="00721C4A">
        <w:rPr>
          <w:sz w:val="26"/>
          <w:szCs w:val="26"/>
        </w:rPr>
        <w:t>It is referred to as "the acquittal instruction" and stated</w:t>
      </w:r>
      <w:r w:rsidR="00B21899" w:rsidRPr="00721C4A">
        <w:rPr>
          <w:rFonts w:cs="Times New Roman"/>
          <w:sz w:val="26"/>
          <w:szCs w:val="26"/>
        </w:rPr>
        <w:t xml:space="preserve">, in relevant part: </w:t>
      </w:r>
    </w:p>
    <w:p w14:paraId="27A8DFE7" w14:textId="14A266FB" w:rsidR="00AF09AF" w:rsidRPr="00721C4A" w:rsidRDefault="00AF09AF">
      <w:pPr>
        <w:spacing w:after="160" w:line="259" w:lineRule="auto"/>
        <w:contextualSpacing w:val="0"/>
        <w:rPr>
          <w:rFonts w:cs="Times New Roman"/>
          <w:color w:val="000000"/>
          <w:szCs w:val="26"/>
        </w:rPr>
      </w:pPr>
      <w:r w:rsidRPr="00721C4A">
        <w:rPr>
          <w:rFonts w:cs="Times New Roman"/>
          <w:szCs w:val="26"/>
        </w:rPr>
        <w:br w:type="page"/>
      </w:r>
    </w:p>
    <w:p w14:paraId="423CACC4" w14:textId="0DF48A53" w:rsidR="00C42384" w:rsidRPr="00721C4A" w:rsidRDefault="00C42384" w:rsidP="00C42384">
      <w:pPr>
        <w:pStyle w:val="BlockQuote"/>
        <w:rPr>
          <w:szCs w:val="26"/>
        </w:rPr>
      </w:pPr>
      <w:r w:rsidRPr="00721C4A">
        <w:rPr>
          <w:szCs w:val="26"/>
        </w:rPr>
        <w:lastRenderedPageBreak/>
        <w:t xml:space="preserve">The Defendant, Rayon Hamilton, was acquitted (or found not guilty) of sexually assaulting [M.D.]. He was convicted of kidnapping [M.D.]. </w:t>
      </w:r>
    </w:p>
    <w:p w14:paraId="796B53F0" w14:textId="77777777" w:rsidR="00C42384" w:rsidRPr="00721C4A" w:rsidRDefault="00C42384" w:rsidP="00C42384">
      <w:pPr>
        <w:rPr>
          <w:szCs w:val="26"/>
        </w:rPr>
      </w:pPr>
    </w:p>
    <w:p w14:paraId="283FD1E8" w14:textId="2CBCAC21" w:rsidR="00B21899" w:rsidRPr="00721C4A" w:rsidRDefault="00C42384" w:rsidP="00C42384">
      <w:pPr>
        <w:pStyle w:val="BlockQuote"/>
        <w:rPr>
          <w:szCs w:val="26"/>
        </w:rPr>
      </w:pPr>
      <w:r w:rsidRPr="00721C4A">
        <w:rPr>
          <w:szCs w:val="26"/>
        </w:rPr>
        <w:t>You, the jurors in this case, should not necessarily presume that because Mr. Hamilton was found guilty by a previous jury that the Defendant was factually guilty but rather that a previous jury determined that the state proved his guilt beyond a reasonable doubt. Similarly, you should not necessarily presume that because Mr. Hamilton was found not guilty of prior acts by a previous jury that the Defendant was factually innocent, but rather that the previous jury determined for whatever reason that the state failed to prove his guilt beyond a reasonable doubt.</w:t>
      </w:r>
    </w:p>
    <w:p w14:paraId="02490F1F" w14:textId="2BEF772F" w:rsidR="0065480A" w:rsidRPr="00721C4A" w:rsidRDefault="0065480A" w:rsidP="0065480A">
      <w:pPr>
        <w:pStyle w:val="Default"/>
        <w:rPr>
          <w:sz w:val="26"/>
          <w:szCs w:val="26"/>
        </w:rPr>
      </w:pPr>
    </w:p>
    <w:p w14:paraId="427C5B8D" w14:textId="7CB41A41" w:rsidR="0065480A" w:rsidRPr="00721C4A" w:rsidRDefault="00C42384" w:rsidP="0065480A">
      <w:pPr>
        <w:pStyle w:val="Default"/>
        <w:rPr>
          <w:sz w:val="26"/>
          <w:szCs w:val="26"/>
        </w:rPr>
      </w:pPr>
      <w:r w:rsidRPr="00721C4A">
        <w:rPr>
          <w:sz w:val="26"/>
          <w:szCs w:val="26"/>
          <w:u w:val="single"/>
        </w:rPr>
        <w:t>Part A</w:t>
      </w:r>
      <w:r w:rsidRPr="00721C4A">
        <w:rPr>
          <w:sz w:val="26"/>
          <w:szCs w:val="26"/>
        </w:rPr>
        <w:t xml:space="preserve">: </w:t>
      </w:r>
      <w:r w:rsidR="00257966" w:rsidRPr="00721C4A">
        <w:rPr>
          <w:sz w:val="26"/>
          <w:szCs w:val="26"/>
        </w:rPr>
        <w:t>"Factually Innocent"</w:t>
      </w:r>
    </w:p>
    <w:p w14:paraId="05793010" w14:textId="77777777" w:rsidR="00C42384" w:rsidRPr="00721C4A" w:rsidRDefault="00C42384" w:rsidP="00C42384">
      <w:pPr>
        <w:pStyle w:val="Default"/>
        <w:rPr>
          <w:sz w:val="26"/>
          <w:szCs w:val="26"/>
        </w:rPr>
      </w:pPr>
    </w:p>
    <w:p w14:paraId="220C4C16" w14:textId="0B0F1F61" w:rsidR="00257966" w:rsidRPr="00721C4A" w:rsidRDefault="00C42384" w:rsidP="00257966">
      <w:pPr>
        <w:pStyle w:val="Default"/>
        <w:rPr>
          <w:sz w:val="26"/>
          <w:szCs w:val="26"/>
        </w:rPr>
      </w:pPr>
      <w:r w:rsidRPr="00721C4A">
        <w:rPr>
          <w:sz w:val="26"/>
          <w:szCs w:val="26"/>
        </w:rPr>
        <w:t xml:space="preserve">Hamilton argued that </w:t>
      </w:r>
      <w:r w:rsidR="00AF09AF" w:rsidRPr="00721C4A">
        <w:rPr>
          <w:sz w:val="26"/>
          <w:szCs w:val="26"/>
        </w:rPr>
        <w:t xml:space="preserve">telling the jury that they </w:t>
      </w:r>
      <w:r w:rsidRPr="00721C4A">
        <w:rPr>
          <w:sz w:val="26"/>
          <w:szCs w:val="26"/>
        </w:rPr>
        <w:t xml:space="preserve">should not presume he was “factually innocent” of sexually assaulting M.D. trivialized the presumption of innocence. </w:t>
      </w:r>
      <w:r w:rsidR="00257966" w:rsidRPr="00721C4A">
        <w:rPr>
          <w:sz w:val="26"/>
          <w:szCs w:val="26"/>
        </w:rPr>
        <w:t>The</w:t>
      </w:r>
      <w:r w:rsidR="00AF09AF" w:rsidRPr="00721C4A">
        <w:rPr>
          <w:sz w:val="26"/>
          <w:szCs w:val="26"/>
        </w:rPr>
        <w:t xml:space="preserve">COA found no </w:t>
      </w:r>
      <w:r w:rsidR="00257966" w:rsidRPr="00721C4A">
        <w:rPr>
          <w:sz w:val="26"/>
          <w:szCs w:val="26"/>
        </w:rPr>
        <w:t xml:space="preserve">error since the language mirrored that approved by the Supreme Court in </w:t>
      </w:r>
      <w:r w:rsidR="00257966" w:rsidRPr="00721C4A">
        <w:rPr>
          <w:i/>
          <w:iCs/>
          <w:sz w:val="26"/>
          <w:szCs w:val="26"/>
        </w:rPr>
        <w:t>Kinney v. People</w:t>
      </w:r>
      <w:r w:rsidR="00257966" w:rsidRPr="00721C4A">
        <w:rPr>
          <w:sz w:val="26"/>
          <w:szCs w:val="26"/>
        </w:rPr>
        <w:t>, 187 P.3d 548, 554 (Colo. 2008).</w:t>
      </w:r>
    </w:p>
    <w:p w14:paraId="69E767E0" w14:textId="27D5B299" w:rsidR="00257966" w:rsidRPr="00721C4A" w:rsidRDefault="00257966" w:rsidP="00257966">
      <w:pPr>
        <w:pStyle w:val="Default"/>
        <w:rPr>
          <w:sz w:val="26"/>
          <w:szCs w:val="26"/>
        </w:rPr>
      </w:pPr>
      <w:r w:rsidRPr="00721C4A">
        <w:rPr>
          <w:i/>
          <w:iCs/>
          <w:sz w:val="26"/>
          <w:szCs w:val="26"/>
        </w:rPr>
        <w:t xml:space="preserve"> </w:t>
      </w:r>
    </w:p>
    <w:p w14:paraId="15357B94" w14:textId="03FA9FDB" w:rsidR="00C42384" w:rsidRPr="00721C4A" w:rsidRDefault="00257966" w:rsidP="00C42384">
      <w:pPr>
        <w:pStyle w:val="Default"/>
        <w:rPr>
          <w:sz w:val="26"/>
          <w:szCs w:val="26"/>
        </w:rPr>
      </w:pPr>
      <w:r w:rsidRPr="00721C4A">
        <w:rPr>
          <w:sz w:val="26"/>
          <w:szCs w:val="26"/>
          <w:u w:val="single"/>
        </w:rPr>
        <w:t>Part B</w:t>
      </w:r>
      <w:r w:rsidRPr="00721C4A">
        <w:rPr>
          <w:sz w:val="26"/>
          <w:szCs w:val="26"/>
        </w:rPr>
        <w:t>: Prior conviction instructions</w:t>
      </w:r>
    </w:p>
    <w:p w14:paraId="40D34051" w14:textId="03574044" w:rsidR="00257966" w:rsidRPr="00721C4A" w:rsidRDefault="00257966" w:rsidP="00C42384">
      <w:pPr>
        <w:pStyle w:val="Default"/>
        <w:rPr>
          <w:sz w:val="26"/>
          <w:szCs w:val="26"/>
        </w:rPr>
      </w:pPr>
    </w:p>
    <w:p w14:paraId="5CE7DFE3" w14:textId="03EEA948" w:rsidR="00CE5CC5" w:rsidRPr="00721C4A" w:rsidRDefault="00257966" w:rsidP="00CE5CC5">
      <w:pPr>
        <w:pStyle w:val="Default"/>
        <w:rPr>
          <w:sz w:val="26"/>
          <w:szCs w:val="26"/>
        </w:rPr>
      </w:pPr>
      <w:r w:rsidRPr="00721C4A">
        <w:rPr>
          <w:sz w:val="26"/>
          <w:szCs w:val="26"/>
        </w:rPr>
        <w:t xml:space="preserve">In addition to the above instruction, the court </w:t>
      </w:r>
      <w:r w:rsidR="00CE5CC5" w:rsidRPr="00721C4A">
        <w:rPr>
          <w:sz w:val="26"/>
          <w:szCs w:val="26"/>
        </w:rPr>
        <w:t>separ</w:t>
      </w:r>
      <w:r w:rsidR="00AF09AF" w:rsidRPr="00721C4A">
        <w:rPr>
          <w:sz w:val="26"/>
          <w:szCs w:val="26"/>
        </w:rPr>
        <w:t>a</w:t>
      </w:r>
      <w:r w:rsidR="00CE5CC5" w:rsidRPr="00721C4A">
        <w:rPr>
          <w:sz w:val="26"/>
          <w:szCs w:val="26"/>
        </w:rPr>
        <w:t>tely</w:t>
      </w:r>
      <w:r w:rsidRPr="00721C4A">
        <w:rPr>
          <w:sz w:val="26"/>
          <w:szCs w:val="26"/>
        </w:rPr>
        <w:t xml:space="preserve"> </w:t>
      </w:r>
      <w:r w:rsidR="00CE5CC5" w:rsidRPr="00721C4A">
        <w:rPr>
          <w:sz w:val="26"/>
          <w:szCs w:val="26"/>
        </w:rPr>
        <w:t>instructed the jury that they could consider Hamilton's prior conviction to assess his credibility.  Which was appropriate since he testified and defense counsel elicited testimony from Hamilton that he was found not guilty of sexual</w:t>
      </w:r>
      <w:r w:rsidR="00AF09AF" w:rsidRPr="00721C4A">
        <w:rPr>
          <w:sz w:val="26"/>
          <w:szCs w:val="26"/>
        </w:rPr>
        <w:t>ly</w:t>
      </w:r>
      <w:r w:rsidR="00CE5CC5" w:rsidRPr="00721C4A">
        <w:rPr>
          <w:sz w:val="26"/>
          <w:szCs w:val="26"/>
        </w:rPr>
        <w:t xml:space="preserve"> assaulting </w:t>
      </w:r>
      <w:r w:rsidR="00AF09AF" w:rsidRPr="00721C4A">
        <w:rPr>
          <w:sz w:val="26"/>
          <w:szCs w:val="26"/>
        </w:rPr>
        <w:t>M.D.</w:t>
      </w:r>
      <w:r w:rsidR="00CE5CC5" w:rsidRPr="00721C4A">
        <w:rPr>
          <w:sz w:val="26"/>
          <w:szCs w:val="26"/>
        </w:rPr>
        <w:t xml:space="preserve"> but was found guilty of kidnapping </w:t>
      </w:r>
      <w:r w:rsidR="00AF09AF" w:rsidRPr="00721C4A">
        <w:rPr>
          <w:sz w:val="26"/>
          <w:szCs w:val="26"/>
        </w:rPr>
        <w:t>her.</w:t>
      </w:r>
      <w:r w:rsidR="00CE5CC5" w:rsidRPr="00721C4A">
        <w:rPr>
          <w:sz w:val="26"/>
          <w:szCs w:val="26"/>
        </w:rPr>
        <w:t xml:space="preserve"> </w:t>
      </w:r>
    </w:p>
    <w:p w14:paraId="1120FA76" w14:textId="39353611" w:rsidR="00CE5CC5" w:rsidRPr="00721C4A" w:rsidRDefault="00CE5CC5" w:rsidP="00CE5CC5">
      <w:pPr>
        <w:pStyle w:val="Default"/>
        <w:rPr>
          <w:sz w:val="26"/>
          <w:szCs w:val="26"/>
        </w:rPr>
      </w:pPr>
    </w:p>
    <w:p w14:paraId="00468B65" w14:textId="3F16A018" w:rsidR="00CE5CC5" w:rsidRPr="00721C4A" w:rsidRDefault="00CE5CC5" w:rsidP="00CE5CC5">
      <w:pPr>
        <w:pStyle w:val="Default"/>
        <w:rPr>
          <w:sz w:val="26"/>
          <w:szCs w:val="26"/>
        </w:rPr>
      </w:pPr>
      <w:r w:rsidRPr="00721C4A">
        <w:rPr>
          <w:sz w:val="26"/>
          <w:szCs w:val="26"/>
        </w:rPr>
        <w:t xml:space="preserve">But the COA found the district court erred </w:t>
      </w:r>
      <w:r w:rsidR="00AF09AF" w:rsidRPr="00721C4A">
        <w:rPr>
          <w:sz w:val="26"/>
          <w:szCs w:val="26"/>
        </w:rPr>
        <w:t>by</w:t>
      </w:r>
      <w:r w:rsidRPr="00721C4A">
        <w:rPr>
          <w:sz w:val="26"/>
          <w:szCs w:val="26"/>
        </w:rPr>
        <w:t xml:space="preserve"> adding language to the acquittal instruction</w:t>
      </w:r>
      <w:r w:rsidR="00AF09AF" w:rsidRPr="00721C4A">
        <w:rPr>
          <w:sz w:val="26"/>
          <w:szCs w:val="26"/>
        </w:rPr>
        <w:t xml:space="preserve"> explaining how the jury should treat the kidnapping conviction;</w:t>
      </w:r>
      <w:r w:rsidRPr="00721C4A">
        <w:rPr>
          <w:sz w:val="26"/>
          <w:szCs w:val="26"/>
        </w:rPr>
        <w:t xml:space="preserve"> for four reasons</w:t>
      </w:r>
      <w:r w:rsidR="00AF09AF" w:rsidRPr="00721C4A">
        <w:rPr>
          <w:sz w:val="26"/>
          <w:szCs w:val="26"/>
        </w:rPr>
        <w:t>:</w:t>
      </w:r>
    </w:p>
    <w:p w14:paraId="620890AF" w14:textId="77777777" w:rsidR="00AF09AF" w:rsidRPr="00721C4A" w:rsidRDefault="00AF09AF" w:rsidP="00CE5CC5">
      <w:pPr>
        <w:pStyle w:val="Default"/>
        <w:rPr>
          <w:sz w:val="26"/>
          <w:szCs w:val="26"/>
        </w:rPr>
      </w:pPr>
    </w:p>
    <w:p w14:paraId="0193DAE4" w14:textId="77777777" w:rsidR="00AF09AF" w:rsidRPr="00721C4A" w:rsidRDefault="001E346F" w:rsidP="00CE5CC5">
      <w:pPr>
        <w:pStyle w:val="Default"/>
        <w:rPr>
          <w:sz w:val="26"/>
          <w:szCs w:val="26"/>
        </w:rPr>
      </w:pPr>
      <w:r w:rsidRPr="00721C4A">
        <w:rPr>
          <w:sz w:val="26"/>
          <w:szCs w:val="26"/>
        </w:rPr>
        <w:t xml:space="preserve">1. The language did not mention credibility.  </w:t>
      </w:r>
    </w:p>
    <w:p w14:paraId="77F67638" w14:textId="1DE1387D" w:rsidR="00AF09AF" w:rsidRPr="00721C4A" w:rsidRDefault="001E346F" w:rsidP="00CE5CC5">
      <w:pPr>
        <w:pStyle w:val="Default"/>
        <w:rPr>
          <w:sz w:val="26"/>
          <w:szCs w:val="26"/>
        </w:rPr>
      </w:pPr>
      <w:r w:rsidRPr="00721C4A">
        <w:rPr>
          <w:sz w:val="26"/>
          <w:szCs w:val="26"/>
        </w:rPr>
        <w:t>2. The language was a second reference to his prior conviction that unduly emphasized th</w:t>
      </w:r>
      <w:r w:rsidR="00AF09AF" w:rsidRPr="00721C4A">
        <w:rPr>
          <w:sz w:val="26"/>
          <w:szCs w:val="26"/>
        </w:rPr>
        <w:t>is</w:t>
      </w:r>
      <w:r w:rsidRPr="00721C4A">
        <w:rPr>
          <w:sz w:val="26"/>
          <w:szCs w:val="26"/>
        </w:rPr>
        <w:t xml:space="preserve"> fact. </w:t>
      </w:r>
    </w:p>
    <w:p w14:paraId="4ABB009C" w14:textId="77777777" w:rsidR="00AF09AF" w:rsidRPr="00721C4A" w:rsidRDefault="001E346F" w:rsidP="00CE5CC5">
      <w:pPr>
        <w:pStyle w:val="Default"/>
        <w:rPr>
          <w:sz w:val="26"/>
          <w:szCs w:val="26"/>
        </w:rPr>
      </w:pPr>
      <w:r w:rsidRPr="00721C4A">
        <w:rPr>
          <w:sz w:val="26"/>
          <w:szCs w:val="26"/>
        </w:rPr>
        <w:t>3. There is no</w:t>
      </w:r>
      <w:r w:rsidR="00AE5CAB" w:rsidRPr="00721C4A">
        <w:rPr>
          <w:sz w:val="26"/>
          <w:szCs w:val="26"/>
        </w:rPr>
        <w:t xml:space="preserve"> reason for the language. </w:t>
      </w:r>
    </w:p>
    <w:p w14:paraId="57C53E0E" w14:textId="2AC326B6" w:rsidR="001E346F" w:rsidRPr="00721C4A" w:rsidRDefault="00AE5CAB" w:rsidP="00CE5CC5">
      <w:pPr>
        <w:pStyle w:val="Default"/>
        <w:rPr>
          <w:sz w:val="26"/>
          <w:szCs w:val="26"/>
        </w:rPr>
      </w:pPr>
      <w:r w:rsidRPr="00721C4A">
        <w:rPr>
          <w:sz w:val="26"/>
          <w:szCs w:val="26"/>
        </w:rPr>
        <w:t xml:space="preserve">4. The language was illogical </w:t>
      </w:r>
      <w:r w:rsidR="00AF09AF" w:rsidRPr="00721C4A">
        <w:rPr>
          <w:sz w:val="26"/>
          <w:szCs w:val="26"/>
        </w:rPr>
        <w:t>because</w:t>
      </w:r>
    </w:p>
    <w:p w14:paraId="0D84D428" w14:textId="77777777" w:rsidR="00AE5CAB" w:rsidRPr="00721C4A" w:rsidRDefault="00AE5CAB" w:rsidP="00AE5CAB">
      <w:pPr>
        <w:pStyle w:val="Default"/>
        <w:rPr>
          <w:sz w:val="26"/>
          <w:szCs w:val="26"/>
        </w:rPr>
      </w:pPr>
    </w:p>
    <w:p w14:paraId="5A724134" w14:textId="106D5975" w:rsidR="00AE5CAB" w:rsidRPr="00721C4A" w:rsidRDefault="00AE5CAB" w:rsidP="00AE5CAB">
      <w:pPr>
        <w:pStyle w:val="BlockQuote"/>
        <w:rPr>
          <w:szCs w:val="26"/>
        </w:rPr>
      </w:pPr>
      <w:r w:rsidRPr="00721C4A">
        <w:rPr>
          <w:szCs w:val="26"/>
        </w:rPr>
        <w:lastRenderedPageBreak/>
        <w:t xml:space="preserve">It told the jury that Hamilton may have been convicted of kidnapping M.D. even though he was not “factually guilty” of the crime, because the previous jury determined that the state had proved his guilt beyond a reasonable doubt. Although the district court surely did not intend to suggest that the earlier conviction was a miscarriage of justice, the jurors may have questioned how a jury could convict a defendant of an offense of which the defendant was not “factually guilty.” Further, a literal reading of the instruction suggested that the jury could convict Hamilton even if he was not “factually guilty” of sexually assaulting J.F. </w:t>
      </w:r>
    </w:p>
    <w:p w14:paraId="3BCBBF13" w14:textId="77777777" w:rsidR="00AE5CAB" w:rsidRPr="00721C4A" w:rsidRDefault="00AE5CAB" w:rsidP="00AE5CAB">
      <w:pPr>
        <w:pStyle w:val="Default"/>
        <w:rPr>
          <w:sz w:val="26"/>
          <w:szCs w:val="26"/>
        </w:rPr>
      </w:pPr>
    </w:p>
    <w:p w14:paraId="67B42EE9" w14:textId="6803224F" w:rsidR="00FB527D" w:rsidRDefault="00FB527D">
      <w:pPr>
        <w:rPr>
          <w:i/>
          <w:szCs w:val="26"/>
        </w:rPr>
      </w:pPr>
    </w:p>
    <w:p w14:paraId="5B482450" w14:textId="79A5F550" w:rsidR="00721C4A" w:rsidRDefault="00721C4A">
      <w:pPr>
        <w:rPr>
          <w:i/>
          <w:szCs w:val="26"/>
        </w:rPr>
      </w:pPr>
    </w:p>
    <w:p w14:paraId="6EC0FF9C" w14:textId="77777777" w:rsidR="00721C4A" w:rsidRPr="00721C4A" w:rsidRDefault="00721C4A">
      <w:pPr>
        <w:rPr>
          <w:i/>
          <w:szCs w:val="26"/>
        </w:rPr>
      </w:pPr>
    </w:p>
    <w:p w14:paraId="2FC13446" w14:textId="481E1D6C" w:rsidR="00FB527D" w:rsidRPr="00721C4A" w:rsidRDefault="00FB527D">
      <w:pPr>
        <w:rPr>
          <w:szCs w:val="26"/>
        </w:rPr>
      </w:pPr>
      <w:r w:rsidRPr="00721C4A">
        <w:rPr>
          <w:i/>
          <w:iCs/>
          <w:szCs w:val="26"/>
        </w:rPr>
        <w:t>People v. Bott</w:t>
      </w:r>
      <w:r w:rsidRPr="00721C4A">
        <w:rPr>
          <w:szCs w:val="26"/>
        </w:rPr>
        <w:t xml:space="preserve">, </w:t>
      </w:r>
      <w:r w:rsidR="008E0122" w:rsidRPr="00721C4A">
        <w:rPr>
          <w:szCs w:val="26"/>
        </w:rPr>
        <w:t>2019COA100</w:t>
      </w:r>
      <w:r w:rsidRPr="00721C4A">
        <w:rPr>
          <w:szCs w:val="26"/>
        </w:rPr>
        <w:t xml:space="preserve"> (July 3, 2019)</w:t>
      </w:r>
      <w:r w:rsidR="008E0122" w:rsidRPr="00721C4A">
        <w:rPr>
          <w:szCs w:val="26"/>
        </w:rPr>
        <w:t xml:space="preserve"> Harris, </w:t>
      </w:r>
      <w:r w:rsidR="004F4829" w:rsidRPr="00721C4A">
        <w:rPr>
          <w:szCs w:val="26"/>
        </w:rPr>
        <w:t>vacating in part</w:t>
      </w:r>
    </w:p>
    <w:p w14:paraId="465BA58E" w14:textId="44EB12F3" w:rsidR="004F4829" w:rsidRPr="00721C4A" w:rsidRDefault="004F4829">
      <w:pPr>
        <w:rPr>
          <w:szCs w:val="26"/>
        </w:rPr>
      </w:pPr>
    </w:p>
    <w:p w14:paraId="18ECB2EF" w14:textId="5ABAC3E2" w:rsidR="00DD49B3" w:rsidRPr="00721C4A" w:rsidRDefault="00DD49B3" w:rsidP="00DD49B3">
      <w:pPr>
        <w:pStyle w:val="Default"/>
        <w:rPr>
          <w:sz w:val="26"/>
          <w:szCs w:val="26"/>
        </w:rPr>
      </w:pPr>
      <w:r w:rsidRPr="00721C4A">
        <w:rPr>
          <w:sz w:val="26"/>
          <w:szCs w:val="26"/>
        </w:rPr>
        <w:t xml:space="preserve">In 2010, Bott was in sex offender treatment due to an unrelated F6 sex offense. </w:t>
      </w:r>
      <w:r w:rsidR="00C74FA1" w:rsidRPr="00721C4A">
        <w:rPr>
          <w:sz w:val="26"/>
          <w:szCs w:val="26"/>
        </w:rPr>
        <w:t xml:space="preserve"> </w:t>
      </w:r>
      <w:r w:rsidRPr="00721C4A">
        <w:rPr>
          <w:sz w:val="26"/>
          <w:szCs w:val="26"/>
        </w:rPr>
        <w:t xml:space="preserve">His therapist kept telling </w:t>
      </w:r>
      <w:r w:rsidR="00C74FA1" w:rsidRPr="00721C4A">
        <w:rPr>
          <w:sz w:val="26"/>
          <w:szCs w:val="26"/>
        </w:rPr>
        <w:t xml:space="preserve">Bott </w:t>
      </w:r>
      <w:r w:rsidRPr="00721C4A">
        <w:rPr>
          <w:sz w:val="26"/>
          <w:szCs w:val="26"/>
        </w:rPr>
        <w:t xml:space="preserve">that </w:t>
      </w:r>
      <w:r w:rsidR="00C74FA1" w:rsidRPr="00721C4A">
        <w:rPr>
          <w:sz w:val="26"/>
          <w:szCs w:val="26"/>
        </w:rPr>
        <w:t>he</w:t>
      </w:r>
      <w:r w:rsidRPr="00721C4A">
        <w:rPr>
          <w:sz w:val="26"/>
          <w:szCs w:val="26"/>
        </w:rPr>
        <w:t xml:space="preserve"> was not making progress in treatment because </w:t>
      </w:r>
      <w:r w:rsidR="00C74FA1" w:rsidRPr="00721C4A">
        <w:rPr>
          <w:sz w:val="26"/>
          <w:szCs w:val="26"/>
        </w:rPr>
        <w:t xml:space="preserve">Bott refused to say </w:t>
      </w:r>
      <w:r w:rsidRPr="00721C4A">
        <w:rPr>
          <w:sz w:val="26"/>
          <w:szCs w:val="26"/>
        </w:rPr>
        <w:t xml:space="preserve">he molested his daughter – who had nothing to do with the f6 sexual assault.  Apparently, the therapist </w:t>
      </w:r>
      <w:r w:rsidR="00C74FA1" w:rsidRPr="00721C4A">
        <w:rPr>
          <w:sz w:val="26"/>
          <w:szCs w:val="26"/>
        </w:rPr>
        <w:t xml:space="preserve">assumed </w:t>
      </w:r>
      <w:r w:rsidRPr="00721C4A">
        <w:rPr>
          <w:sz w:val="26"/>
          <w:szCs w:val="26"/>
        </w:rPr>
        <w:t>he sexually molested her.  Finally, the therapist threatened to kick Bott out of therapy and refer</w:t>
      </w:r>
      <w:r w:rsidR="00C74FA1" w:rsidRPr="00721C4A">
        <w:rPr>
          <w:sz w:val="26"/>
          <w:szCs w:val="26"/>
        </w:rPr>
        <w:t xml:space="preserve"> him</w:t>
      </w:r>
      <w:r w:rsidRPr="00721C4A">
        <w:rPr>
          <w:sz w:val="26"/>
          <w:szCs w:val="26"/>
        </w:rPr>
        <w:t xml:space="preserve"> to the court for "consequences" including incarceration</w:t>
      </w:r>
      <w:r w:rsidR="00C74FA1" w:rsidRPr="00721C4A">
        <w:rPr>
          <w:sz w:val="26"/>
          <w:szCs w:val="26"/>
        </w:rPr>
        <w:t xml:space="preserve"> if he did not admit he sexually abused his daughter.</w:t>
      </w:r>
      <w:r w:rsidRPr="00721C4A">
        <w:rPr>
          <w:sz w:val="26"/>
          <w:szCs w:val="26"/>
        </w:rPr>
        <w:t xml:space="preserve">  At which point, Bott filled out a questionnaire stating that after his daughter was born in 2004 he regularly “sexually abused [her] while changing her diaper,” by “rubb[ing] [her] vulva and buttocks with [his] fingers.” The therapist reported the admission to the police, but they declined to file charges. </w:t>
      </w:r>
    </w:p>
    <w:p w14:paraId="14F92490" w14:textId="34FC7557" w:rsidR="00DD49B3" w:rsidRPr="00721C4A" w:rsidRDefault="00DD49B3" w:rsidP="00DD49B3">
      <w:pPr>
        <w:pStyle w:val="Default"/>
        <w:rPr>
          <w:sz w:val="26"/>
          <w:szCs w:val="26"/>
        </w:rPr>
      </w:pPr>
    </w:p>
    <w:p w14:paraId="180834C8" w14:textId="49F9A57E" w:rsidR="00FA0F35" w:rsidRPr="00721C4A" w:rsidRDefault="00DD49B3" w:rsidP="00FA0F35">
      <w:pPr>
        <w:pStyle w:val="Default"/>
        <w:rPr>
          <w:sz w:val="26"/>
          <w:szCs w:val="26"/>
        </w:rPr>
      </w:pPr>
      <w:r w:rsidRPr="00721C4A">
        <w:rPr>
          <w:sz w:val="26"/>
          <w:szCs w:val="26"/>
        </w:rPr>
        <w:t xml:space="preserve">In 2014, after Bott was terminated from treatment, incarcerated and released from parole, </w:t>
      </w:r>
      <w:r w:rsidR="00FA0F35" w:rsidRPr="00721C4A">
        <w:rPr>
          <w:sz w:val="26"/>
          <w:szCs w:val="26"/>
        </w:rPr>
        <w:t xml:space="preserve">police searched his computer and found nearly 300 images of child pornography and the questionnaire he filled out admitting to sexually abusing his daughter.  The state charged him with five counts of sexual assault on a child, twelve counts of sexual exploitation of a child (each count correlating to possession of more than twenty images of child pornography), and another three counts of sexual exploitation of a child (distribution of child pornography). </w:t>
      </w:r>
    </w:p>
    <w:p w14:paraId="094EBE4D" w14:textId="77777777" w:rsidR="00C74FA1" w:rsidRPr="00721C4A" w:rsidRDefault="00C74FA1" w:rsidP="00FA0F35">
      <w:pPr>
        <w:pStyle w:val="Default"/>
        <w:rPr>
          <w:sz w:val="26"/>
          <w:szCs w:val="26"/>
        </w:rPr>
      </w:pPr>
    </w:p>
    <w:p w14:paraId="10C6B63F" w14:textId="77777777" w:rsidR="00721C4A" w:rsidRDefault="00721C4A">
      <w:pPr>
        <w:spacing w:after="160" w:line="259" w:lineRule="auto"/>
        <w:contextualSpacing w:val="0"/>
        <w:rPr>
          <w:rFonts w:cs="Bookman Old Style"/>
          <w:color w:val="000000"/>
          <w:szCs w:val="26"/>
        </w:rPr>
      </w:pPr>
      <w:r>
        <w:rPr>
          <w:szCs w:val="26"/>
        </w:rPr>
        <w:br w:type="page"/>
      </w:r>
    </w:p>
    <w:p w14:paraId="214543AD" w14:textId="7D1B061E" w:rsidR="00FA0F35" w:rsidRPr="00721C4A" w:rsidRDefault="00FA0F35" w:rsidP="00FA0F35">
      <w:pPr>
        <w:pStyle w:val="Default"/>
        <w:rPr>
          <w:sz w:val="26"/>
          <w:szCs w:val="26"/>
        </w:rPr>
      </w:pPr>
      <w:r w:rsidRPr="00721C4A">
        <w:rPr>
          <w:sz w:val="26"/>
          <w:szCs w:val="26"/>
        </w:rPr>
        <w:lastRenderedPageBreak/>
        <w:t xml:space="preserve">At trial, the only evidence adduced to support the sex assault on a child counts was (1) Bott’s written confession; (2) the therapist’s testimony concerning the circumstances surrounding the confession; (3) the ex-wife’s testimony that Bott regularly changed their daughter’s diaper during the relevant period; and (4) the images of child pornography found on Bott’s computer in 2014. The jury convicted Bott of all charges. </w:t>
      </w:r>
    </w:p>
    <w:p w14:paraId="2D562BA6" w14:textId="5DD543DD" w:rsidR="00FA0F35" w:rsidRPr="00721C4A" w:rsidRDefault="00FA0F35" w:rsidP="00FA0F35">
      <w:pPr>
        <w:pStyle w:val="Default"/>
        <w:rPr>
          <w:sz w:val="26"/>
          <w:szCs w:val="26"/>
        </w:rPr>
      </w:pPr>
    </w:p>
    <w:p w14:paraId="2A9A62C9" w14:textId="77777777" w:rsidR="00111500" w:rsidRDefault="00FA0F35" w:rsidP="00FA0F35">
      <w:pPr>
        <w:pStyle w:val="Default"/>
        <w:rPr>
          <w:sz w:val="26"/>
          <w:szCs w:val="26"/>
        </w:rPr>
      </w:pPr>
      <w:r w:rsidRPr="00721C4A">
        <w:rPr>
          <w:sz w:val="26"/>
          <w:szCs w:val="26"/>
          <w:u w:val="single"/>
        </w:rPr>
        <w:t>Issue</w:t>
      </w:r>
      <w:r w:rsidR="00111500">
        <w:rPr>
          <w:sz w:val="26"/>
          <w:szCs w:val="26"/>
          <w:u w:val="single"/>
        </w:rPr>
        <w:t>1</w:t>
      </w:r>
      <w:r w:rsidRPr="00721C4A">
        <w:rPr>
          <w:sz w:val="26"/>
          <w:szCs w:val="26"/>
        </w:rPr>
        <w:t>: Sufficiency of the evidence</w:t>
      </w:r>
    </w:p>
    <w:p w14:paraId="618D68BF" w14:textId="77777777" w:rsidR="00111500" w:rsidRDefault="00111500" w:rsidP="00FA0F35">
      <w:pPr>
        <w:pStyle w:val="Default"/>
        <w:rPr>
          <w:sz w:val="26"/>
          <w:szCs w:val="26"/>
        </w:rPr>
      </w:pPr>
    </w:p>
    <w:p w14:paraId="599956D7" w14:textId="2EE0203A" w:rsidR="00FA0F35" w:rsidRPr="00721C4A" w:rsidRDefault="00111500" w:rsidP="00FA0F35">
      <w:pPr>
        <w:pStyle w:val="Default"/>
        <w:rPr>
          <w:sz w:val="26"/>
          <w:szCs w:val="26"/>
        </w:rPr>
      </w:pPr>
      <w:r>
        <w:rPr>
          <w:sz w:val="26"/>
          <w:szCs w:val="26"/>
        </w:rPr>
        <w:t xml:space="preserve">Part A: </w:t>
      </w:r>
      <w:r w:rsidRPr="00111500">
        <w:rPr>
          <w:i/>
          <w:iCs/>
          <w:sz w:val="26"/>
          <w:szCs w:val="26"/>
        </w:rPr>
        <w:t>C</w:t>
      </w:r>
      <w:r w:rsidR="00C74FA1" w:rsidRPr="00721C4A">
        <w:rPr>
          <w:i/>
          <w:iCs/>
          <w:sz w:val="26"/>
          <w:szCs w:val="26"/>
        </w:rPr>
        <w:t>orpus delecti</w:t>
      </w:r>
      <w:r w:rsidR="00FA0F35" w:rsidRPr="00721C4A">
        <w:rPr>
          <w:sz w:val="26"/>
          <w:szCs w:val="26"/>
        </w:rPr>
        <w:t xml:space="preserve"> rule</w:t>
      </w:r>
    </w:p>
    <w:p w14:paraId="7787FB5C" w14:textId="576FD55F" w:rsidR="00DD49B3" w:rsidRPr="00721C4A" w:rsidRDefault="00DD49B3" w:rsidP="004F4829">
      <w:pPr>
        <w:pStyle w:val="Default"/>
        <w:rPr>
          <w:sz w:val="26"/>
          <w:szCs w:val="26"/>
        </w:rPr>
      </w:pPr>
    </w:p>
    <w:p w14:paraId="78598CA1" w14:textId="374F2BAE" w:rsidR="00A376F6" w:rsidRPr="00721C4A" w:rsidRDefault="00A376F6" w:rsidP="004F4829">
      <w:pPr>
        <w:pStyle w:val="Default"/>
        <w:rPr>
          <w:sz w:val="26"/>
          <w:szCs w:val="26"/>
        </w:rPr>
      </w:pPr>
      <w:r w:rsidRPr="00721C4A">
        <w:rPr>
          <w:sz w:val="26"/>
          <w:szCs w:val="26"/>
        </w:rPr>
        <w:t>The prosecution admitted, repeatedly, that their case hinged almost exclusively on Bott's confession to his treatment provider.  It is a near</w:t>
      </w:r>
      <w:r w:rsidR="00C74FA1" w:rsidRPr="00721C4A">
        <w:rPr>
          <w:sz w:val="26"/>
          <w:szCs w:val="26"/>
        </w:rPr>
        <w:t>-</w:t>
      </w:r>
      <w:r w:rsidRPr="00721C4A">
        <w:rPr>
          <w:sz w:val="26"/>
          <w:szCs w:val="26"/>
        </w:rPr>
        <w:t xml:space="preserve">universal principle that a person cannot be convicted based only on his uncorroborated confession.  The only question is, what type of corroboration is required.  </w:t>
      </w:r>
    </w:p>
    <w:p w14:paraId="3732E19E" w14:textId="77777777" w:rsidR="00A376F6" w:rsidRPr="00721C4A" w:rsidRDefault="00A376F6" w:rsidP="004F4829">
      <w:pPr>
        <w:pStyle w:val="Default"/>
        <w:rPr>
          <w:sz w:val="26"/>
          <w:szCs w:val="26"/>
        </w:rPr>
      </w:pPr>
    </w:p>
    <w:p w14:paraId="066A19B5" w14:textId="1D0C440A" w:rsidR="00A376F6" w:rsidRPr="00721C4A" w:rsidRDefault="00A376F6" w:rsidP="00A376F6">
      <w:pPr>
        <w:pStyle w:val="Default"/>
        <w:rPr>
          <w:sz w:val="26"/>
          <w:szCs w:val="26"/>
        </w:rPr>
      </w:pPr>
      <w:r w:rsidRPr="00721C4A">
        <w:rPr>
          <w:sz w:val="26"/>
          <w:szCs w:val="26"/>
        </w:rPr>
        <w:t xml:space="preserve">The </w:t>
      </w:r>
      <w:r w:rsidR="00C74FA1" w:rsidRPr="00721C4A">
        <w:rPr>
          <w:i/>
          <w:iCs/>
          <w:sz w:val="26"/>
          <w:szCs w:val="26"/>
        </w:rPr>
        <w:t>corpus delecti</w:t>
      </w:r>
      <w:r w:rsidRPr="00721C4A">
        <w:rPr>
          <w:sz w:val="26"/>
          <w:szCs w:val="26"/>
        </w:rPr>
        <w:t xml:space="preserve"> rule is one such corroboration requirement</w:t>
      </w:r>
      <w:r w:rsidR="00123039" w:rsidRPr="00721C4A">
        <w:rPr>
          <w:sz w:val="26"/>
          <w:szCs w:val="26"/>
        </w:rPr>
        <w:t xml:space="preserve"> and</w:t>
      </w:r>
      <w:r w:rsidRPr="00721C4A">
        <w:rPr>
          <w:sz w:val="26"/>
          <w:szCs w:val="26"/>
        </w:rPr>
        <w:t xml:space="preserve"> requires the prosecution to present independent evidence that the crime occurred. From 1872 until 2013, Colorado adhered to the corpus delicti rule. But then, in 201</w:t>
      </w:r>
      <w:r w:rsidR="00C74FA1" w:rsidRPr="00721C4A">
        <w:rPr>
          <w:sz w:val="26"/>
          <w:szCs w:val="26"/>
        </w:rPr>
        <w:t>3</w:t>
      </w:r>
      <w:r w:rsidRPr="00721C4A">
        <w:rPr>
          <w:sz w:val="26"/>
          <w:szCs w:val="26"/>
        </w:rPr>
        <w:t>, the Colorado Supreme Court abandoned the corpus delicti rule and replaced it with a “trustworthiness” standard</w:t>
      </w:r>
      <w:r w:rsidR="00C74FA1" w:rsidRPr="00721C4A">
        <w:rPr>
          <w:sz w:val="26"/>
          <w:szCs w:val="26"/>
        </w:rPr>
        <w:t xml:space="preserve"> in </w:t>
      </w:r>
      <w:r w:rsidRPr="00721C4A">
        <w:rPr>
          <w:i/>
          <w:iCs/>
          <w:sz w:val="26"/>
          <w:szCs w:val="26"/>
        </w:rPr>
        <w:t>People v. LaRosa</w:t>
      </w:r>
      <w:r w:rsidRPr="00721C4A">
        <w:rPr>
          <w:sz w:val="26"/>
          <w:szCs w:val="26"/>
        </w:rPr>
        <w:t xml:space="preserve">, 2013 CO 2. The </w:t>
      </w:r>
      <w:r w:rsidR="00123039" w:rsidRPr="00721C4A">
        <w:rPr>
          <w:i/>
          <w:iCs/>
          <w:sz w:val="26"/>
          <w:szCs w:val="26"/>
        </w:rPr>
        <w:t xml:space="preserve">LaRosa </w:t>
      </w:r>
      <w:r w:rsidRPr="00721C4A">
        <w:rPr>
          <w:sz w:val="26"/>
          <w:szCs w:val="26"/>
        </w:rPr>
        <w:t xml:space="preserve">court concluded that </w:t>
      </w:r>
      <w:r w:rsidR="00C74FA1" w:rsidRPr="00721C4A">
        <w:rPr>
          <w:sz w:val="26"/>
          <w:szCs w:val="26"/>
        </w:rPr>
        <w:t xml:space="preserve">applying the trustworthiness standard to LaRosa would violate his due process rights </w:t>
      </w:r>
      <w:r w:rsidRPr="00721C4A">
        <w:rPr>
          <w:sz w:val="26"/>
          <w:szCs w:val="26"/>
        </w:rPr>
        <w:t xml:space="preserve">because </w:t>
      </w:r>
      <w:r w:rsidR="00C74FA1" w:rsidRPr="00721C4A">
        <w:rPr>
          <w:sz w:val="26"/>
          <w:szCs w:val="26"/>
        </w:rPr>
        <w:t xml:space="preserve">he did not have fair warning that the Court would abandon the long-standing </w:t>
      </w:r>
      <w:r w:rsidR="00C74FA1" w:rsidRPr="00721C4A">
        <w:rPr>
          <w:i/>
          <w:iCs/>
          <w:sz w:val="26"/>
          <w:szCs w:val="26"/>
        </w:rPr>
        <w:t>corpus delecti</w:t>
      </w:r>
      <w:r w:rsidR="00C74FA1" w:rsidRPr="00721C4A">
        <w:rPr>
          <w:sz w:val="26"/>
          <w:szCs w:val="26"/>
        </w:rPr>
        <w:t xml:space="preserve"> rule</w:t>
      </w:r>
    </w:p>
    <w:p w14:paraId="16CF83E0" w14:textId="3202E42B" w:rsidR="00123039" w:rsidRPr="00721C4A" w:rsidRDefault="00123039" w:rsidP="00A376F6">
      <w:pPr>
        <w:pStyle w:val="Default"/>
        <w:rPr>
          <w:sz w:val="26"/>
          <w:szCs w:val="26"/>
        </w:rPr>
      </w:pPr>
    </w:p>
    <w:p w14:paraId="5EF36E8D" w14:textId="67412211" w:rsidR="00123039" w:rsidRPr="00721C4A" w:rsidRDefault="00123039" w:rsidP="00123039">
      <w:pPr>
        <w:pStyle w:val="Default"/>
        <w:rPr>
          <w:sz w:val="26"/>
          <w:szCs w:val="26"/>
        </w:rPr>
      </w:pPr>
      <w:r w:rsidRPr="00721C4A">
        <w:rPr>
          <w:sz w:val="26"/>
          <w:szCs w:val="26"/>
        </w:rPr>
        <w:t>So</w:t>
      </w:r>
      <w:r w:rsidR="00111500">
        <w:rPr>
          <w:sz w:val="26"/>
          <w:szCs w:val="26"/>
        </w:rPr>
        <w:t>,</w:t>
      </w:r>
      <w:r w:rsidRPr="00721C4A">
        <w:rPr>
          <w:sz w:val="26"/>
          <w:szCs w:val="26"/>
        </w:rPr>
        <w:t xml:space="preserve"> the question boiled down to</w:t>
      </w:r>
      <w:r w:rsidR="00C74FA1" w:rsidRPr="00721C4A">
        <w:rPr>
          <w:sz w:val="26"/>
          <w:szCs w:val="26"/>
        </w:rPr>
        <w:t>,</w:t>
      </w:r>
      <w:r w:rsidRPr="00721C4A">
        <w:rPr>
          <w:sz w:val="26"/>
          <w:szCs w:val="26"/>
        </w:rPr>
        <w:t xml:space="preserve"> whether the “corpus delicti” rule or the trustworthiness standard should apply to Bott's trial in 2015 for acts committed in 2004.  After a lengthy explanation (which I will not try to summarize) the COA agreed that the trustworthiness standard c</w:t>
      </w:r>
      <w:r w:rsidR="00C74FA1" w:rsidRPr="00721C4A">
        <w:rPr>
          <w:sz w:val="26"/>
          <w:szCs w:val="26"/>
        </w:rPr>
        <w:t xml:space="preserve">ould </w:t>
      </w:r>
      <w:r w:rsidRPr="00721C4A">
        <w:rPr>
          <w:sz w:val="26"/>
          <w:szCs w:val="26"/>
        </w:rPr>
        <w:t xml:space="preserve">not be applied retroactively to defendants, like Bott, who committed the alleged offense before the court adopted the new standard. </w:t>
      </w:r>
    </w:p>
    <w:p w14:paraId="65D5EFED" w14:textId="1AD20533" w:rsidR="00123039" w:rsidRPr="00721C4A" w:rsidRDefault="00123039" w:rsidP="00A376F6">
      <w:pPr>
        <w:pStyle w:val="Default"/>
        <w:rPr>
          <w:sz w:val="26"/>
          <w:szCs w:val="26"/>
        </w:rPr>
      </w:pPr>
    </w:p>
    <w:p w14:paraId="061E3572" w14:textId="19ACA9C9" w:rsidR="00E16028" w:rsidRPr="00721C4A" w:rsidRDefault="00111500" w:rsidP="00A376F6">
      <w:pPr>
        <w:pStyle w:val="Default"/>
        <w:rPr>
          <w:sz w:val="26"/>
          <w:szCs w:val="26"/>
        </w:rPr>
      </w:pPr>
      <w:r>
        <w:rPr>
          <w:sz w:val="26"/>
          <w:szCs w:val="26"/>
        </w:rPr>
        <w:t>Part B: M</w:t>
      </w:r>
      <w:r w:rsidR="00E16028" w:rsidRPr="00721C4A">
        <w:rPr>
          <w:sz w:val="26"/>
          <w:szCs w:val="26"/>
        </w:rPr>
        <w:t>erits</w:t>
      </w:r>
    </w:p>
    <w:p w14:paraId="20C8FDA2" w14:textId="0BAFD39E" w:rsidR="00E16028" w:rsidRPr="00721C4A" w:rsidRDefault="00E16028" w:rsidP="00A376F6">
      <w:pPr>
        <w:pStyle w:val="Default"/>
        <w:rPr>
          <w:sz w:val="26"/>
          <w:szCs w:val="26"/>
        </w:rPr>
      </w:pPr>
    </w:p>
    <w:p w14:paraId="5053F931" w14:textId="2E44EB0D" w:rsidR="00E16028" w:rsidRPr="00721C4A" w:rsidRDefault="00E16028" w:rsidP="00E16028">
      <w:pPr>
        <w:pStyle w:val="Default"/>
        <w:rPr>
          <w:sz w:val="26"/>
          <w:szCs w:val="26"/>
        </w:rPr>
      </w:pPr>
      <w:r w:rsidRPr="00721C4A">
        <w:rPr>
          <w:sz w:val="26"/>
          <w:szCs w:val="26"/>
        </w:rPr>
        <w:t xml:space="preserve">The prosecution argued there was sufficient corroboration that </w:t>
      </w:r>
      <w:r w:rsidR="00C74FA1" w:rsidRPr="00721C4A">
        <w:rPr>
          <w:sz w:val="26"/>
          <w:szCs w:val="26"/>
        </w:rPr>
        <w:t xml:space="preserve">Bott sexually assaulted his daughter </w:t>
      </w:r>
      <w:r w:rsidRPr="00721C4A">
        <w:rPr>
          <w:sz w:val="26"/>
          <w:szCs w:val="26"/>
        </w:rPr>
        <w:t xml:space="preserve">because </w:t>
      </w:r>
      <w:r w:rsidR="00C74FA1" w:rsidRPr="00721C4A">
        <w:rPr>
          <w:sz w:val="26"/>
          <w:szCs w:val="26"/>
        </w:rPr>
        <w:t xml:space="preserve">Bott </w:t>
      </w:r>
      <w:r w:rsidRPr="00721C4A">
        <w:rPr>
          <w:sz w:val="26"/>
          <w:szCs w:val="26"/>
        </w:rPr>
        <w:t>changed his daughter's diaper</w:t>
      </w:r>
      <w:r w:rsidR="00C74FA1" w:rsidRPr="00721C4A">
        <w:rPr>
          <w:sz w:val="26"/>
          <w:szCs w:val="26"/>
        </w:rPr>
        <w:t>,</w:t>
      </w:r>
      <w:r w:rsidRPr="00721C4A">
        <w:rPr>
          <w:sz w:val="26"/>
          <w:szCs w:val="26"/>
        </w:rPr>
        <w:t xml:space="preserve"> and he possessed child pornography.  The COA disagreed.</w:t>
      </w:r>
    </w:p>
    <w:p w14:paraId="4F538956" w14:textId="52C87D5C" w:rsidR="00E16028" w:rsidRPr="00721C4A" w:rsidRDefault="00E16028" w:rsidP="00E16028">
      <w:pPr>
        <w:pStyle w:val="Default"/>
        <w:rPr>
          <w:sz w:val="26"/>
          <w:szCs w:val="26"/>
        </w:rPr>
      </w:pPr>
    </w:p>
    <w:p w14:paraId="10A52CFB" w14:textId="77777777" w:rsidR="00111500" w:rsidRDefault="00111500">
      <w:pPr>
        <w:spacing w:after="160" w:line="259" w:lineRule="auto"/>
        <w:contextualSpacing w:val="0"/>
        <w:rPr>
          <w:rFonts w:cs="Bookman Old Style"/>
          <w:color w:val="000000"/>
          <w:szCs w:val="26"/>
        </w:rPr>
      </w:pPr>
      <w:r>
        <w:rPr>
          <w:szCs w:val="26"/>
        </w:rPr>
        <w:br w:type="page"/>
      </w:r>
    </w:p>
    <w:p w14:paraId="707E1972" w14:textId="0FFA4E94" w:rsidR="00E16028" w:rsidRPr="00721C4A" w:rsidRDefault="00E16028" w:rsidP="00E16028">
      <w:pPr>
        <w:pStyle w:val="Default"/>
        <w:rPr>
          <w:sz w:val="26"/>
          <w:szCs w:val="26"/>
        </w:rPr>
      </w:pPr>
      <w:r w:rsidRPr="00721C4A">
        <w:rPr>
          <w:sz w:val="26"/>
          <w:szCs w:val="26"/>
        </w:rPr>
        <w:lastRenderedPageBreak/>
        <w:t xml:space="preserve">Bott's ex-wife's testimony that he changed his daughter's diaper, at most, established an </w:t>
      </w:r>
      <w:r w:rsidRPr="00721C4A">
        <w:rPr>
          <w:i/>
          <w:iCs/>
          <w:sz w:val="26"/>
          <w:szCs w:val="26"/>
        </w:rPr>
        <w:t>opportunity</w:t>
      </w:r>
      <w:r w:rsidRPr="00721C4A">
        <w:rPr>
          <w:sz w:val="26"/>
          <w:szCs w:val="26"/>
        </w:rPr>
        <w:t xml:space="preserve"> to commit the criminal act.  But, there was no testimony that she observed any inappropriate physical touching, or that the daughter exhibited any physical or emotional manifestations of abuse.  </w:t>
      </w:r>
      <w:r w:rsidR="00C74FA1" w:rsidRPr="00721C4A">
        <w:rPr>
          <w:sz w:val="26"/>
          <w:szCs w:val="26"/>
        </w:rPr>
        <w:t xml:space="preserve">The </w:t>
      </w:r>
      <w:r w:rsidRPr="00721C4A">
        <w:rPr>
          <w:sz w:val="26"/>
          <w:szCs w:val="26"/>
        </w:rPr>
        <w:t>testimony of opportunity</w:t>
      </w:r>
      <w:r w:rsidR="00C74FA1" w:rsidRPr="00721C4A">
        <w:rPr>
          <w:sz w:val="26"/>
          <w:szCs w:val="26"/>
        </w:rPr>
        <w:t>,</w:t>
      </w:r>
      <w:r w:rsidRPr="00721C4A">
        <w:rPr>
          <w:sz w:val="26"/>
          <w:szCs w:val="26"/>
        </w:rPr>
        <w:t xml:space="preserve"> without more</w:t>
      </w:r>
      <w:r w:rsidR="00C74FA1" w:rsidRPr="00721C4A">
        <w:rPr>
          <w:sz w:val="26"/>
          <w:szCs w:val="26"/>
        </w:rPr>
        <w:t>,</w:t>
      </w:r>
      <w:r w:rsidRPr="00721C4A">
        <w:rPr>
          <w:sz w:val="26"/>
          <w:szCs w:val="26"/>
        </w:rPr>
        <w:t xml:space="preserve"> was insufficient by itself, to </w:t>
      </w:r>
      <w:r w:rsidR="00435BAD" w:rsidRPr="00721C4A">
        <w:rPr>
          <w:sz w:val="26"/>
          <w:szCs w:val="26"/>
        </w:rPr>
        <w:t xml:space="preserve">satisfy the </w:t>
      </w:r>
      <w:r w:rsidR="00C74FA1" w:rsidRPr="00721C4A">
        <w:rPr>
          <w:i/>
          <w:iCs/>
          <w:sz w:val="26"/>
          <w:szCs w:val="26"/>
        </w:rPr>
        <w:t>corpus delecti</w:t>
      </w:r>
      <w:r w:rsidR="00435BAD" w:rsidRPr="00721C4A">
        <w:rPr>
          <w:sz w:val="26"/>
          <w:szCs w:val="26"/>
        </w:rPr>
        <w:t xml:space="preserve"> requirement.</w:t>
      </w:r>
    </w:p>
    <w:p w14:paraId="447E254B" w14:textId="77777777" w:rsidR="00C74FA1" w:rsidRPr="00721C4A" w:rsidRDefault="00C74FA1" w:rsidP="00E16028">
      <w:pPr>
        <w:pStyle w:val="Default"/>
        <w:rPr>
          <w:sz w:val="26"/>
          <w:szCs w:val="26"/>
        </w:rPr>
      </w:pPr>
    </w:p>
    <w:p w14:paraId="2F22DE41" w14:textId="3A5C1F02" w:rsidR="00435BAD" w:rsidRPr="00721C4A" w:rsidRDefault="00435BAD" w:rsidP="00E16028">
      <w:pPr>
        <w:pStyle w:val="Default"/>
        <w:rPr>
          <w:sz w:val="26"/>
          <w:szCs w:val="26"/>
        </w:rPr>
      </w:pPr>
      <w:r w:rsidRPr="00721C4A">
        <w:rPr>
          <w:sz w:val="26"/>
          <w:szCs w:val="26"/>
        </w:rPr>
        <w:t xml:space="preserve">That left only the </w:t>
      </w:r>
      <w:r w:rsidR="00C74FA1" w:rsidRPr="00721C4A">
        <w:rPr>
          <w:sz w:val="26"/>
          <w:szCs w:val="26"/>
        </w:rPr>
        <w:t xml:space="preserve">possession of </w:t>
      </w:r>
      <w:r w:rsidRPr="00721C4A">
        <w:rPr>
          <w:sz w:val="26"/>
          <w:szCs w:val="26"/>
        </w:rPr>
        <w:t>child pornography</w:t>
      </w:r>
      <w:r w:rsidR="00C74FA1" w:rsidRPr="00721C4A">
        <w:rPr>
          <w:sz w:val="26"/>
          <w:szCs w:val="26"/>
        </w:rPr>
        <w:t>; which might ha</w:t>
      </w:r>
      <w:r w:rsidRPr="00721C4A">
        <w:rPr>
          <w:sz w:val="26"/>
          <w:szCs w:val="26"/>
        </w:rPr>
        <w:t>ve co</w:t>
      </w:r>
      <w:r w:rsidR="00C74FA1" w:rsidRPr="00721C4A">
        <w:rPr>
          <w:sz w:val="26"/>
          <w:szCs w:val="26"/>
        </w:rPr>
        <w:t>r</w:t>
      </w:r>
      <w:r w:rsidRPr="00721C4A">
        <w:rPr>
          <w:sz w:val="26"/>
          <w:szCs w:val="26"/>
        </w:rPr>
        <w:t xml:space="preserve">roborated </w:t>
      </w:r>
      <w:r w:rsidRPr="00721C4A">
        <w:rPr>
          <w:i/>
          <w:iCs/>
          <w:sz w:val="26"/>
          <w:szCs w:val="26"/>
        </w:rPr>
        <w:t>the confession</w:t>
      </w:r>
      <w:r w:rsidRPr="00721C4A">
        <w:rPr>
          <w:sz w:val="26"/>
          <w:szCs w:val="26"/>
        </w:rPr>
        <w:t xml:space="preserve"> under the new trustworthiness standard.  </w:t>
      </w:r>
      <w:r w:rsidR="00C74FA1" w:rsidRPr="00721C4A">
        <w:rPr>
          <w:sz w:val="26"/>
          <w:szCs w:val="26"/>
        </w:rPr>
        <w:t>But, t</w:t>
      </w:r>
      <w:r w:rsidRPr="00721C4A">
        <w:rPr>
          <w:sz w:val="26"/>
          <w:szCs w:val="26"/>
        </w:rPr>
        <w:t xml:space="preserve">he fact that he possessed child pornography in 2014 did not corroborate </w:t>
      </w:r>
      <w:r w:rsidR="00C74FA1" w:rsidRPr="00721C4A">
        <w:rPr>
          <w:sz w:val="26"/>
          <w:szCs w:val="26"/>
        </w:rPr>
        <w:t>t</w:t>
      </w:r>
      <w:r w:rsidRPr="00721C4A">
        <w:rPr>
          <w:sz w:val="26"/>
          <w:szCs w:val="26"/>
        </w:rPr>
        <w:t xml:space="preserve">he </w:t>
      </w:r>
      <w:r w:rsidR="00C74FA1" w:rsidRPr="00721C4A">
        <w:rPr>
          <w:sz w:val="26"/>
          <w:szCs w:val="26"/>
        </w:rPr>
        <w:t xml:space="preserve">alleged </w:t>
      </w:r>
      <w:r w:rsidRPr="00721C4A">
        <w:rPr>
          <w:sz w:val="26"/>
          <w:szCs w:val="26"/>
        </w:rPr>
        <w:t>sexual assaul</w:t>
      </w:r>
      <w:r w:rsidR="00C74FA1" w:rsidRPr="00721C4A">
        <w:rPr>
          <w:sz w:val="26"/>
          <w:szCs w:val="26"/>
        </w:rPr>
        <w:t xml:space="preserve">t </w:t>
      </w:r>
      <w:r w:rsidRPr="00721C4A">
        <w:rPr>
          <w:sz w:val="26"/>
          <w:szCs w:val="26"/>
        </w:rPr>
        <w:t xml:space="preserve">in 2004.  There is no evidence to support a belief that every person with an interest in child pornography is, and has always been, a child molester, specifically a molester of his own child.  </w:t>
      </w:r>
    </w:p>
    <w:p w14:paraId="242CAE50" w14:textId="77777777" w:rsidR="00435BAD" w:rsidRPr="00721C4A" w:rsidRDefault="00435BAD" w:rsidP="00435BAD">
      <w:pPr>
        <w:pStyle w:val="Default"/>
        <w:rPr>
          <w:sz w:val="26"/>
          <w:szCs w:val="26"/>
        </w:rPr>
      </w:pPr>
    </w:p>
    <w:p w14:paraId="6127F2FA" w14:textId="33681BA2" w:rsidR="00435BAD" w:rsidRPr="00721C4A" w:rsidRDefault="00435BAD" w:rsidP="00435BAD">
      <w:pPr>
        <w:pStyle w:val="Default"/>
        <w:rPr>
          <w:sz w:val="26"/>
          <w:szCs w:val="26"/>
        </w:rPr>
      </w:pPr>
      <w:r w:rsidRPr="00721C4A">
        <w:rPr>
          <w:sz w:val="26"/>
          <w:szCs w:val="26"/>
        </w:rPr>
        <w:t>Accordingly, the evidence was insufficient to sustain Bott’s convictions for sexual assault on a child</w:t>
      </w:r>
      <w:r w:rsidR="001B647F" w:rsidRPr="00721C4A">
        <w:rPr>
          <w:sz w:val="26"/>
          <w:szCs w:val="26"/>
        </w:rPr>
        <w:t>,</w:t>
      </w:r>
      <w:r w:rsidRPr="00721C4A">
        <w:rPr>
          <w:sz w:val="26"/>
          <w:szCs w:val="26"/>
        </w:rPr>
        <w:t xml:space="preserve"> and the convictions must be vacated</w:t>
      </w:r>
      <w:r w:rsidR="00C96924" w:rsidRPr="00721C4A">
        <w:rPr>
          <w:sz w:val="26"/>
          <w:szCs w:val="26"/>
        </w:rPr>
        <w:t>.</w:t>
      </w:r>
    </w:p>
    <w:p w14:paraId="436D72CF" w14:textId="58DA57B9" w:rsidR="00C96924" w:rsidRPr="00721C4A" w:rsidRDefault="00C96924" w:rsidP="00435BAD">
      <w:pPr>
        <w:pStyle w:val="Default"/>
        <w:rPr>
          <w:sz w:val="26"/>
          <w:szCs w:val="26"/>
        </w:rPr>
      </w:pPr>
    </w:p>
    <w:p w14:paraId="4B643CF5" w14:textId="0AB468FE" w:rsidR="00C96924" w:rsidRPr="00721C4A" w:rsidRDefault="00C96924" w:rsidP="00435BAD">
      <w:pPr>
        <w:pStyle w:val="Default"/>
        <w:rPr>
          <w:color w:val="FF0000"/>
          <w:sz w:val="26"/>
          <w:szCs w:val="26"/>
        </w:rPr>
      </w:pPr>
      <w:r w:rsidRPr="00721C4A">
        <w:rPr>
          <w:color w:val="auto"/>
          <w:sz w:val="26"/>
          <w:szCs w:val="26"/>
          <w:u w:val="single"/>
        </w:rPr>
        <w:t>Issue</w:t>
      </w:r>
      <w:r w:rsidRPr="00721C4A">
        <w:rPr>
          <w:color w:val="auto"/>
          <w:sz w:val="26"/>
          <w:szCs w:val="26"/>
        </w:rPr>
        <w:t>: Double Jeopardy</w:t>
      </w:r>
    </w:p>
    <w:p w14:paraId="462C95A4" w14:textId="3775855A" w:rsidR="00C96924" w:rsidRPr="00721C4A" w:rsidRDefault="00C96924" w:rsidP="00435BAD">
      <w:pPr>
        <w:pStyle w:val="Default"/>
        <w:rPr>
          <w:sz w:val="26"/>
          <w:szCs w:val="26"/>
        </w:rPr>
      </w:pPr>
    </w:p>
    <w:p w14:paraId="194FAE51" w14:textId="488BF901" w:rsidR="00C96924" w:rsidRPr="00721C4A" w:rsidRDefault="00C96924" w:rsidP="00C96924">
      <w:pPr>
        <w:pStyle w:val="Default"/>
        <w:rPr>
          <w:sz w:val="26"/>
          <w:szCs w:val="26"/>
        </w:rPr>
      </w:pPr>
      <w:r w:rsidRPr="00721C4A">
        <w:rPr>
          <w:sz w:val="26"/>
          <w:szCs w:val="26"/>
        </w:rPr>
        <w:t xml:space="preserve">The sexual exploitation of a child statute makes the possession of child pornography a class 5 felony, unless the person possesses more than twenty images, in which case possession of the materials is a class 4 felony. § 18-6-403(5)(b). </w:t>
      </w:r>
      <w:r w:rsidR="00A1397C" w:rsidRPr="00721C4A">
        <w:rPr>
          <w:sz w:val="26"/>
          <w:szCs w:val="26"/>
        </w:rPr>
        <w:t xml:space="preserve">The DA charged </w:t>
      </w:r>
      <w:r w:rsidRPr="00721C4A">
        <w:rPr>
          <w:sz w:val="26"/>
          <w:szCs w:val="26"/>
        </w:rPr>
        <w:t xml:space="preserve">Bott with twelve counts of </w:t>
      </w:r>
      <w:r w:rsidR="00A1397C" w:rsidRPr="00721C4A">
        <w:rPr>
          <w:sz w:val="26"/>
          <w:szCs w:val="26"/>
        </w:rPr>
        <w:t xml:space="preserve">f4 </w:t>
      </w:r>
      <w:r w:rsidRPr="00721C4A">
        <w:rPr>
          <w:sz w:val="26"/>
          <w:szCs w:val="26"/>
        </w:rPr>
        <w:t>possession of more than twenty images of child pornography</w:t>
      </w:r>
      <w:r w:rsidR="00A1397C" w:rsidRPr="00721C4A">
        <w:rPr>
          <w:sz w:val="26"/>
          <w:szCs w:val="26"/>
        </w:rPr>
        <w:t>,</w:t>
      </w:r>
      <w:r w:rsidRPr="00721C4A">
        <w:rPr>
          <w:sz w:val="26"/>
          <w:szCs w:val="26"/>
        </w:rPr>
        <w:t xml:space="preserve"> by dividing the 294 images from the memory card into separate counts. The COA agreed that the twelve convictions violated Double Jeopardy because the</w:t>
      </w:r>
      <w:r w:rsidR="00A1397C" w:rsidRPr="00721C4A">
        <w:rPr>
          <w:sz w:val="26"/>
          <w:szCs w:val="26"/>
        </w:rPr>
        <w:t xml:space="preserve"> </w:t>
      </w:r>
      <w:r w:rsidRPr="00721C4A">
        <w:rPr>
          <w:sz w:val="26"/>
          <w:szCs w:val="26"/>
        </w:rPr>
        <w:t>sexual exploitation of child statute treats the possession of more than twenty images of child pornography</w:t>
      </w:r>
      <w:r w:rsidR="00A1397C" w:rsidRPr="00721C4A">
        <w:rPr>
          <w:sz w:val="26"/>
          <w:szCs w:val="26"/>
        </w:rPr>
        <w:t xml:space="preserve"> as a single offense.</w:t>
      </w:r>
    </w:p>
    <w:p w14:paraId="7DDD1BA2" w14:textId="77777777" w:rsidR="00C96924" w:rsidRPr="00721C4A" w:rsidRDefault="00C96924" w:rsidP="00C96924">
      <w:pPr>
        <w:pStyle w:val="Default"/>
        <w:rPr>
          <w:sz w:val="26"/>
          <w:szCs w:val="26"/>
        </w:rPr>
      </w:pPr>
    </w:p>
    <w:p w14:paraId="07117777" w14:textId="77777777" w:rsidR="00C96924" w:rsidRPr="00721C4A" w:rsidRDefault="00C96924" w:rsidP="00C96924">
      <w:pPr>
        <w:pStyle w:val="Default"/>
        <w:rPr>
          <w:sz w:val="26"/>
          <w:szCs w:val="26"/>
        </w:rPr>
      </w:pPr>
      <w:r w:rsidRPr="00721C4A">
        <w:rPr>
          <w:sz w:val="26"/>
          <w:szCs w:val="26"/>
        </w:rPr>
        <w:t xml:space="preserve">Under the plain and unambiguous language of the statute, the unit of prosecution is an act of possession, not an individual image. </w:t>
      </w:r>
    </w:p>
    <w:p w14:paraId="4420BD90" w14:textId="43B42D24" w:rsidR="00C96924" w:rsidRPr="00721C4A" w:rsidRDefault="00C96924" w:rsidP="00C96924">
      <w:pPr>
        <w:pStyle w:val="Default"/>
        <w:rPr>
          <w:sz w:val="26"/>
          <w:szCs w:val="26"/>
        </w:rPr>
      </w:pPr>
      <w:r w:rsidRPr="00721C4A">
        <w:rPr>
          <w:sz w:val="26"/>
          <w:szCs w:val="26"/>
        </w:rPr>
        <w:t>Under the applicable unit of prosecution, Bott’s possession of the memory card containing 294 images subjected him to only one conviction under section 18-6-403(3)(b.5). The multiplicitous convictions</w:t>
      </w:r>
      <w:r w:rsidR="00A1397C" w:rsidRPr="00721C4A">
        <w:rPr>
          <w:sz w:val="26"/>
          <w:szCs w:val="26"/>
        </w:rPr>
        <w:t>, therefore,</w:t>
      </w:r>
      <w:r w:rsidRPr="00721C4A">
        <w:rPr>
          <w:sz w:val="26"/>
          <w:szCs w:val="26"/>
        </w:rPr>
        <w:t xml:space="preserve"> violated Bott’s rights under the Double Jeopardy Clause. Accordingly, </w:t>
      </w:r>
      <w:r w:rsidR="00A81A5C" w:rsidRPr="00721C4A">
        <w:rPr>
          <w:sz w:val="26"/>
          <w:szCs w:val="26"/>
        </w:rPr>
        <w:t>they</w:t>
      </w:r>
      <w:r w:rsidRPr="00721C4A">
        <w:rPr>
          <w:sz w:val="26"/>
          <w:szCs w:val="26"/>
        </w:rPr>
        <w:t xml:space="preserve"> vacate</w:t>
      </w:r>
      <w:r w:rsidR="00A81A5C" w:rsidRPr="00721C4A">
        <w:rPr>
          <w:sz w:val="26"/>
          <w:szCs w:val="26"/>
        </w:rPr>
        <w:t>d</w:t>
      </w:r>
      <w:r w:rsidRPr="00721C4A">
        <w:rPr>
          <w:sz w:val="26"/>
          <w:szCs w:val="26"/>
        </w:rPr>
        <w:t xml:space="preserve"> eleven of Bott’s convictions and remand for resentencing</w:t>
      </w:r>
      <w:r w:rsidR="00A81A5C" w:rsidRPr="00721C4A">
        <w:rPr>
          <w:sz w:val="26"/>
          <w:szCs w:val="26"/>
        </w:rPr>
        <w:t>.</w:t>
      </w:r>
      <w:r w:rsidRPr="00721C4A">
        <w:rPr>
          <w:sz w:val="26"/>
          <w:szCs w:val="26"/>
        </w:rPr>
        <w:t xml:space="preserve"> </w:t>
      </w:r>
    </w:p>
    <w:p w14:paraId="267A13BC" w14:textId="77777777" w:rsidR="00C96924" w:rsidRPr="00721C4A" w:rsidRDefault="00C96924" w:rsidP="00C96924">
      <w:pPr>
        <w:pStyle w:val="Default"/>
        <w:rPr>
          <w:sz w:val="26"/>
          <w:szCs w:val="26"/>
        </w:rPr>
      </w:pPr>
    </w:p>
    <w:p w14:paraId="48B0760E" w14:textId="77777777" w:rsidR="00C96924" w:rsidRPr="00721C4A" w:rsidRDefault="00C96924" w:rsidP="00C96924">
      <w:pPr>
        <w:pStyle w:val="Default"/>
        <w:rPr>
          <w:sz w:val="26"/>
          <w:szCs w:val="26"/>
        </w:rPr>
      </w:pPr>
    </w:p>
    <w:p w14:paraId="6595FED1" w14:textId="77777777" w:rsidR="00721C4A" w:rsidRDefault="00721C4A">
      <w:pPr>
        <w:spacing w:after="160" w:line="259" w:lineRule="auto"/>
        <w:contextualSpacing w:val="0"/>
        <w:rPr>
          <w:i/>
          <w:iCs/>
          <w:szCs w:val="26"/>
        </w:rPr>
      </w:pPr>
      <w:r>
        <w:rPr>
          <w:i/>
          <w:iCs/>
          <w:szCs w:val="26"/>
        </w:rPr>
        <w:br w:type="page"/>
      </w:r>
    </w:p>
    <w:p w14:paraId="635D8018" w14:textId="324A406A" w:rsidR="00FB527D" w:rsidRPr="00721C4A" w:rsidRDefault="00FB527D" w:rsidP="00FB527D">
      <w:pPr>
        <w:rPr>
          <w:szCs w:val="26"/>
        </w:rPr>
      </w:pPr>
      <w:r w:rsidRPr="00721C4A">
        <w:rPr>
          <w:i/>
          <w:iCs/>
          <w:szCs w:val="26"/>
        </w:rPr>
        <w:lastRenderedPageBreak/>
        <w:t>People v. Medina</w:t>
      </w:r>
      <w:r w:rsidRPr="00721C4A">
        <w:rPr>
          <w:szCs w:val="26"/>
        </w:rPr>
        <w:t xml:space="preserve">, </w:t>
      </w:r>
      <w:r w:rsidR="0078717A" w:rsidRPr="00721C4A">
        <w:rPr>
          <w:szCs w:val="26"/>
        </w:rPr>
        <w:t>2019COA103</w:t>
      </w:r>
      <w:r w:rsidRPr="00721C4A">
        <w:rPr>
          <w:szCs w:val="26"/>
        </w:rPr>
        <w:t xml:space="preserve"> (July 3, 2019)</w:t>
      </w:r>
      <w:r w:rsidR="0078717A" w:rsidRPr="00721C4A">
        <w:rPr>
          <w:szCs w:val="26"/>
        </w:rPr>
        <w:t xml:space="preserve"> Furman, J.</w:t>
      </w:r>
    </w:p>
    <w:p w14:paraId="75C529F6" w14:textId="3312E0D6" w:rsidR="00FB527D" w:rsidRPr="00721C4A" w:rsidRDefault="00FB527D" w:rsidP="00FB527D">
      <w:pPr>
        <w:rPr>
          <w:szCs w:val="26"/>
        </w:rPr>
      </w:pPr>
    </w:p>
    <w:p w14:paraId="2D8925E8" w14:textId="77777777" w:rsidR="00A1397C" w:rsidRPr="00721C4A" w:rsidRDefault="0078717A">
      <w:pPr>
        <w:rPr>
          <w:szCs w:val="26"/>
        </w:rPr>
      </w:pPr>
      <w:r w:rsidRPr="00721C4A">
        <w:rPr>
          <w:szCs w:val="26"/>
        </w:rPr>
        <w:t>After Medina pleaded guilty</w:t>
      </w:r>
      <w:r w:rsidR="00DF25ED" w:rsidRPr="00721C4A">
        <w:rPr>
          <w:szCs w:val="26"/>
        </w:rPr>
        <w:t xml:space="preserve"> and was sentenced to DOC</w:t>
      </w:r>
      <w:r w:rsidR="00A1397C" w:rsidRPr="00721C4A">
        <w:rPr>
          <w:szCs w:val="26"/>
        </w:rPr>
        <w:t>,</w:t>
      </w:r>
      <w:r w:rsidR="00DF25ED" w:rsidRPr="00721C4A">
        <w:rPr>
          <w:szCs w:val="26"/>
        </w:rPr>
        <w:t xml:space="preserve"> he filed motions alleging the district court lacked jurisdiction to accept his guilty pleas because he was not timely brought to trial under the </w:t>
      </w:r>
      <w:r w:rsidR="00A1397C" w:rsidRPr="00721C4A">
        <w:rPr>
          <w:szCs w:val="26"/>
        </w:rPr>
        <w:t>Uniform Mandatory Disposition of Detainers Act (</w:t>
      </w:r>
      <w:r w:rsidR="00DF25ED" w:rsidRPr="00721C4A">
        <w:rPr>
          <w:szCs w:val="26"/>
        </w:rPr>
        <w:t>UMDDA</w:t>
      </w:r>
      <w:r w:rsidR="00A1397C" w:rsidRPr="00721C4A">
        <w:rPr>
          <w:szCs w:val="26"/>
        </w:rPr>
        <w:t>)</w:t>
      </w:r>
      <w:r w:rsidR="00DF25ED" w:rsidRPr="00721C4A">
        <w:rPr>
          <w:szCs w:val="26"/>
        </w:rPr>
        <w:t xml:space="preserve">.  </w:t>
      </w:r>
      <w:r w:rsidR="00A1397C" w:rsidRPr="00721C4A">
        <w:rPr>
          <w:szCs w:val="26"/>
        </w:rPr>
        <w:t>The trial court disagreed.  So did the COA.</w:t>
      </w:r>
    </w:p>
    <w:p w14:paraId="21CBEA85" w14:textId="70B56705" w:rsidR="0078717A" w:rsidRPr="00721C4A" w:rsidRDefault="00DF25ED">
      <w:pPr>
        <w:rPr>
          <w:szCs w:val="26"/>
        </w:rPr>
      </w:pPr>
      <w:r w:rsidRPr="00721C4A">
        <w:rPr>
          <w:szCs w:val="26"/>
        </w:rPr>
        <w:t xml:space="preserve">Medina submitted </w:t>
      </w:r>
      <w:r w:rsidR="00A1397C" w:rsidRPr="00721C4A">
        <w:rPr>
          <w:szCs w:val="26"/>
        </w:rPr>
        <w:t>his UMDDA request</w:t>
      </w:r>
      <w:r w:rsidRPr="00721C4A">
        <w:rPr>
          <w:szCs w:val="26"/>
        </w:rPr>
        <w:t xml:space="preserve"> to the superin</w:t>
      </w:r>
      <w:r w:rsidR="00A1397C" w:rsidRPr="00721C4A">
        <w:rPr>
          <w:szCs w:val="26"/>
        </w:rPr>
        <w:t>ten</w:t>
      </w:r>
      <w:r w:rsidRPr="00721C4A">
        <w:rPr>
          <w:szCs w:val="26"/>
        </w:rPr>
        <w:t xml:space="preserve">dent where he was incarcerated.  But, </w:t>
      </w:r>
      <w:r w:rsidR="00A1397C" w:rsidRPr="00721C4A">
        <w:rPr>
          <w:szCs w:val="26"/>
        </w:rPr>
        <w:t xml:space="preserve">the request was never provided to the </w:t>
      </w:r>
      <w:r w:rsidRPr="00721C4A">
        <w:rPr>
          <w:szCs w:val="26"/>
        </w:rPr>
        <w:t xml:space="preserve">prosecutor or </w:t>
      </w:r>
      <w:r w:rsidR="00A1397C" w:rsidRPr="00721C4A">
        <w:rPr>
          <w:szCs w:val="26"/>
        </w:rPr>
        <w:t xml:space="preserve">the </w:t>
      </w:r>
      <w:r w:rsidRPr="00721C4A">
        <w:rPr>
          <w:szCs w:val="26"/>
        </w:rPr>
        <w:t>court</w:t>
      </w:r>
      <w:r w:rsidR="00A1397C" w:rsidRPr="00721C4A">
        <w:rPr>
          <w:szCs w:val="26"/>
        </w:rPr>
        <w:t xml:space="preserve">. </w:t>
      </w:r>
      <w:r w:rsidRPr="00721C4A">
        <w:rPr>
          <w:szCs w:val="26"/>
        </w:rPr>
        <w:t xml:space="preserve"> </w:t>
      </w:r>
    </w:p>
    <w:p w14:paraId="1599A626" w14:textId="4287B468" w:rsidR="00DF25ED" w:rsidRPr="00721C4A" w:rsidRDefault="00DF25ED">
      <w:pPr>
        <w:rPr>
          <w:szCs w:val="26"/>
        </w:rPr>
      </w:pPr>
    </w:p>
    <w:p w14:paraId="3BDF7B19" w14:textId="32495EF9" w:rsidR="00016EA0" w:rsidRPr="00721C4A" w:rsidRDefault="00DF25ED" w:rsidP="00016EA0">
      <w:pPr>
        <w:pStyle w:val="Default"/>
        <w:rPr>
          <w:sz w:val="26"/>
          <w:szCs w:val="26"/>
        </w:rPr>
      </w:pPr>
      <w:r w:rsidRPr="00721C4A">
        <w:rPr>
          <w:sz w:val="26"/>
          <w:szCs w:val="26"/>
        </w:rPr>
        <w:t xml:space="preserve">Under </w:t>
      </w:r>
      <w:r w:rsidR="00016EA0" w:rsidRPr="00721C4A">
        <w:rPr>
          <w:sz w:val="26"/>
          <w:szCs w:val="26"/>
        </w:rPr>
        <w:t xml:space="preserve">§16-14-103 of </w:t>
      </w:r>
      <w:r w:rsidRPr="00721C4A">
        <w:rPr>
          <w:sz w:val="26"/>
          <w:szCs w:val="26"/>
        </w:rPr>
        <w:t>the UMDDA, the defendant must deliver the request to the superintendent where he or she is confined, and the superintendent must</w:t>
      </w:r>
      <w:r w:rsidR="00A1397C" w:rsidRPr="00721C4A">
        <w:rPr>
          <w:sz w:val="26"/>
          <w:szCs w:val="26"/>
        </w:rPr>
        <w:t>, in turn,</w:t>
      </w:r>
      <w:r w:rsidRPr="00721C4A">
        <w:rPr>
          <w:sz w:val="26"/>
          <w:szCs w:val="26"/>
        </w:rPr>
        <w:t xml:space="preserve"> send a registered copy to the court and prosecutor.</w:t>
      </w:r>
      <w:r w:rsidR="00016EA0" w:rsidRPr="00721C4A">
        <w:rPr>
          <w:sz w:val="26"/>
          <w:szCs w:val="26"/>
        </w:rPr>
        <w:t xml:space="preserve">  Under §16-14-104, “no court of this state shall any longer have jurisdiction” over the complaint if it is not brought to trial “[w]ithin one hundred eighty-two days after the receipt of the request by the court and the prosecuting official, or within such additional time as the court for good cause shown in open court may grant.” </w:t>
      </w:r>
    </w:p>
    <w:p w14:paraId="70323E59" w14:textId="528ECB73" w:rsidR="00016EA0" w:rsidRPr="00721C4A" w:rsidRDefault="00016EA0" w:rsidP="00016EA0">
      <w:pPr>
        <w:pStyle w:val="Default"/>
        <w:rPr>
          <w:sz w:val="26"/>
          <w:szCs w:val="26"/>
        </w:rPr>
      </w:pPr>
    </w:p>
    <w:p w14:paraId="0BE3F49B" w14:textId="2537229F" w:rsidR="00016EA0" w:rsidRPr="00721C4A" w:rsidRDefault="00016EA0" w:rsidP="00016EA0">
      <w:pPr>
        <w:pStyle w:val="Default"/>
        <w:rPr>
          <w:sz w:val="26"/>
          <w:szCs w:val="26"/>
        </w:rPr>
      </w:pPr>
      <w:r w:rsidRPr="00721C4A">
        <w:rPr>
          <w:sz w:val="26"/>
          <w:szCs w:val="26"/>
        </w:rPr>
        <w:t xml:space="preserve">A violation of §16-14-104, failure to bring a defendant to trial within 182 days, does deprive a court of jurisdiction.  However, it also requires evidence that the prosecution and the court had actual knowledge of the request – which was lacking here.  Thus, the district court properly </w:t>
      </w:r>
      <w:r w:rsidR="00A1397C" w:rsidRPr="00721C4A">
        <w:rPr>
          <w:sz w:val="26"/>
          <w:szCs w:val="26"/>
        </w:rPr>
        <w:t>found §104 was not violated</w:t>
      </w:r>
      <w:r w:rsidRPr="00721C4A">
        <w:rPr>
          <w:sz w:val="26"/>
          <w:szCs w:val="26"/>
        </w:rPr>
        <w:t xml:space="preserve">. </w:t>
      </w:r>
    </w:p>
    <w:p w14:paraId="5CEC265D" w14:textId="6A88A6C2" w:rsidR="00016EA0" w:rsidRPr="00721C4A" w:rsidRDefault="00016EA0" w:rsidP="00016EA0">
      <w:pPr>
        <w:pStyle w:val="Default"/>
        <w:rPr>
          <w:sz w:val="26"/>
          <w:szCs w:val="26"/>
        </w:rPr>
      </w:pPr>
    </w:p>
    <w:p w14:paraId="36C0CD3A" w14:textId="1C980885" w:rsidR="00437595" w:rsidRPr="00721C4A" w:rsidRDefault="00016EA0" w:rsidP="00437595">
      <w:pPr>
        <w:pStyle w:val="Default"/>
        <w:rPr>
          <w:sz w:val="26"/>
          <w:szCs w:val="26"/>
        </w:rPr>
      </w:pPr>
      <w:r w:rsidRPr="00721C4A">
        <w:rPr>
          <w:sz w:val="26"/>
          <w:szCs w:val="26"/>
        </w:rPr>
        <w:t>Alternatively, Medina argued for the first time on appeal</w:t>
      </w:r>
      <w:r w:rsidR="00A1397C" w:rsidRPr="00721C4A">
        <w:rPr>
          <w:sz w:val="26"/>
          <w:szCs w:val="26"/>
        </w:rPr>
        <w:t>,</w:t>
      </w:r>
      <w:r w:rsidRPr="00721C4A">
        <w:rPr>
          <w:sz w:val="26"/>
          <w:szCs w:val="26"/>
        </w:rPr>
        <w:t xml:space="preserve"> that the superin</w:t>
      </w:r>
      <w:r w:rsidR="00A1397C" w:rsidRPr="00721C4A">
        <w:rPr>
          <w:sz w:val="26"/>
          <w:szCs w:val="26"/>
        </w:rPr>
        <w:t>tende</w:t>
      </w:r>
      <w:r w:rsidRPr="00721C4A">
        <w:rPr>
          <w:sz w:val="26"/>
          <w:szCs w:val="26"/>
        </w:rPr>
        <w:t xml:space="preserve">nt violated §16-14-103 by not forwarding </w:t>
      </w:r>
      <w:r w:rsidR="00A1397C" w:rsidRPr="00721C4A">
        <w:rPr>
          <w:sz w:val="26"/>
          <w:szCs w:val="26"/>
        </w:rPr>
        <w:t>his UMDDA</w:t>
      </w:r>
      <w:r w:rsidRPr="00721C4A">
        <w:rPr>
          <w:sz w:val="26"/>
          <w:szCs w:val="26"/>
        </w:rPr>
        <w:t xml:space="preserve"> request to the prosecutor and judge.  </w:t>
      </w:r>
      <w:r w:rsidR="00437595" w:rsidRPr="00721C4A">
        <w:rPr>
          <w:sz w:val="26"/>
          <w:szCs w:val="26"/>
        </w:rPr>
        <w:t xml:space="preserve">The COA denied relief for two reasons.  First, the issue was not presented to the district court.  But, </w:t>
      </w:r>
      <w:r w:rsidR="00A1397C" w:rsidRPr="00721C4A">
        <w:rPr>
          <w:sz w:val="26"/>
          <w:szCs w:val="26"/>
        </w:rPr>
        <w:t>more importantly</w:t>
      </w:r>
      <w:r w:rsidR="00437595" w:rsidRPr="00721C4A">
        <w:rPr>
          <w:sz w:val="26"/>
          <w:szCs w:val="26"/>
        </w:rPr>
        <w:t>, §16-14-103 does not expressly state that a violation of the superintendent’s duties deprive</w:t>
      </w:r>
      <w:r w:rsidR="00A1397C" w:rsidRPr="00721C4A">
        <w:rPr>
          <w:sz w:val="26"/>
          <w:szCs w:val="26"/>
        </w:rPr>
        <w:t>s</w:t>
      </w:r>
      <w:r w:rsidR="00437595" w:rsidRPr="00721C4A">
        <w:rPr>
          <w:sz w:val="26"/>
          <w:szCs w:val="26"/>
        </w:rPr>
        <w:t xml:space="preserve"> the court of jurisdiction.  And, prior divisions have found that the superi</w:t>
      </w:r>
      <w:r w:rsidR="00A1397C" w:rsidRPr="00721C4A">
        <w:rPr>
          <w:sz w:val="26"/>
          <w:szCs w:val="26"/>
        </w:rPr>
        <w:t>nte</w:t>
      </w:r>
      <w:r w:rsidR="00437595" w:rsidRPr="00721C4A">
        <w:rPr>
          <w:sz w:val="26"/>
          <w:szCs w:val="26"/>
        </w:rPr>
        <w:t>ndent's failure to comply with §16-14-103 does not deprive a court of jurisdiction.</w:t>
      </w:r>
    </w:p>
    <w:p w14:paraId="3DCBF138" w14:textId="77777777" w:rsidR="00437595" w:rsidRPr="00721C4A" w:rsidRDefault="00437595" w:rsidP="00437595">
      <w:pPr>
        <w:pStyle w:val="Default"/>
        <w:rPr>
          <w:sz w:val="26"/>
          <w:szCs w:val="26"/>
        </w:rPr>
      </w:pPr>
    </w:p>
    <w:p w14:paraId="23DE2167" w14:textId="5BFC03D4" w:rsidR="00437595" w:rsidRPr="00721C4A" w:rsidRDefault="00437595" w:rsidP="00437595">
      <w:pPr>
        <w:pStyle w:val="Default"/>
        <w:rPr>
          <w:sz w:val="26"/>
          <w:szCs w:val="26"/>
        </w:rPr>
      </w:pPr>
      <w:r w:rsidRPr="00721C4A">
        <w:rPr>
          <w:sz w:val="26"/>
          <w:szCs w:val="26"/>
        </w:rPr>
        <w:t xml:space="preserve">As a result, regardless of whether the superintendent failed to properly forward Medina’s request for final disposition, Medina waived his right to dismissal under section 16-14-103 when he entered a guilty plea.  </w:t>
      </w:r>
      <w:r w:rsidRPr="00721C4A">
        <w:rPr>
          <w:i/>
          <w:iCs/>
          <w:sz w:val="26"/>
          <w:szCs w:val="26"/>
        </w:rPr>
        <w:t>People v. Wilson</w:t>
      </w:r>
      <w:r w:rsidRPr="00721C4A">
        <w:rPr>
          <w:sz w:val="26"/>
          <w:szCs w:val="26"/>
        </w:rPr>
        <w:t>, 251 P.3d 507, 508 (Colo. App. 2010) (Holding a defendant who enters a guilty plea</w:t>
      </w:r>
      <w:r w:rsidR="00A1397C" w:rsidRPr="00721C4A">
        <w:rPr>
          <w:sz w:val="26"/>
          <w:szCs w:val="26"/>
        </w:rPr>
        <w:t>,</w:t>
      </w:r>
      <w:r w:rsidRPr="00721C4A">
        <w:rPr>
          <w:sz w:val="26"/>
          <w:szCs w:val="26"/>
        </w:rPr>
        <w:t xml:space="preserve"> waives nonjurisdictional claims.) </w:t>
      </w:r>
    </w:p>
    <w:p w14:paraId="53F1BB13" w14:textId="7F1C4F07" w:rsidR="00437595" w:rsidRPr="00721C4A" w:rsidRDefault="00437595" w:rsidP="00437595">
      <w:pPr>
        <w:pStyle w:val="Default"/>
        <w:rPr>
          <w:sz w:val="26"/>
          <w:szCs w:val="26"/>
        </w:rPr>
      </w:pPr>
    </w:p>
    <w:p w14:paraId="317D9F56" w14:textId="3B567CB6" w:rsidR="00AE7D2A" w:rsidRPr="00721C4A" w:rsidRDefault="00AE7D2A" w:rsidP="00437595">
      <w:pPr>
        <w:pStyle w:val="Default"/>
        <w:rPr>
          <w:sz w:val="26"/>
          <w:szCs w:val="26"/>
        </w:rPr>
      </w:pPr>
    </w:p>
    <w:p w14:paraId="17724CAD" w14:textId="288E962C" w:rsidR="00016EA0" w:rsidRPr="00721C4A" w:rsidRDefault="009927E8" w:rsidP="00016EA0">
      <w:pPr>
        <w:pStyle w:val="Default"/>
        <w:rPr>
          <w:sz w:val="26"/>
          <w:szCs w:val="26"/>
        </w:rPr>
      </w:pPr>
      <w:r w:rsidRPr="00721C4A">
        <w:rPr>
          <w:i/>
          <w:iCs/>
          <w:sz w:val="26"/>
          <w:szCs w:val="26"/>
        </w:rPr>
        <w:lastRenderedPageBreak/>
        <w:t>People v. Flynn</w:t>
      </w:r>
      <w:r w:rsidRPr="00721C4A">
        <w:rPr>
          <w:sz w:val="26"/>
          <w:szCs w:val="26"/>
        </w:rPr>
        <w:t>, 2019COA105 (July 11, 2019)</w:t>
      </w:r>
      <w:r w:rsidR="00AE552B">
        <w:rPr>
          <w:sz w:val="26"/>
          <w:szCs w:val="26"/>
        </w:rPr>
        <w:t xml:space="preserve"> Tow, J. affirming</w:t>
      </w:r>
    </w:p>
    <w:p w14:paraId="4B1FE301" w14:textId="543F84FF" w:rsidR="00016EA0" w:rsidRPr="00721C4A" w:rsidRDefault="00016EA0" w:rsidP="00016EA0">
      <w:pPr>
        <w:pStyle w:val="Default"/>
        <w:rPr>
          <w:sz w:val="26"/>
          <w:szCs w:val="26"/>
        </w:rPr>
      </w:pPr>
    </w:p>
    <w:p w14:paraId="182DD470" w14:textId="73C858CA" w:rsidR="00926DDC" w:rsidRPr="00721C4A" w:rsidRDefault="00B64818" w:rsidP="00016EA0">
      <w:pPr>
        <w:pStyle w:val="Default"/>
        <w:rPr>
          <w:sz w:val="26"/>
          <w:szCs w:val="26"/>
        </w:rPr>
      </w:pPr>
      <w:r w:rsidRPr="00721C4A">
        <w:rPr>
          <w:sz w:val="26"/>
          <w:szCs w:val="26"/>
        </w:rPr>
        <w:t>Flynn retained private counsel who withdrew</w:t>
      </w:r>
      <w:r w:rsidR="00A1397C" w:rsidRPr="00721C4A">
        <w:rPr>
          <w:sz w:val="26"/>
          <w:szCs w:val="26"/>
        </w:rPr>
        <w:t>,</w:t>
      </w:r>
      <w:r w:rsidRPr="00721C4A">
        <w:rPr>
          <w:sz w:val="26"/>
          <w:szCs w:val="26"/>
        </w:rPr>
        <w:t xml:space="preserve"> and the OSPD was appointed.  </w:t>
      </w:r>
      <w:r w:rsidR="000973FF" w:rsidRPr="00721C4A">
        <w:rPr>
          <w:sz w:val="26"/>
          <w:szCs w:val="26"/>
        </w:rPr>
        <w:t>A week before trial</w:t>
      </w:r>
      <w:r w:rsidR="00721C4A">
        <w:rPr>
          <w:sz w:val="26"/>
          <w:szCs w:val="26"/>
        </w:rPr>
        <w:t>,</w:t>
      </w:r>
      <w:r w:rsidR="000973FF" w:rsidRPr="00721C4A">
        <w:rPr>
          <w:sz w:val="26"/>
          <w:szCs w:val="26"/>
        </w:rPr>
        <w:t xml:space="preserve"> Flynn's PD </w:t>
      </w:r>
      <w:r w:rsidR="00926DDC" w:rsidRPr="00721C4A">
        <w:rPr>
          <w:sz w:val="26"/>
          <w:szCs w:val="26"/>
        </w:rPr>
        <w:t xml:space="preserve">requested </w:t>
      </w:r>
      <w:r w:rsidR="00721C4A">
        <w:rPr>
          <w:sz w:val="26"/>
          <w:szCs w:val="26"/>
        </w:rPr>
        <w:t>a continuance.</w:t>
      </w:r>
    </w:p>
    <w:p w14:paraId="5448CA91" w14:textId="77777777" w:rsidR="00926DDC" w:rsidRPr="00721C4A" w:rsidRDefault="00926DDC" w:rsidP="00016EA0">
      <w:pPr>
        <w:pStyle w:val="Default"/>
        <w:rPr>
          <w:sz w:val="26"/>
          <w:szCs w:val="26"/>
        </w:rPr>
      </w:pPr>
    </w:p>
    <w:p w14:paraId="376A0937" w14:textId="321091EF" w:rsidR="00926DDC" w:rsidRPr="00721C4A" w:rsidRDefault="00926DDC" w:rsidP="00926DDC">
      <w:pPr>
        <w:pStyle w:val="BlockQuote"/>
        <w:rPr>
          <w:szCs w:val="26"/>
        </w:rPr>
      </w:pPr>
      <w:r w:rsidRPr="00721C4A">
        <w:rPr>
          <w:szCs w:val="26"/>
        </w:rPr>
        <w:t>The other thing that Mr. Flynn had noted to me is that it’s his intent to hire counsel of his choice. He has been working and saving money to get a retainer to hire an attorney. It was his hope that he would have that attorney today. However, he needed a little more time. He said he was going to go over to Harvey Steinberg’s office afterwards to see if he can set up the retainer.</w:t>
      </w:r>
    </w:p>
    <w:p w14:paraId="40BB4621" w14:textId="77777777" w:rsidR="00926DDC" w:rsidRPr="00721C4A" w:rsidRDefault="00926DDC" w:rsidP="00016EA0">
      <w:pPr>
        <w:pStyle w:val="Default"/>
        <w:rPr>
          <w:sz w:val="26"/>
          <w:szCs w:val="26"/>
        </w:rPr>
      </w:pPr>
    </w:p>
    <w:p w14:paraId="1CCC17A4" w14:textId="0A731462" w:rsidR="009927E8" w:rsidRPr="00721C4A" w:rsidRDefault="001753C2" w:rsidP="00016EA0">
      <w:pPr>
        <w:pStyle w:val="Default"/>
        <w:rPr>
          <w:sz w:val="26"/>
          <w:szCs w:val="26"/>
        </w:rPr>
      </w:pPr>
      <w:r w:rsidRPr="00721C4A">
        <w:rPr>
          <w:sz w:val="26"/>
          <w:szCs w:val="26"/>
        </w:rPr>
        <w:t>The trial court denied the motion to continue finding the request was very last minute, there was an inadequate assurance other counsel would actually enter, and the request appeared to be a delay tactic.  The next day, counsel again reiterated to the court that Flynn</w:t>
      </w:r>
      <w:r w:rsidR="00B64818" w:rsidRPr="00721C4A">
        <w:rPr>
          <w:sz w:val="26"/>
          <w:szCs w:val="26"/>
        </w:rPr>
        <w:t xml:space="preserve"> </w:t>
      </w:r>
      <w:r w:rsidR="00926DDC" w:rsidRPr="00721C4A">
        <w:rPr>
          <w:sz w:val="26"/>
          <w:szCs w:val="26"/>
        </w:rPr>
        <w:t xml:space="preserve">had contacted Harvey Steinberg and wanted to retain him </w:t>
      </w:r>
      <w:r w:rsidR="00B64818" w:rsidRPr="00721C4A">
        <w:rPr>
          <w:sz w:val="26"/>
          <w:szCs w:val="26"/>
        </w:rPr>
        <w:t>and again the court denied the continuance saying he might have continued the trial had another attorney entered or even been present.</w:t>
      </w:r>
      <w:r w:rsidR="00926DDC" w:rsidRPr="00721C4A">
        <w:rPr>
          <w:sz w:val="26"/>
          <w:szCs w:val="26"/>
        </w:rPr>
        <w:t xml:space="preserve">  Flynn was convicted at trial while represented by the OSPD.</w:t>
      </w:r>
    </w:p>
    <w:p w14:paraId="7BE19B16" w14:textId="190790A2" w:rsidR="00926DDC" w:rsidRPr="00721C4A" w:rsidRDefault="00926DDC" w:rsidP="00016EA0">
      <w:pPr>
        <w:pStyle w:val="Default"/>
        <w:rPr>
          <w:sz w:val="26"/>
          <w:szCs w:val="26"/>
        </w:rPr>
      </w:pPr>
    </w:p>
    <w:p w14:paraId="52445138" w14:textId="66FB7B88" w:rsidR="00926DDC" w:rsidRPr="00721C4A" w:rsidRDefault="00926DDC" w:rsidP="00016EA0">
      <w:pPr>
        <w:pStyle w:val="Default"/>
        <w:rPr>
          <w:sz w:val="26"/>
          <w:szCs w:val="26"/>
        </w:rPr>
      </w:pPr>
      <w:r w:rsidRPr="00721C4A">
        <w:rPr>
          <w:sz w:val="26"/>
          <w:szCs w:val="26"/>
        </w:rPr>
        <w:t>On appeal, Flynn argued the trial court erred in denying his request for a continuance.</w:t>
      </w:r>
    </w:p>
    <w:p w14:paraId="66F6C5C5" w14:textId="77777777" w:rsidR="00016EA0" w:rsidRPr="00721C4A" w:rsidRDefault="00016EA0" w:rsidP="00016EA0">
      <w:pPr>
        <w:pStyle w:val="Default"/>
        <w:rPr>
          <w:sz w:val="26"/>
          <w:szCs w:val="26"/>
        </w:rPr>
      </w:pPr>
    </w:p>
    <w:p w14:paraId="645A8F7F" w14:textId="58F6B75E" w:rsidR="00926DDC" w:rsidRPr="00721C4A" w:rsidRDefault="00926DDC" w:rsidP="00DF25ED">
      <w:pPr>
        <w:pStyle w:val="Default"/>
        <w:rPr>
          <w:sz w:val="26"/>
          <w:szCs w:val="26"/>
        </w:rPr>
      </w:pPr>
      <w:r w:rsidRPr="00721C4A">
        <w:rPr>
          <w:sz w:val="26"/>
          <w:szCs w:val="26"/>
          <w:u w:val="single"/>
        </w:rPr>
        <w:t>Issue</w:t>
      </w:r>
      <w:r w:rsidR="00AE552B">
        <w:rPr>
          <w:sz w:val="26"/>
          <w:szCs w:val="26"/>
          <w:u w:val="single"/>
        </w:rPr>
        <w:t xml:space="preserve"> 1</w:t>
      </w:r>
      <w:r w:rsidRPr="00721C4A">
        <w:rPr>
          <w:sz w:val="26"/>
          <w:szCs w:val="26"/>
        </w:rPr>
        <w:t xml:space="preserve">: </w:t>
      </w:r>
      <w:r w:rsidR="006A2E4D" w:rsidRPr="00721C4A">
        <w:rPr>
          <w:sz w:val="26"/>
          <w:szCs w:val="26"/>
        </w:rPr>
        <w:t>Legal Standard or Test for Granting or Denying a Continuance</w:t>
      </w:r>
    </w:p>
    <w:p w14:paraId="0C5B2425" w14:textId="77777777" w:rsidR="00926DDC" w:rsidRPr="00721C4A" w:rsidRDefault="00926DDC" w:rsidP="00DF25ED">
      <w:pPr>
        <w:pStyle w:val="Default"/>
        <w:rPr>
          <w:sz w:val="26"/>
          <w:szCs w:val="26"/>
        </w:rPr>
      </w:pPr>
    </w:p>
    <w:p w14:paraId="68388429" w14:textId="2D964F35" w:rsidR="006A2E4D" w:rsidRPr="00721C4A" w:rsidRDefault="00B64818" w:rsidP="00DF25ED">
      <w:pPr>
        <w:pStyle w:val="Default"/>
        <w:rPr>
          <w:sz w:val="26"/>
          <w:szCs w:val="26"/>
        </w:rPr>
      </w:pPr>
      <w:r w:rsidRPr="00721C4A">
        <w:rPr>
          <w:sz w:val="26"/>
          <w:szCs w:val="26"/>
        </w:rPr>
        <w:t xml:space="preserve">In </w:t>
      </w:r>
      <w:r w:rsidRPr="00721C4A">
        <w:rPr>
          <w:i/>
          <w:iCs/>
          <w:sz w:val="26"/>
          <w:szCs w:val="26"/>
        </w:rPr>
        <w:t>People v. Brown</w:t>
      </w:r>
      <w:r w:rsidRPr="00721C4A">
        <w:rPr>
          <w:sz w:val="26"/>
          <w:szCs w:val="26"/>
        </w:rPr>
        <w:t xml:space="preserve">, 2014 CO 25, the supreme court set forth an eleven-factor test for analyzing a request for a continuance to substitute defense counsel. In </w:t>
      </w:r>
      <w:r w:rsidRPr="00721C4A">
        <w:rPr>
          <w:i/>
          <w:iCs/>
          <w:sz w:val="26"/>
          <w:szCs w:val="26"/>
        </w:rPr>
        <w:t>People v. Travis</w:t>
      </w:r>
      <w:r w:rsidRPr="00721C4A">
        <w:rPr>
          <w:sz w:val="26"/>
          <w:szCs w:val="26"/>
        </w:rPr>
        <w:t xml:space="preserve">, the Court recently made clear that </w:t>
      </w:r>
      <w:r w:rsidRPr="00721C4A">
        <w:rPr>
          <w:i/>
          <w:iCs/>
          <w:sz w:val="26"/>
          <w:szCs w:val="26"/>
        </w:rPr>
        <w:t>Brown</w:t>
      </w:r>
      <w:r w:rsidRPr="00721C4A">
        <w:rPr>
          <w:sz w:val="26"/>
          <w:szCs w:val="26"/>
        </w:rPr>
        <w:t xml:space="preserve"> does not apply in every case and is inapplicable when “the defendant expresses a general interest in retaining counsel, but has not identified replacement counsel or taken any steps to retain any particular lawyer.” 2019 CO 15.</w:t>
      </w:r>
      <w:r w:rsidR="009A53F2" w:rsidRPr="00721C4A">
        <w:rPr>
          <w:sz w:val="26"/>
          <w:szCs w:val="26"/>
        </w:rPr>
        <w:t xml:space="preserve"> </w:t>
      </w:r>
      <w:r w:rsidRPr="00721C4A">
        <w:rPr>
          <w:sz w:val="26"/>
          <w:szCs w:val="26"/>
        </w:rPr>
        <w:t xml:space="preserve">Here, the division found Flynn’s interest in retaining alternate counsel was too tenuous to be analyzed </w:t>
      </w:r>
      <w:r w:rsidR="006A2E4D" w:rsidRPr="00721C4A">
        <w:rPr>
          <w:sz w:val="26"/>
          <w:szCs w:val="26"/>
        </w:rPr>
        <w:t>under</w:t>
      </w:r>
      <w:r w:rsidRPr="00721C4A">
        <w:rPr>
          <w:sz w:val="26"/>
          <w:szCs w:val="26"/>
        </w:rPr>
        <w:t xml:space="preserve"> </w:t>
      </w:r>
      <w:r w:rsidRPr="00721C4A">
        <w:rPr>
          <w:i/>
          <w:iCs/>
          <w:sz w:val="26"/>
          <w:szCs w:val="26"/>
        </w:rPr>
        <w:t>Brown</w:t>
      </w:r>
      <w:r w:rsidR="00DE60A5" w:rsidRPr="00721C4A">
        <w:rPr>
          <w:sz w:val="26"/>
          <w:szCs w:val="26"/>
        </w:rPr>
        <w:t xml:space="preserve">.  </w:t>
      </w:r>
    </w:p>
    <w:p w14:paraId="4FB04446" w14:textId="77777777" w:rsidR="006A2E4D" w:rsidRPr="00721C4A" w:rsidRDefault="006A2E4D" w:rsidP="00DF25ED">
      <w:pPr>
        <w:pStyle w:val="Default"/>
        <w:rPr>
          <w:sz w:val="26"/>
          <w:szCs w:val="26"/>
        </w:rPr>
      </w:pPr>
    </w:p>
    <w:p w14:paraId="18630AE0" w14:textId="5B33076A" w:rsidR="006A2E4D" w:rsidRPr="00721C4A" w:rsidRDefault="006A2E4D" w:rsidP="00DF25ED">
      <w:pPr>
        <w:pStyle w:val="Default"/>
        <w:rPr>
          <w:sz w:val="26"/>
          <w:szCs w:val="26"/>
        </w:rPr>
      </w:pPr>
      <w:r w:rsidRPr="00721C4A">
        <w:rPr>
          <w:sz w:val="26"/>
          <w:szCs w:val="26"/>
        </w:rPr>
        <w:t xml:space="preserve">It did not matter to this division that Flynn provided the name of his counsel of choice.  "Were we to hold otherwise, a defendant could avoid the application of </w:t>
      </w:r>
      <w:r w:rsidRPr="00721C4A">
        <w:rPr>
          <w:i/>
          <w:iCs/>
          <w:sz w:val="26"/>
          <w:szCs w:val="26"/>
        </w:rPr>
        <w:t xml:space="preserve">Travis </w:t>
      </w:r>
      <w:r w:rsidRPr="00721C4A">
        <w:rPr>
          <w:sz w:val="26"/>
          <w:szCs w:val="26"/>
        </w:rPr>
        <w:t>merely by mentioning by name any attorney, regardless of whether he or she had taken any steps whatsoever to retain that attorney."</w:t>
      </w:r>
    </w:p>
    <w:p w14:paraId="60FAEFA7" w14:textId="3838184F" w:rsidR="006A2E4D" w:rsidRPr="00721C4A" w:rsidRDefault="006A2E4D" w:rsidP="00DF25ED">
      <w:pPr>
        <w:pStyle w:val="Default"/>
        <w:rPr>
          <w:sz w:val="26"/>
          <w:szCs w:val="26"/>
        </w:rPr>
      </w:pPr>
      <w:r w:rsidRPr="00721C4A">
        <w:rPr>
          <w:sz w:val="26"/>
          <w:szCs w:val="26"/>
        </w:rPr>
        <w:t xml:space="preserve"> </w:t>
      </w:r>
    </w:p>
    <w:p w14:paraId="3E2FC941" w14:textId="4B376480" w:rsidR="00B64818" w:rsidRPr="00721C4A" w:rsidRDefault="006A2E4D" w:rsidP="009A53F2">
      <w:pPr>
        <w:autoSpaceDE w:val="0"/>
        <w:autoSpaceDN w:val="0"/>
        <w:adjustRightInd w:val="0"/>
        <w:contextualSpacing w:val="0"/>
        <w:rPr>
          <w:szCs w:val="26"/>
        </w:rPr>
      </w:pPr>
      <w:r w:rsidRPr="00721C4A">
        <w:rPr>
          <w:rFonts w:cs="Bookman Old Style"/>
          <w:color w:val="000000"/>
          <w:szCs w:val="26"/>
        </w:rPr>
        <w:lastRenderedPageBreak/>
        <w:t>There was no indication that this attorney was available, or willing, to take Flynn’s case.  Indeed, Flynn only said he was going to visit the named attorney’s office “to see if he can set up the retainer.”</w:t>
      </w:r>
      <w:r w:rsidR="009A53F2" w:rsidRPr="00721C4A">
        <w:rPr>
          <w:rFonts w:cs="Bookman Old Style"/>
          <w:color w:val="000000"/>
          <w:szCs w:val="26"/>
        </w:rPr>
        <w:t xml:space="preserve"> </w:t>
      </w:r>
      <w:r w:rsidR="00DE60A5" w:rsidRPr="00721C4A">
        <w:rPr>
          <w:szCs w:val="26"/>
        </w:rPr>
        <w:t xml:space="preserve">Under such uncertain circumstances, applying the </w:t>
      </w:r>
      <w:r w:rsidR="00DE60A5" w:rsidRPr="00721C4A">
        <w:rPr>
          <w:i/>
          <w:iCs/>
          <w:szCs w:val="26"/>
        </w:rPr>
        <w:t>Brown</w:t>
      </w:r>
      <w:r w:rsidR="00DE60A5" w:rsidRPr="00721C4A">
        <w:rPr>
          <w:szCs w:val="26"/>
        </w:rPr>
        <w:t xml:space="preserve"> factors “would require an unrealistic level of speculation by the trial court.”</w:t>
      </w:r>
    </w:p>
    <w:p w14:paraId="47598495" w14:textId="77777777" w:rsidR="009A53F2" w:rsidRPr="00721C4A" w:rsidRDefault="009A53F2" w:rsidP="009A53F2">
      <w:pPr>
        <w:pStyle w:val="Default"/>
        <w:rPr>
          <w:sz w:val="26"/>
          <w:szCs w:val="26"/>
        </w:rPr>
      </w:pPr>
    </w:p>
    <w:p w14:paraId="27176961" w14:textId="6086D337" w:rsidR="009A53F2" w:rsidRPr="00721C4A" w:rsidRDefault="009A53F2" w:rsidP="009A53F2">
      <w:pPr>
        <w:pStyle w:val="Default"/>
        <w:rPr>
          <w:sz w:val="26"/>
          <w:szCs w:val="26"/>
        </w:rPr>
      </w:pPr>
      <w:r w:rsidRPr="00721C4A">
        <w:rPr>
          <w:sz w:val="26"/>
          <w:szCs w:val="26"/>
        </w:rPr>
        <w:t xml:space="preserve">There would have been no way for the district court to asses many of the </w:t>
      </w:r>
      <w:r w:rsidRPr="00721C4A">
        <w:rPr>
          <w:i/>
          <w:iCs/>
          <w:sz w:val="26"/>
          <w:szCs w:val="26"/>
        </w:rPr>
        <w:t xml:space="preserve">Brown </w:t>
      </w:r>
      <w:r w:rsidRPr="00721C4A">
        <w:rPr>
          <w:sz w:val="26"/>
          <w:szCs w:val="26"/>
        </w:rPr>
        <w:t xml:space="preserve">factors such as (1) the availability of counsel and (2) the length of a continuance necessary to accommodate counsel.  Without knowing the length of the resulting delay, the trial court would be hard-pressed to fully consider other </w:t>
      </w:r>
      <w:r w:rsidRPr="00721C4A">
        <w:rPr>
          <w:i/>
          <w:iCs/>
          <w:sz w:val="26"/>
          <w:szCs w:val="26"/>
        </w:rPr>
        <w:t>Brown</w:t>
      </w:r>
      <w:r w:rsidRPr="00721C4A">
        <w:rPr>
          <w:sz w:val="26"/>
          <w:szCs w:val="26"/>
        </w:rPr>
        <w:t xml:space="preserve"> factors, such as the potential prejudice to the prosecution and the inconvenience to witnesses. </w:t>
      </w:r>
    </w:p>
    <w:p w14:paraId="7BF899FE" w14:textId="0B389419" w:rsidR="00DE60A5" w:rsidRPr="00721C4A" w:rsidRDefault="00DE60A5" w:rsidP="00DF25ED">
      <w:pPr>
        <w:pStyle w:val="Default"/>
        <w:rPr>
          <w:sz w:val="26"/>
          <w:szCs w:val="26"/>
        </w:rPr>
      </w:pPr>
    </w:p>
    <w:p w14:paraId="14962913" w14:textId="393ED0E8" w:rsidR="00DE60A5" w:rsidRPr="00721C4A" w:rsidRDefault="00DE60A5" w:rsidP="00DF25ED">
      <w:pPr>
        <w:pStyle w:val="Default"/>
        <w:rPr>
          <w:sz w:val="26"/>
          <w:szCs w:val="26"/>
        </w:rPr>
      </w:pPr>
      <w:r w:rsidRPr="00721C4A">
        <w:rPr>
          <w:sz w:val="26"/>
          <w:szCs w:val="26"/>
        </w:rPr>
        <w:t>As</w:t>
      </w:r>
      <w:r w:rsidR="00926DDC" w:rsidRPr="00721C4A">
        <w:rPr>
          <w:sz w:val="26"/>
          <w:szCs w:val="26"/>
        </w:rPr>
        <w:t xml:space="preserve"> </w:t>
      </w:r>
      <w:r w:rsidRPr="00721C4A">
        <w:rPr>
          <w:sz w:val="26"/>
          <w:szCs w:val="26"/>
        </w:rPr>
        <w:t>such, the division assessed whether the trial court abused its discretion more generally.  And, not surprisingly, found no abuse of discretion under the facts here.</w:t>
      </w:r>
    </w:p>
    <w:p w14:paraId="3B19760A" w14:textId="5AD23BF7" w:rsidR="00DE60A5" w:rsidRPr="00721C4A" w:rsidRDefault="00DE60A5" w:rsidP="00DF25ED">
      <w:pPr>
        <w:pStyle w:val="Default"/>
        <w:rPr>
          <w:sz w:val="26"/>
          <w:szCs w:val="26"/>
        </w:rPr>
      </w:pPr>
    </w:p>
    <w:p w14:paraId="4E5366DE" w14:textId="0BC772CE" w:rsidR="00DE60A5" w:rsidRPr="00721C4A" w:rsidRDefault="00DE60A5" w:rsidP="00DF25ED">
      <w:pPr>
        <w:pStyle w:val="Default"/>
        <w:rPr>
          <w:sz w:val="26"/>
          <w:szCs w:val="26"/>
        </w:rPr>
      </w:pPr>
      <w:r w:rsidRPr="00721C4A">
        <w:rPr>
          <w:sz w:val="26"/>
          <w:szCs w:val="26"/>
          <w:u w:val="single"/>
        </w:rPr>
        <w:t>Issue 2</w:t>
      </w:r>
      <w:r w:rsidRPr="00721C4A">
        <w:rPr>
          <w:sz w:val="26"/>
          <w:szCs w:val="26"/>
        </w:rPr>
        <w:t xml:space="preserve">: </w:t>
      </w:r>
      <w:r w:rsidRPr="00721C4A">
        <w:rPr>
          <w:i/>
          <w:iCs/>
          <w:sz w:val="26"/>
          <w:szCs w:val="26"/>
        </w:rPr>
        <w:t>Brady</w:t>
      </w:r>
      <w:r w:rsidRPr="00721C4A">
        <w:rPr>
          <w:sz w:val="26"/>
          <w:szCs w:val="26"/>
        </w:rPr>
        <w:t xml:space="preserve"> violation</w:t>
      </w:r>
    </w:p>
    <w:p w14:paraId="7D8BEE26" w14:textId="4F79F83B" w:rsidR="00DE60A5" w:rsidRPr="00721C4A" w:rsidRDefault="00DE60A5" w:rsidP="00DF25ED">
      <w:pPr>
        <w:pStyle w:val="Default"/>
        <w:rPr>
          <w:sz w:val="26"/>
          <w:szCs w:val="26"/>
        </w:rPr>
      </w:pPr>
    </w:p>
    <w:p w14:paraId="65C3586D" w14:textId="6D436C93" w:rsidR="00A54349" w:rsidRPr="00721C4A" w:rsidRDefault="00A54349" w:rsidP="00DF25ED">
      <w:pPr>
        <w:pStyle w:val="Default"/>
        <w:rPr>
          <w:sz w:val="26"/>
          <w:szCs w:val="26"/>
        </w:rPr>
      </w:pPr>
      <w:r w:rsidRPr="00721C4A">
        <w:rPr>
          <w:sz w:val="26"/>
          <w:szCs w:val="26"/>
        </w:rPr>
        <w:t xml:space="preserve">Flynn was charged with pointing a gun at Gariby in a road rage incident.  Neither the gun nor Cadillac Flynn was allegedly driving in the incident was ever recovered by the police.  Instead, they tracked a temporary </w:t>
      </w:r>
      <w:r w:rsidR="009A53F2" w:rsidRPr="00721C4A">
        <w:rPr>
          <w:sz w:val="26"/>
          <w:szCs w:val="26"/>
        </w:rPr>
        <w:t>tag</w:t>
      </w:r>
      <w:r w:rsidRPr="00721C4A">
        <w:rPr>
          <w:sz w:val="26"/>
          <w:szCs w:val="26"/>
        </w:rPr>
        <w:t xml:space="preserve"> on the Cadillac to</w:t>
      </w:r>
      <w:r w:rsidR="009A53F2" w:rsidRPr="00721C4A">
        <w:rPr>
          <w:sz w:val="26"/>
          <w:szCs w:val="26"/>
        </w:rPr>
        <w:t xml:space="preserve"> a car owned by</w:t>
      </w:r>
      <w:r w:rsidRPr="00721C4A">
        <w:rPr>
          <w:sz w:val="26"/>
          <w:szCs w:val="26"/>
        </w:rPr>
        <w:t xml:space="preserve"> Flynn's father.  Gariby then ID'd Flynn in a phot</w:t>
      </w:r>
      <w:r w:rsidR="009A53F2" w:rsidRPr="00721C4A">
        <w:rPr>
          <w:sz w:val="26"/>
          <w:szCs w:val="26"/>
        </w:rPr>
        <w:t>o</w:t>
      </w:r>
      <w:r w:rsidRPr="00721C4A">
        <w:rPr>
          <w:sz w:val="26"/>
          <w:szCs w:val="26"/>
        </w:rPr>
        <w:t>graphic array.</w:t>
      </w:r>
    </w:p>
    <w:p w14:paraId="1534C4B4" w14:textId="353BB558" w:rsidR="00A54349" w:rsidRPr="00721C4A" w:rsidRDefault="00A54349" w:rsidP="00DF25ED">
      <w:pPr>
        <w:pStyle w:val="Default"/>
        <w:rPr>
          <w:sz w:val="26"/>
          <w:szCs w:val="26"/>
        </w:rPr>
      </w:pPr>
    </w:p>
    <w:p w14:paraId="4EA8C842" w14:textId="02E978B8" w:rsidR="00EB6BD6" w:rsidRPr="00721C4A" w:rsidRDefault="00EB6BD6" w:rsidP="00DF25ED">
      <w:pPr>
        <w:pStyle w:val="Default"/>
        <w:rPr>
          <w:sz w:val="26"/>
          <w:szCs w:val="26"/>
        </w:rPr>
      </w:pPr>
      <w:r w:rsidRPr="00721C4A">
        <w:rPr>
          <w:sz w:val="26"/>
          <w:szCs w:val="26"/>
        </w:rPr>
        <w:t>At trial, detective</w:t>
      </w:r>
      <w:r w:rsidR="009A53F2" w:rsidRPr="00721C4A">
        <w:rPr>
          <w:sz w:val="26"/>
          <w:szCs w:val="26"/>
        </w:rPr>
        <w:t xml:space="preserve"> Groff</w:t>
      </w:r>
      <w:r w:rsidRPr="00721C4A">
        <w:rPr>
          <w:sz w:val="26"/>
          <w:szCs w:val="26"/>
        </w:rPr>
        <w:t xml:space="preserve"> testified that for a couple</w:t>
      </w:r>
      <w:r w:rsidR="009A53F2" w:rsidRPr="00721C4A">
        <w:rPr>
          <w:sz w:val="26"/>
          <w:szCs w:val="26"/>
        </w:rPr>
        <w:t xml:space="preserve"> of</w:t>
      </w:r>
      <w:r w:rsidRPr="00721C4A">
        <w:rPr>
          <w:sz w:val="26"/>
          <w:szCs w:val="26"/>
        </w:rPr>
        <w:t xml:space="preserve"> weeks, he “made special efforts daily” to drive by Flynn’s house, but never saw the Cadillac in front of the house. In response to a jury question, Groff also testified that he checked </w:t>
      </w:r>
      <w:r w:rsidR="009A53F2" w:rsidRPr="00721C4A">
        <w:rPr>
          <w:sz w:val="26"/>
          <w:szCs w:val="26"/>
        </w:rPr>
        <w:t xml:space="preserve">the </w:t>
      </w:r>
      <w:r w:rsidRPr="00721C4A">
        <w:rPr>
          <w:sz w:val="26"/>
          <w:szCs w:val="26"/>
        </w:rPr>
        <w:t>Division of Motor Vehicles (DMV) records and failed to find a Cadillac registered to Flynn’s address. Groff did not document these efforts in any police report, and the information was not provided to the defense before trial.</w:t>
      </w:r>
    </w:p>
    <w:p w14:paraId="6AA0E108" w14:textId="77777777" w:rsidR="00EB6BD6" w:rsidRPr="00721C4A" w:rsidRDefault="00EB6BD6" w:rsidP="00DF25ED">
      <w:pPr>
        <w:pStyle w:val="Default"/>
        <w:rPr>
          <w:sz w:val="26"/>
          <w:szCs w:val="26"/>
        </w:rPr>
      </w:pPr>
    </w:p>
    <w:p w14:paraId="1CAC37FF" w14:textId="4751D3C1" w:rsidR="00EB6BD6" w:rsidRPr="00721C4A" w:rsidRDefault="00DE60A5" w:rsidP="00DF25ED">
      <w:pPr>
        <w:pStyle w:val="Default"/>
        <w:rPr>
          <w:sz w:val="26"/>
          <w:szCs w:val="26"/>
        </w:rPr>
      </w:pPr>
      <w:r w:rsidRPr="00721C4A">
        <w:rPr>
          <w:sz w:val="26"/>
          <w:szCs w:val="26"/>
        </w:rPr>
        <w:t>The division agreed that evidence was suppressed</w:t>
      </w:r>
      <w:r w:rsidR="00EB6BD6" w:rsidRPr="00721C4A">
        <w:rPr>
          <w:sz w:val="26"/>
          <w:szCs w:val="26"/>
        </w:rPr>
        <w:t xml:space="preserve"> because the information was not turned over prior to trial.  But </w:t>
      </w:r>
      <w:r w:rsidR="00EB6BD6" w:rsidRPr="00721C4A">
        <w:rPr>
          <w:i/>
          <w:iCs/>
          <w:sz w:val="26"/>
          <w:szCs w:val="26"/>
        </w:rPr>
        <w:t>Brady</w:t>
      </w:r>
      <w:r w:rsidR="00EB6BD6" w:rsidRPr="00721C4A">
        <w:rPr>
          <w:sz w:val="26"/>
          <w:szCs w:val="26"/>
        </w:rPr>
        <w:t xml:space="preserve"> requires that the suppressed evidence be both material and exculpatory before a violation of Due Process can be found.  </w:t>
      </w:r>
    </w:p>
    <w:p w14:paraId="29356529" w14:textId="0076ABC4" w:rsidR="00EB6BD6" w:rsidRPr="00721C4A" w:rsidRDefault="00EB6BD6" w:rsidP="00DF25ED">
      <w:pPr>
        <w:pStyle w:val="Default"/>
        <w:rPr>
          <w:sz w:val="26"/>
          <w:szCs w:val="26"/>
        </w:rPr>
      </w:pPr>
    </w:p>
    <w:p w14:paraId="63A837D2" w14:textId="2E5DDA23" w:rsidR="00EB6BD6" w:rsidRPr="00721C4A" w:rsidRDefault="00EB6BD6" w:rsidP="00DF25ED">
      <w:pPr>
        <w:pStyle w:val="Default"/>
        <w:rPr>
          <w:sz w:val="26"/>
          <w:szCs w:val="26"/>
        </w:rPr>
      </w:pPr>
      <w:r w:rsidRPr="00721C4A">
        <w:rPr>
          <w:sz w:val="26"/>
          <w:szCs w:val="26"/>
        </w:rPr>
        <w:t xml:space="preserve">The division found the driveby failure to spot the Cadillac at the house was not </w:t>
      </w:r>
      <w:r w:rsidR="009A53F2" w:rsidRPr="00721C4A">
        <w:rPr>
          <w:sz w:val="26"/>
          <w:szCs w:val="26"/>
        </w:rPr>
        <w:t>important</w:t>
      </w:r>
      <w:r w:rsidRPr="00721C4A">
        <w:rPr>
          <w:sz w:val="26"/>
          <w:szCs w:val="26"/>
        </w:rPr>
        <w:t>. The drivebys were limited in time</w:t>
      </w:r>
      <w:r w:rsidR="009A53F2" w:rsidRPr="00721C4A">
        <w:rPr>
          <w:sz w:val="26"/>
          <w:szCs w:val="26"/>
        </w:rPr>
        <w:t>,</w:t>
      </w:r>
      <w:r w:rsidRPr="00721C4A">
        <w:rPr>
          <w:sz w:val="26"/>
          <w:szCs w:val="26"/>
        </w:rPr>
        <w:t xml:space="preserve"> and there was a large garage on the property that could have hidden the car.  So the failure to see the car during th</w:t>
      </w:r>
      <w:r w:rsidR="009A53F2" w:rsidRPr="00721C4A">
        <w:rPr>
          <w:sz w:val="26"/>
          <w:szCs w:val="26"/>
        </w:rPr>
        <w:t>e drivebys</w:t>
      </w:r>
      <w:r w:rsidRPr="00721C4A">
        <w:rPr>
          <w:sz w:val="26"/>
          <w:szCs w:val="26"/>
        </w:rPr>
        <w:t xml:space="preserve"> was not important.</w:t>
      </w:r>
    </w:p>
    <w:p w14:paraId="402ECFBE" w14:textId="0BE5837E" w:rsidR="00EB6BD6" w:rsidRPr="00721C4A" w:rsidRDefault="00EB6BD6" w:rsidP="00DF25ED">
      <w:pPr>
        <w:pStyle w:val="Default"/>
        <w:rPr>
          <w:sz w:val="26"/>
          <w:szCs w:val="26"/>
        </w:rPr>
      </w:pPr>
      <w:r w:rsidRPr="00721C4A">
        <w:rPr>
          <w:sz w:val="26"/>
          <w:szCs w:val="26"/>
        </w:rPr>
        <w:lastRenderedPageBreak/>
        <w:t>However, the DMV records search was a closer call. The DMV search was unable to connect the Cadillac identified by Garibay</w:t>
      </w:r>
      <w:r w:rsidR="009A53F2" w:rsidRPr="00721C4A">
        <w:rPr>
          <w:sz w:val="26"/>
          <w:szCs w:val="26"/>
        </w:rPr>
        <w:t>,</w:t>
      </w:r>
      <w:r w:rsidRPr="00721C4A">
        <w:rPr>
          <w:sz w:val="26"/>
          <w:szCs w:val="26"/>
        </w:rPr>
        <w:t xml:space="preserve"> to Flynn or his residence. Thus, evidence of this DMV search was exculpatory because it mitigated, albeit only slightly, the likelihood that Flynn was the driver of the Cadillac.</w:t>
      </w:r>
      <w:r w:rsidR="001D0550" w:rsidRPr="00721C4A">
        <w:rPr>
          <w:sz w:val="26"/>
          <w:szCs w:val="26"/>
        </w:rPr>
        <w:t xml:space="preserve"> But the division found the evidence was not material – primarily because the jury heard the testimony and convicted anyway.  They did not care that </w:t>
      </w:r>
      <w:r w:rsidR="009A53F2" w:rsidRPr="00721C4A">
        <w:rPr>
          <w:sz w:val="26"/>
          <w:szCs w:val="26"/>
        </w:rPr>
        <w:t xml:space="preserve">the failure to timely disclose this information deprived counsel </w:t>
      </w:r>
      <w:r w:rsidR="001D0550" w:rsidRPr="00721C4A">
        <w:rPr>
          <w:sz w:val="26"/>
          <w:szCs w:val="26"/>
        </w:rPr>
        <w:t xml:space="preserve">the opportunity to develop other evidence based on this information.  </w:t>
      </w:r>
    </w:p>
    <w:p w14:paraId="18299131" w14:textId="0DB3D1D5" w:rsidR="001D0550" w:rsidRPr="00721C4A" w:rsidRDefault="001D0550" w:rsidP="00DF25ED">
      <w:pPr>
        <w:pStyle w:val="Default"/>
        <w:rPr>
          <w:sz w:val="26"/>
          <w:szCs w:val="26"/>
        </w:rPr>
      </w:pPr>
    </w:p>
    <w:p w14:paraId="4685815D" w14:textId="2E5E64FB" w:rsidR="001D0550" w:rsidRPr="00721C4A" w:rsidRDefault="001D0550" w:rsidP="00DF25ED">
      <w:pPr>
        <w:pStyle w:val="Default"/>
        <w:rPr>
          <w:sz w:val="26"/>
          <w:szCs w:val="26"/>
        </w:rPr>
      </w:pPr>
      <w:r w:rsidRPr="00721C4A">
        <w:rPr>
          <w:sz w:val="26"/>
          <w:szCs w:val="26"/>
          <w:u w:val="single"/>
        </w:rPr>
        <w:t>Issue</w:t>
      </w:r>
      <w:r w:rsidR="00AE552B">
        <w:rPr>
          <w:sz w:val="26"/>
          <w:szCs w:val="26"/>
          <w:u w:val="single"/>
        </w:rPr>
        <w:t xml:space="preserve"> 3</w:t>
      </w:r>
      <w:r w:rsidRPr="00721C4A">
        <w:rPr>
          <w:sz w:val="26"/>
          <w:szCs w:val="26"/>
        </w:rPr>
        <w:t>: Trial Judge's Voir Dire</w:t>
      </w:r>
    </w:p>
    <w:p w14:paraId="0AE34A84" w14:textId="77777777" w:rsidR="009A53F2" w:rsidRPr="00721C4A" w:rsidRDefault="009A53F2" w:rsidP="00DF25ED">
      <w:pPr>
        <w:pStyle w:val="Default"/>
        <w:rPr>
          <w:sz w:val="26"/>
          <w:szCs w:val="26"/>
        </w:rPr>
      </w:pPr>
    </w:p>
    <w:p w14:paraId="3C12DBBA" w14:textId="0E600A26" w:rsidR="00EB6BD6" w:rsidRDefault="002F5CE7" w:rsidP="00DF25ED">
      <w:pPr>
        <w:pStyle w:val="Default"/>
        <w:rPr>
          <w:sz w:val="26"/>
          <w:szCs w:val="26"/>
        </w:rPr>
      </w:pPr>
      <w:r w:rsidRPr="00721C4A">
        <w:rPr>
          <w:sz w:val="26"/>
          <w:szCs w:val="26"/>
        </w:rPr>
        <w:t xml:space="preserve">During voir dire, the judge used a number of hypotheticals and examples to explain several legal concepts to the jury.  Because counsel did not object, the division reviewed for plain error and found none.  </w:t>
      </w:r>
      <w:r w:rsidR="00970BD7" w:rsidRPr="00721C4A">
        <w:rPr>
          <w:sz w:val="26"/>
          <w:szCs w:val="26"/>
        </w:rPr>
        <w:t>This division echoed the recent appeals to trial judges to avoid using extended ex</w:t>
      </w:r>
      <w:r w:rsidR="009A53F2" w:rsidRPr="00721C4A">
        <w:rPr>
          <w:sz w:val="26"/>
          <w:szCs w:val="26"/>
        </w:rPr>
        <w:t>a</w:t>
      </w:r>
      <w:r w:rsidR="00970BD7" w:rsidRPr="00721C4A">
        <w:rPr>
          <w:sz w:val="26"/>
          <w:szCs w:val="26"/>
        </w:rPr>
        <w:t xml:space="preserve">mples and hypotheticals when describing concepts such as reasonable doubt.  The attempts tend to be more likely to confuse jurors then provide clarity.  However, the division found, here there was no reversible error.  </w:t>
      </w:r>
    </w:p>
    <w:p w14:paraId="15720808" w14:textId="52AAE589" w:rsidR="00721C4A" w:rsidRDefault="00721C4A" w:rsidP="00DF25ED">
      <w:pPr>
        <w:pStyle w:val="Default"/>
        <w:rPr>
          <w:sz w:val="26"/>
          <w:szCs w:val="26"/>
        </w:rPr>
      </w:pPr>
    </w:p>
    <w:p w14:paraId="01348F51" w14:textId="7BB3A978" w:rsidR="00721C4A" w:rsidRPr="00721C4A" w:rsidRDefault="00721C4A" w:rsidP="00DF25ED">
      <w:pPr>
        <w:pStyle w:val="Default"/>
        <w:rPr>
          <w:sz w:val="26"/>
          <w:szCs w:val="26"/>
        </w:rPr>
      </w:pPr>
      <w:r>
        <w:rPr>
          <w:sz w:val="26"/>
          <w:szCs w:val="26"/>
        </w:rPr>
        <w:t>The exact hypotheticals are set forth in the opinion.  I omit the content because it did not seem to matter to the division.  Feel free to read the court's language if you want.</w:t>
      </w:r>
    </w:p>
    <w:p w14:paraId="68E3108D" w14:textId="69FED1CE" w:rsidR="00970BD7" w:rsidRPr="00721C4A" w:rsidRDefault="00970BD7" w:rsidP="00DF25ED">
      <w:pPr>
        <w:pStyle w:val="Default"/>
        <w:rPr>
          <w:sz w:val="26"/>
          <w:szCs w:val="26"/>
        </w:rPr>
      </w:pPr>
    </w:p>
    <w:p w14:paraId="6FC3AAD8" w14:textId="237E92D1" w:rsidR="00970BD7" w:rsidRPr="00721C4A" w:rsidRDefault="00970BD7" w:rsidP="00DF25ED">
      <w:pPr>
        <w:pStyle w:val="Default"/>
        <w:rPr>
          <w:sz w:val="26"/>
          <w:szCs w:val="26"/>
        </w:rPr>
      </w:pPr>
      <w:r w:rsidRPr="00721C4A">
        <w:rPr>
          <w:sz w:val="26"/>
          <w:szCs w:val="26"/>
        </w:rPr>
        <w:t xml:space="preserve">Each of the hypotheticals here was discussed verbally, and only once. None was mentioned again at any time during the proceedings. The trial court read the correct definitions of beyond a reasonable doubt and presumption of innocence contemporaneously with the discussions. Indeed, the trial court repeatedly referred back to the appropriate standard definition of reasonable doubt. And </w:t>
      </w:r>
      <w:r w:rsidR="009A53F2" w:rsidRPr="00721C4A">
        <w:rPr>
          <w:sz w:val="26"/>
          <w:szCs w:val="26"/>
        </w:rPr>
        <w:t>before deliberations,</w:t>
      </w:r>
      <w:r w:rsidRPr="00721C4A">
        <w:rPr>
          <w:sz w:val="26"/>
          <w:szCs w:val="26"/>
        </w:rPr>
        <w:t xml:space="preserve"> </w:t>
      </w:r>
      <w:r w:rsidR="009A53F2" w:rsidRPr="00721C4A">
        <w:rPr>
          <w:sz w:val="26"/>
          <w:szCs w:val="26"/>
        </w:rPr>
        <w:t xml:space="preserve">the judge read correct instructions to the jury. </w:t>
      </w:r>
      <w:r w:rsidRPr="00721C4A">
        <w:rPr>
          <w:sz w:val="26"/>
          <w:szCs w:val="26"/>
        </w:rPr>
        <w:t xml:space="preserve">Thus, </w:t>
      </w:r>
      <w:r w:rsidR="009A53F2" w:rsidRPr="00721C4A">
        <w:rPr>
          <w:sz w:val="26"/>
          <w:szCs w:val="26"/>
        </w:rPr>
        <w:t>they</w:t>
      </w:r>
      <w:r w:rsidRPr="00721C4A">
        <w:rPr>
          <w:sz w:val="26"/>
          <w:szCs w:val="26"/>
        </w:rPr>
        <w:t xml:space="preserve"> conclude</w:t>
      </w:r>
      <w:r w:rsidR="009A53F2" w:rsidRPr="00721C4A">
        <w:rPr>
          <w:sz w:val="26"/>
          <w:szCs w:val="26"/>
        </w:rPr>
        <w:t>d</w:t>
      </w:r>
      <w:r w:rsidRPr="00721C4A">
        <w:rPr>
          <w:sz w:val="26"/>
          <w:szCs w:val="26"/>
        </w:rPr>
        <w:t xml:space="preserve"> the comments did not lower the burden of proof.</w:t>
      </w:r>
    </w:p>
    <w:p w14:paraId="2DABC508" w14:textId="77777777" w:rsidR="00DE60A5" w:rsidRPr="00721C4A" w:rsidRDefault="00DE60A5" w:rsidP="00DF25ED">
      <w:pPr>
        <w:pStyle w:val="Default"/>
        <w:rPr>
          <w:sz w:val="26"/>
          <w:szCs w:val="26"/>
        </w:rPr>
      </w:pPr>
    </w:p>
    <w:p w14:paraId="6B20C0E3" w14:textId="3F7B5D24" w:rsidR="00DF25ED" w:rsidRPr="00721C4A" w:rsidRDefault="00DF25ED">
      <w:pPr>
        <w:rPr>
          <w:szCs w:val="26"/>
        </w:rPr>
      </w:pPr>
    </w:p>
    <w:p w14:paraId="68DC8B5B" w14:textId="77777777" w:rsidR="00721C4A" w:rsidRDefault="00721C4A">
      <w:pPr>
        <w:spacing w:after="160" w:line="259" w:lineRule="auto"/>
        <w:contextualSpacing w:val="0"/>
        <w:rPr>
          <w:i/>
          <w:iCs/>
          <w:szCs w:val="26"/>
        </w:rPr>
      </w:pPr>
      <w:r>
        <w:rPr>
          <w:i/>
          <w:iCs/>
          <w:szCs w:val="26"/>
        </w:rPr>
        <w:br w:type="page"/>
      </w:r>
    </w:p>
    <w:p w14:paraId="1FAC1A8A" w14:textId="7654B631" w:rsidR="00DF25ED" w:rsidRPr="00AE552B" w:rsidRDefault="0003297B">
      <w:pPr>
        <w:rPr>
          <w:szCs w:val="26"/>
        </w:rPr>
      </w:pPr>
      <w:r w:rsidRPr="00721C4A">
        <w:rPr>
          <w:i/>
          <w:iCs/>
          <w:szCs w:val="26"/>
        </w:rPr>
        <w:lastRenderedPageBreak/>
        <w:t>People v. Sifuentes</w:t>
      </w:r>
      <w:r w:rsidRPr="00721C4A">
        <w:rPr>
          <w:szCs w:val="26"/>
        </w:rPr>
        <w:t>, 2019COA106 (July 11, 2019) Richman, J. ordering a limiting remand with Judge Rothenberg dissenti</w:t>
      </w:r>
      <w:r w:rsidRPr="00AE552B">
        <w:rPr>
          <w:szCs w:val="26"/>
        </w:rPr>
        <w:t>ng</w:t>
      </w:r>
    </w:p>
    <w:p w14:paraId="2ADE5ACE" w14:textId="2F4E64FB" w:rsidR="00AE552B" w:rsidRPr="00AE552B" w:rsidRDefault="00AE552B">
      <w:pPr>
        <w:rPr>
          <w:szCs w:val="26"/>
        </w:rPr>
      </w:pPr>
    </w:p>
    <w:p w14:paraId="6D84CA59" w14:textId="37C3D1D0" w:rsidR="00AE552B" w:rsidRPr="00AE552B" w:rsidRDefault="00AE552B">
      <w:pPr>
        <w:rPr>
          <w:szCs w:val="26"/>
        </w:rPr>
      </w:pPr>
      <w:r w:rsidRPr="00AE552B">
        <w:rPr>
          <w:color w:val="403F42"/>
          <w:szCs w:val="26"/>
          <w:u w:val="single"/>
          <w:shd w:val="clear" w:color="auto" w:fill="FFFFFF"/>
        </w:rPr>
        <w:t>Issue</w:t>
      </w:r>
      <w:r w:rsidRPr="00AE552B">
        <w:rPr>
          <w:color w:val="403F42"/>
          <w:szCs w:val="26"/>
          <w:shd w:val="clear" w:color="auto" w:fill="FFFFFF"/>
        </w:rPr>
        <w:t>: Legal Standard or Test for Granting or Denying a Continuance</w:t>
      </w:r>
    </w:p>
    <w:p w14:paraId="5E8AF9C2" w14:textId="149C6225" w:rsidR="0003297B" w:rsidRPr="00AE552B" w:rsidRDefault="0003297B">
      <w:pPr>
        <w:rPr>
          <w:szCs w:val="26"/>
        </w:rPr>
      </w:pPr>
    </w:p>
    <w:p w14:paraId="05BF5976" w14:textId="77777777" w:rsidR="009A53F2" w:rsidRPr="00721C4A" w:rsidRDefault="0003297B">
      <w:pPr>
        <w:rPr>
          <w:szCs w:val="26"/>
        </w:rPr>
      </w:pPr>
      <w:r w:rsidRPr="00AE552B">
        <w:rPr>
          <w:szCs w:val="26"/>
        </w:rPr>
        <w:t xml:space="preserve">Six days before trial, appointed counsel </w:t>
      </w:r>
      <w:r w:rsidR="009A53F2" w:rsidRPr="00AE552B">
        <w:rPr>
          <w:szCs w:val="26"/>
        </w:rPr>
        <w:t>asked for a continuance.  Counsel stated</w:t>
      </w:r>
      <w:r w:rsidR="00843447" w:rsidRPr="00AE552B">
        <w:rPr>
          <w:szCs w:val="26"/>
        </w:rPr>
        <w:t xml:space="preserve"> that Sifuentes' family has been in touch with a</w:t>
      </w:r>
      <w:r w:rsidR="009A53F2" w:rsidRPr="00AE552B">
        <w:rPr>
          <w:szCs w:val="26"/>
        </w:rPr>
        <w:t xml:space="preserve">n attorney </w:t>
      </w:r>
      <w:r w:rsidR="00843447" w:rsidRPr="00AE552B">
        <w:rPr>
          <w:szCs w:val="26"/>
        </w:rPr>
        <w:t>they want to hire</w:t>
      </w:r>
      <w:r w:rsidR="009A53F2" w:rsidRPr="00AE552B">
        <w:rPr>
          <w:szCs w:val="26"/>
        </w:rPr>
        <w:t>,</w:t>
      </w:r>
      <w:r w:rsidR="00843447" w:rsidRPr="00AE552B">
        <w:rPr>
          <w:szCs w:val="26"/>
        </w:rPr>
        <w:t xml:space="preserve"> but they were just a hundred o</w:t>
      </w:r>
      <w:r w:rsidR="00843447" w:rsidRPr="00721C4A">
        <w:rPr>
          <w:szCs w:val="26"/>
        </w:rPr>
        <w:t>r a couple</w:t>
      </w:r>
      <w:r w:rsidR="009A53F2" w:rsidRPr="00721C4A">
        <w:rPr>
          <w:szCs w:val="26"/>
        </w:rPr>
        <w:t xml:space="preserve"> of</w:t>
      </w:r>
      <w:r w:rsidR="00843447" w:rsidRPr="00721C4A">
        <w:rPr>
          <w:szCs w:val="26"/>
        </w:rPr>
        <w:t xml:space="preserve"> hundred </w:t>
      </w:r>
      <w:r w:rsidR="009A53F2" w:rsidRPr="00721C4A">
        <w:rPr>
          <w:szCs w:val="26"/>
        </w:rPr>
        <w:t xml:space="preserve">dollars </w:t>
      </w:r>
      <w:r w:rsidR="00843447" w:rsidRPr="00721C4A">
        <w:rPr>
          <w:szCs w:val="26"/>
        </w:rPr>
        <w:t>short of the required retainer.  The court</w:t>
      </w:r>
      <w:r w:rsidR="009A53F2" w:rsidRPr="00721C4A">
        <w:rPr>
          <w:szCs w:val="26"/>
        </w:rPr>
        <w:t xml:space="preserve"> denied the request</w:t>
      </w:r>
      <w:r w:rsidR="00843447" w:rsidRPr="00721C4A">
        <w:rPr>
          <w:szCs w:val="26"/>
        </w:rPr>
        <w:t xml:space="preserve"> noting that (1) the case was “very old”; (2) “a lot of people on both sides” needed resolution; and (3) it had not heard from an attorney wanting to enter an appearance.  Sifuentes then spoke </w:t>
      </w:r>
      <w:r w:rsidR="009A53F2" w:rsidRPr="00721C4A">
        <w:rPr>
          <w:szCs w:val="26"/>
        </w:rPr>
        <w:t>up</w:t>
      </w:r>
      <w:r w:rsidR="00843447" w:rsidRPr="00721C4A">
        <w:rPr>
          <w:szCs w:val="26"/>
        </w:rPr>
        <w:t xml:space="preserve"> and asked </w:t>
      </w:r>
      <w:r w:rsidR="009A53F2" w:rsidRPr="00721C4A">
        <w:rPr>
          <w:szCs w:val="26"/>
        </w:rPr>
        <w:t>whether</w:t>
      </w:r>
      <w:r w:rsidR="00843447" w:rsidRPr="00721C4A">
        <w:rPr>
          <w:szCs w:val="26"/>
        </w:rPr>
        <w:t xml:space="preserve"> his des</w:t>
      </w:r>
      <w:r w:rsidR="009A53F2" w:rsidRPr="00721C4A">
        <w:rPr>
          <w:szCs w:val="26"/>
        </w:rPr>
        <w:t>ir</w:t>
      </w:r>
      <w:r w:rsidR="00843447" w:rsidRPr="00721C4A">
        <w:rPr>
          <w:szCs w:val="26"/>
        </w:rPr>
        <w:t xml:space="preserve">ed attorneys could show up on the trial date.  </w:t>
      </w:r>
      <w:r w:rsidR="009A53F2" w:rsidRPr="00721C4A">
        <w:rPr>
          <w:szCs w:val="26"/>
        </w:rPr>
        <w:t>The j</w:t>
      </w:r>
      <w:r w:rsidR="00843447" w:rsidRPr="00721C4A">
        <w:rPr>
          <w:szCs w:val="26"/>
        </w:rPr>
        <w:t xml:space="preserve">udge said no, it was too late.  </w:t>
      </w:r>
    </w:p>
    <w:p w14:paraId="2722D6D3" w14:textId="77777777" w:rsidR="009A53F2" w:rsidRPr="00721C4A" w:rsidRDefault="009A53F2">
      <w:pPr>
        <w:rPr>
          <w:szCs w:val="26"/>
        </w:rPr>
      </w:pPr>
    </w:p>
    <w:p w14:paraId="5F3C03A9" w14:textId="67022B66" w:rsidR="0003297B" w:rsidRPr="00721C4A" w:rsidRDefault="00843447">
      <w:pPr>
        <w:rPr>
          <w:szCs w:val="26"/>
        </w:rPr>
      </w:pPr>
      <w:r w:rsidRPr="00721C4A">
        <w:rPr>
          <w:szCs w:val="26"/>
        </w:rPr>
        <w:t>Again, on the first day of trial</w:t>
      </w:r>
      <w:r w:rsidR="009A53F2" w:rsidRPr="00721C4A">
        <w:rPr>
          <w:szCs w:val="26"/>
        </w:rPr>
        <w:t>,</w:t>
      </w:r>
      <w:r w:rsidRPr="00721C4A">
        <w:rPr>
          <w:szCs w:val="26"/>
        </w:rPr>
        <w:t xml:space="preserve"> Sifuentes </w:t>
      </w:r>
      <w:r w:rsidR="009A53F2" w:rsidRPr="00721C4A">
        <w:rPr>
          <w:szCs w:val="26"/>
        </w:rPr>
        <w:t xml:space="preserve">asked for a continuance because </w:t>
      </w:r>
      <w:r w:rsidRPr="00721C4A">
        <w:rPr>
          <w:szCs w:val="26"/>
        </w:rPr>
        <w:t xml:space="preserve">he was unhappy with appointed counsel and thought there was a conflict </w:t>
      </w:r>
      <w:r w:rsidR="009A53F2" w:rsidRPr="00721C4A">
        <w:rPr>
          <w:szCs w:val="26"/>
        </w:rPr>
        <w:t xml:space="preserve">caused by a disagreement over </w:t>
      </w:r>
      <w:r w:rsidRPr="00721C4A">
        <w:rPr>
          <w:szCs w:val="26"/>
        </w:rPr>
        <w:t>appointed counsel's tactical decisions.  The trial judge determined there was no conflict, noted no other attorney was present and refused to continue the case.  Sifuentes was convicted.</w:t>
      </w:r>
    </w:p>
    <w:p w14:paraId="5947DC7E" w14:textId="34E2B1F4" w:rsidR="009A53F2" w:rsidRPr="00721C4A" w:rsidRDefault="009A53F2">
      <w:pPr>
        <w:rPr>
          <w:szCs w:val="26"/>
        </w:rPr>
      </w:pPr>
    </w:p>
    <w:p w14:paraId="77D1B1DB" w14:textId="6E2F69A9" w:rsidR="009A53F2" w:rsidRPr="00721C4A" w:rsidRDefault="009A53F2">
      <w:pPr>
        <w:rPr>
          <w:szCs w:val="26"/>
        </w:rPr>
      </w:pPr>
      <w:r w:rsidRPr="00721C4A">
        <w:rPr>
          <w:szCs w:val="26"/>
        </w:rPr>
        <w:t xml:space="preserve">On appeal, Sifuentes argued that the trial court abused its discretion by denying his requests for a continuance to secure counsel of choice.  </w:t>
      </w:r>
    </w:p>
    <w:p w14:paraId="45F37771" w14:textId="283A0E02" w:rsidR="00843447" w:rsidRPr="00721C4A" w:rsidRDefault="00843447">
      <w:pPr>
        <w:rPr>
          <w:szCs w:val="26"/>
        </w:rPr>
      </w:pPr>
    </w:p>
    <w:p w14:paraId="21117B2F" w14:textId="77777777" w:rsidR="009A53F2" w:rsidRPr="00721C4A" w:rsidRDefault="009A53F2">
      <w:pPr>
        <w:rPr>
          <w:szCs w:val="26"/>
        </w:rPr>
      </w:pPr>
      <w:r w:rsidRPr="00721C4A">
        <w:rPr>
          <w:szCs w:val="26"/>
        </w:rPr>
        <w:t xml:space="preserve">A </w:t>
      </w:r>
      <w:r w:rsidR="00AE7D2A" w:rsidRPr="00721C4A">
        <w:rPr>
          <w:szCs w:val="26"/>
        </w:rPr>
        <w:t xml:space="preserve">majority of this division stated it was unclear whether </w:t>
      </w:r>
      <w:r w:rsidR="00AE7D2A" w:rsidRPr="00721C4A">
        <w:rPr>
          <w:i/>
          <w:iCs/>
          <w:szCs w:val="26"/>
        </w:rPr>
        <w:t xml:space="preserve">Brown </w:t>
      </w:r>
      <w:r w:rsidR="00AE7D2A" w:rsidRPr="00721C4A">
        <w:rPr>
          <w:szCs w:val="26"/>
        </w:rPr>
        <w:t xml:space="preserve">or </w:t>
      </w:r>
      <w:r w:rsidR="00AE7D2A" w:rsidRPr="00721C4A">
        <w:rPr>
          <w:i/>
          <w:iCs/>
          <w:szCs w:val="26"/>
        </w:rPr>
        <w:t>Travis</w:t>
      </w:r>
      <w:r w:rsidR="00AE7D2A" w:rsidRPr="00721C4A">
        <w:rPr>
          <w:szCs w:val="26"/>
        </w:rPr>
        <w:t xml:space="preserve"> applied where, as here, a defendant has selected unnamed private counsel that he cannot yet afford to retain.</w:t>
      </w:r>
      <w:r w:rsidRPr="00721C4A">
        <w:rPr>
          <w:szCs w:val="26"/>
        </w:rPr>
        <w:t xml:space="preserve">  </w:t>
      </w:r>
      <w:r w:rsidR="00FF5B00" w:rsidRPr="00721C4A">
        <w:rPr>
          <w:szCs w:val="26"/>
        </w:rPr>
        <w:t xml:space="preserve">A defendant’s right to counsel of choice is invoked when the defendant’s retention of private counsel is substantially definite, in name and in funds.  In </w:t>
      </w:r>
      <w:r w:rsidR="00FF5B00" w:rsidRPr="00721C4A">
        <w:rPr>
          <w:i/>
          <w:iCs/>
          <w:szCs w:val="26"/>
        </w:rPr>
        <w:t>Brown</w:t>
      </w:r>
      <w:r w:rsidR="00FF5B00" w:rsidRPr="00721C4A">
        <w:rPr>
          <w:szCs w:val="26"/>
        </w:rPr>
        <w:t xml:space="preserve">, replacement counsel came into court.  In </w:t>
      </w:r>
      <w:r w:rsidR="00FF5B00" w:rsidRPr="00721C4A">
        <w:rPr>
          <w:i/>
          <w:iCs/>
          <w:szCs w:val="26"/>
        </w:rPr>
        <w:t>Travis</w:t>
      </w:r>
      <w:r w:rsidR="00FF5B00" w:rsidRPr="00721C4A">
        <w:rPr>
          <w:szCs w:val="26"/>
        </w:rPr>
        <w:t>, the defendant merely said he was going to go out and look for private counsel.  Here, Sifuentes was somewhere in</w:t>
      </w:r>
      <w:r w:rsidRPr="00721C4A">
        <w:rPr>
          <w:szCs w:val="26"/>
        </w:rPr>
        <w:t>-</w:t>
      </w:r>
      <w:r w:rsidR="00FF5B00" w:rsidRPr="00721C4A">
        <w:rPr>
          <w:szCs w:val="26"/>
        </w:rPr>
        <w:t xml:space="preserve">between.  </w:t>
      </w:r>
    </w:p>
    <w:p w14:paraId="02C58F01" w14:textId="77777777" w:rsidR="009A53F2" w:rsidRPr="00721C4A" w:rsidRDefault="009A53F2">
      <w:pPr>
        <w:rPr>
          <w:szCs w:val="26"/>
        </w:rPr>
      </w:pPr>
    </w:p>
    <w:p w14:paraId="141BFEBE" w14:textId="700BBC34" w:rsidR="00FF5B00" w:rsidRPr="00721C4A" w:rsidRDefault="00FF5B00">
      <w:pPr>
        <w:rPr>
          <w:szCs w:val="26"/>
        </w:rPr>
      </w:pPr>
      <w:r w:rsidRPr="00721C4A">
        <w:rPr>
          <w:szCs w:val="26"/>
        </w:rPr>
        <w:t xml:space="preserve">This division distinguished </w:t>
      </w:r>
      <w:r w:rsidRPr="00721C4A">
        <w:rPr>
          <w:i/>
          <w:iCs/>
          <w:szCs w:val="26"/>
        </w:rPr>
        <w:t>Flynn</w:t>
      </w:r>
      <w:r w:rsidRPr="00721C4A">
        <w:rPr>
          <w:szCs w:val="26"/>
        </w:rPr>
        <w:t xml:space="preserve"> because the judge told Sifuentes his counsel of choice could not show up on the trial date. Further, it did not inquire into the name of his chosen attorney, his level of contact with the attorney, or whether he had paid a retainer. As a result, the record is insufficient to indicate (1) whether Sifuentes’s retention of his counsel of choice was substantially definite and thus sufficient to invoke the right; or (2) whether, if invoked, his right to counsel of choice outweighed the public’s interest in the efficiency and integrity of the judicial system. </w:t>
      </w:r>
    </w:p>
    <w:p w14:paraId="0D40027E" w14:textId="6BAC6008" w:rsidR="009A53F2" w:rsidRPr="00721C4A" w:rsidRDefault="009A53F2">
      <w:pPr>
        <w:rPr>
          <w:szCs w:val="26"/>
        </w:rPr>
      </w:pPr>
    </w:p>
    <w:p w14:paraId="3D431038" w14:textId="6FDB0B41" w:rsidR="009A53F2" w:rsidRPr="00721C4A" w:rsidRDefault="009A53F2">
      <w:pPr>
        <w:rPr>
          <w:szCs w:val="26"/>
        </w:rPr>
      </w:pPr>
      <w:r w:rsidRPr="00721C4A">
        <w:rPr>
          <w:szCs w:val="26"/>
        </w:rPr>
        <w:lastRenderedPageBreak/>
        <w:t xml:space="preserve">Therefore, the court, </w:t>
      </w:r>
      <w:r w:rsidRPr="00721C4A">
        <w:rPr>
          <w:i/>
          <w:iCs/>
          <w:szCs w:val="26"/>
        </w:rPr>
        <w:t>sua sponte</w:t>
      </w:r>
      <w:r w:rsidRPr="00721C4A">
        <w:rPr>
          <w:szCs w:val="26"/>
        </w:rPr>
        <w:t xml:space="preserve">, ordered a limited remand </w:t>
      </w:r>
      <w:r w:rsidR="00FF5B00" w:rsidRPr="00721C4A">
        <w:rPr>
          <w:szCs w:val="26"/>
        </w:rPr>
        <w:t xml:space="preserve">for further </w:t>
      </w:r>
      <w:r w:rsidRPr="00721C4A">
        <w:rPr>
          <w:szCs w:val="26"/>
        </w:rPr>
        <w:t xml:space="preserve">factual </w:t>
      </w:r>
      <w:r w:rsidR="00FF5B00" w:rsidRPr="00721C4A">
        <w:rPr>
          <w:szCs w:val="26"/>
        </w:rPr>
        <w:t xml:space="preserve">findings.  At a minimum, </w:t>
      </w:r>
      <w:r w:rsidR="00314C88" w:rsidRPr="00721C4A">
        <w:rPr>
          <w:szCs w:val="26"/>
        </w:rPr>
        <w:t>the district court should</w:t>
      </w:r>
      <w:r w:rsidR="00452E5E" w:rsidRPr="00721C4A">
        <w:rPr>
          <w:szCs w:val="26"/>
        </w:rPr>
        <w:t xml:space="preserve"> make factual findings regarding</w:t>
      </w:r>
      <w:r w:rsidR="00FF5B00" w:rsidRPr="00721C4A">
        <w:rPr>
          <w:szCs w:val="26"/>
        </w:rPr>
        <w:t xml:space="preserve"> (1) the identity of Sifuentes’s proposed private counsel, (2) whether counsel had agreed to represent him if a continuance was granted, (3) whether counsel had accepted any money on his behalf, and (4) how much more money had counsel required before he or she would agree to represent him. </w:t>
      </w:r>
    </w:p>
    <w:p w14:paraId="224C5738" w14:textId="77777777" w:rsidR="009A53F2" w:rsidRPr="00721C4A" w:rsidRDefault="009A53F2">
      <w:pPr>
        <w:rPr>
          <w:szCs w:val="26"/>
        </w:rPr>
      </w:pPr>
    </w:p>
    <w:p w14:paraId="4CA98BF8" w14:textId="60560EE8" w:rsidR="00452E5E" w:rsidRPr="00721C4A" w:rsidRDefault="00721C4A">
      <w:pPr>
        <w:rPr>
          <w:szCs w:val="26"/>
        </w:rPr>
      </w:pPr>
      <w:r>
        <w:rPr>
          <w:szCs w:val="26"/>
        </w:rPr>
        <w:t>T</w:t>
      </w:r>
      <w:r w:rsidR="00452E5E" w:rsidRPr="00721C4A">
        <w:rPr>
          <w:szCs w:val="26"/>
        </w:rPr>
        <w:t xml:space="preserve">he court should then make a legal conclusion concerning whether Sifuentes' </w:t>
      </w:r>
      <w:r w:rsidR="00FF5B00" w:rsidRPr="00721C4A">
        <w:rPr>
          <w:szCs w:val="26"/>
        </w:rPr>
        <w:t>retention of private counsel was not substantially definite before the denial of a continuance</w:t>
      </w:r>
      <w:r w:rsidR="00452E5E" w:rsidRPr="00721C4A">
        <w:rPr>
          <w:szCs w:val="26"/>
        </w:rPr>
        <w:t>.  If it was not substantially definite</w:t>
      </w:r>
      <w:r w:rsidR="00FF5B00" w:rsidRPr="00721C4A">
        <w:rPr>
          <w:szCs w:val="26"/>
        </w:rPr>
        <w:t xml:space="preserve">, </w:t>
      </w:r>
      <w:r w:rsidR="00452E5E" w:rsidRPr="00721C4A">
        <w:rPr>
          <w:szCs w:val="26"/>
        </w:rPr>
        <w:t>then the court does not need to analyze</w:t>
      </w:r>
      <w:r w:rsidR="00FF5B00" w:rsidRPr="00721C4A">
        <w:rPr>
          <w:szCs w:val="26"/>
        </w:rPr>
        <w:t xml:space="preserve"> the </w:t>
      </w:r>
      <w:r w:rsidR="00FF5B00" w:rsidRPr="00721C4A">
        <w:rPr>
          <w:i/>
          <w:iCs/>
          <w:szCs w:val="26"/>
        </w:rPr>
        <w:t>Brown</w:t>
      </w:r>
      <w:r w:rsidR="00FF5B00" w:rsidRPr="00721C4A">
        <w:rPr>
          <w:szCs w:val="26"/>
        </w:rPr>
        <w:t xml:space="preserve"> factors.</w:t>
      </w:r>
      <w:r w:rsidR="009A53F2" w:rsidRPr="00721C4A">
        <w:rPr>
          <w:szCs w:val="26"/>
        </w:rPr>
        <w:t xml:space="preserve">  </w:t>
      </w:r>
    </w:p>
    <w:p w14:paraId="0F6ACAE2" w14:textId="77777777" w:rsidR="00157D9E" w:rsidRDefault="00157D9E">
      <w:pPr>
        <w:rPr>
          <w:szCs w:val="26"/>
        </w:rPr>
      </w:pPr>
    </w:p>
    <w:p w14:paraId="4FE1D5C1" w14:textId="12EFAA73" w:rsidR="00314C88" w:rsidRPr="00721C4A" w:rsidRDefault="00314C88">
      <w:pPr>
        <w:rPr>
          <w:szCs w:val="26"/>
        </w:rPr>
      </w:pPr>
      <w:r w:rsidRPr="00721C4A">
        <w:rPr>
          <w:szCs w:val="26"/>
        </w:rPr>
        <w:t xml:space="preserve">But if the court finds that his proposed retention of private counsel was substantially definite before the denial of a continuance, the court must make findings regarding each of the </w:t>
      </w:r>
      <w:r w:rsidRPr="00721C4A">
        <w:rPr>
          <w:i/>
          <w:iCs/>
          <w:szCs w:val="26"/>
        </w:rPr>
        <w:t>Brown</w:t>
      </w:r>
      <w:r w:rsidRPr="00721C4A">
        <w:rPr>
          <w:szCs w:val="26"/>
        </w:rPr>
        <w:t xml:space="preserve"> factors</w:t>
      </w:r>
      <w:r w:rsidR="009A53F2" w:rsidRPr="00721C4A">
        <w:rPr>
          <w:szCs w:val="26"/>
        </w:rPr>
        <w:t xml:space="preserve">.  </w:t>
      </w:r>
      <w:r w:rsidR="00452E5E" w:rsidRPr="00721C4A">
        <w:rPr>
          <w:szCs w:val="26"/>
        </w:rPr>
        <w:t>T</w:t>
      </w:r>
      <w:r w:rsidR="009A53F2" w:rsidRPr="00721C4A">
        <w:rPr>
          <w:szCs w:val="26"/>
        </w:rPr>
        <w:t xml:space="preserve">he court should </w:t>
      </w:r>
      <w:r w:rsidRPr="00721C4A">
        <w:rPr>
          <w:szCs w:val="26"/>
        </w:rPr>
        <w:t>make a record balancing the public’s interest in the efficiency and integrity of the judicial system against Sifuentes’s Sixth Amendment right to counsel of choice. If the court finds that the balance weighed in favor of granting a continuance, it should so state in its order.</w:t>
      </w:r>
    </w:p>
    <w:p w14:paraId="079D282E" w14:textId="331B328C" w:rsidR="00314C88" w:rsidRPr="00721C4A" w:rsidRDefault="00314C88">
      <w:pPr>
        <w:rPr>
          <w:szCs w:val="26"/>
        </w:rPr>
      </w:pPr>
    </w:p>
    <w:p w14:paraId="356EE36D" w14:textId="7681C350" w:rsidR="00314C88" w:rsidRPr="00721C4A" w:rsidRDefault="00314C88">
      <w:pPr>
        <w:rPr>
          <w:szCs w:val="26"/>
        </w:rPr>
      </w:pPr>
      <w:r w:rsidRPr="00721C4A">
        <w:rPr>
          <w:szCs w:val="26"/>
        </w:rPr>
        <w:t>After the proceedings</w:t>
      </w:r>
      <w:r w:rsidR="00452E5E" w:rsidRPr="00721C4A">
        <w:rPr>
          <w:szCs w:val="26"/>
        </w:rPr>
        <w:t xml:space="preserve"> on limited remand</w:t>
      </w:r>
      <w:r w:rsidRPr="00721C4A">
        <w:rPr>
          <w:szCs w:val="26"/>
        </w:rPr>
        <w:t>, the</w:t>
      </w:r>
      <w:r w:rsidR="00452E5E" w:rsidRPr="00721C4A">
        <w:rPr>
          <w:szCs w:val="26"/>
        </w:rPr>
        <w:t xml:space="preserve"> case will be re-certified to the</w:t>
      </w:r>
      <w:r w:rsidRPr="00721C4A">
        <w:rPr>
          <w:szCs w:val="26"/>
        </w:rPr>
        <w:t xml:space="preserve"> COA </w:t>
      </w:r>
      <w:r w:rsidR="00452E5E" w:rsidRPr="00721C4A">
        <w:rPr>
          <w:szCs w:val="26"/>
        </w:rPr>
        <w:t xml:space="preserve">so the division can </w:t>
      </w:r>
      <w:r w:rsidRPr="00721C4A">
        <w:rPr>
          <w:szCs w:val="26"/>
        </w:rPr>
        <w:t xml:space="preserve">take another look at this case. </w:t>
      </w:r>
    </w:p>
    <w:p w14:paraId="032B458A" w14:textId="2E175E14" w:rsidR="00314C88" w:rsidRPr="00721C4A" w:rsidRDefault="00314C88">
      <w:pPr>
        <w:rPr>
          <w:szCs w:val="26"/>
        </w:rPr>
      </w:pPr>
    </w:p>
    <w:p w14:paraId="771E9AAC" w14:textId="65C4B91B" w:rsidR="007A16A7" w:rsidRPr="00721C4A" w:rsidRDefault="00314C88">
      <w:pPr>
        <w:rPr>
          <w:szCs w:val="26"/>
        </w:rPr>
      </w:pPr>
      <w:r w:rsidRPr="00721C4A">
        <w:rPr>
          <w:szCs w:val="26"/>
        </w:rPr>
        <w:t xml:space="preserve">Judge Rothenberg dissented.  Sifuentes </w:t>
      </w:r>
      <w:r w:rsidR="00452E5E" w:rsidRPr="00721C4A">
        <w:rPr>
          <w:szCs w:val="26"/>
        </w:rPr>
        <w:t xml:space="preserve">did not adequately establish who proposed counsel was and whether the attorney was willing and able to represent Sifuentes.  She believed </w:t>
      </w:r>
      <w:r w:rsidR="007A16A7" w:rsidRPr="00721C4A">
        <w:rPr>
          <w:szCs w:val="26"/>
        </w:rPr>
        <w:t xml:space="preserve">the requirements of </w:t>
      </w:r>
      <w:r w:rsidR="007A16A7" w:rsidRPr="00721C4A">
        <w:rPr>
          <w:i/>
          <w:iCs/>
          <w:szCs w:val="26"/>
        </w:rPr>
        <w:t>Brown</w:t>
      </w:r>
      <w:r w:rsidR="007A16A7" w:rsidRPr="00721C4A">
        <w:rPr>
          <w:szCs w:val="26"/>
        </w:rPr>
        <w:t xml:space="preserve"> and </w:t>
      </w:r>
      <w:r w:rsidR="007A16A7" w:rsidRPr="00721C4A">
        <w:rPr>
          <w:i/>
          <w:iCs/>
          <w:szCs w:val="26"/>
        </w:rPr>
        <w:t>Travis</w:t>
      </w:r>
      <w:r w:rsidR="007A16A7" w:rsidRPr="00721C4A">
        <w:rPr>
          <w:szCs w:val="26"/>
        </w:rPr>
        <w:t xml:space="preserve"> </w:t>
      </w:r>
      <w:r w:rsidR="00157D9E">
        <w:rPr>
          <w:szCs w:val="26"/>
        </w:rPr>
        <w:t>were</w:t>
      </w:r>
      <w:r w:rsidR="007A16A7" w:rsidRPr="00721C4A">
        <w:rPr>
          <w:szCs w:val="26"/>
        </w:rPr>
        <w:t xml:space="preserve"> satisfied</w:t>
      </w:r>
      <w:r w:rsidR="00452E5E" w:rsidRPr="00721C4A">
        <w:rPr>
          <w:szCs w:val="26"/>
        </w:rPr>
        <w:t>,</w:t>
      </w:r>
      <w:r w:rsidR="007A16A7" w:rsidRPr="00721C4A">
        <w:rPr>
          <w:szCs w:val="26"/>
        </w:rPr>
        <w:t xml:space="preserve"> and a remand is not necessary.  </w:t>
      </w:r>
      <w:r w:rsidR="00452E5E" w:rsidRPr="00721C4A">
        <w:rPr>
          <w:szCs w:val="26"/>
        </w:rPr>
        <w:t>T</w:t>
      </w:r>
      <w:r w:rsidR="007A16A7" w:rsidRPr="00721C4A">
        <w:rPr>
          <w:szCs w:val="26"/>
        </w:rPr>
        <w:t>o get to this conclusion, Judge Rothenberg makes many assumptions about what the trial ju</w:t>
      </w:r>
      <w:r w:rsidR="00452E5E" w:rsidRPr="00721C4A">
        <w:rPr>
          <w:szCs w:val="26"/>
        </w:rPr>
        <w:t>d</w:t>
      </w:r>
      <w:r w:rsidR="007A16A7" w:rsidRPr="00721C4A">
        <w:rPr>
          <w:szCs w:val="26"/>
        </w:rPr>
        <w:t xml:space="preserve">ge was obviously thinking.  </w:t>
      </w:r>
      <w:r w:rsidR="00452E5E" w:rsidRPr="00721C4A">
        <w:rPr>
          <w:szCs w:val="26"/>
        </w:rPr>
        <w:t xml:space="preserve">Primarily, she assumes the trial judge was trying to protect </w:t>
      </w:r>
      <w:r w:rsidR="007A16A7" w:rsidRPr="00721C4A">
        <w:rPr>
          <w:szCs w:val="26"/>
        </w:rPr>
        <w:t>a</w:t>
      </w:r>
      <w:r w:rsidR="00452E5E" w:rsidRPr="00721C4A">
        <w:rPr>
          <w:szCs w:val="26"/>
        </w:rPr>
        <w:t xml:space="preserve"> </w:t>
      </w:r>
      <w:r w:rsidR="007A16A7" w:rsidRPr="00721C4A">
        <w:rPr>
          <w:szCs w:val="26"/>
        </w:rPr>
        <w:t>young girl who was traumatized not only be the assault but by the process</w:t>
      </w:r>
      <w:r w:rsidR="00452E5E" w:rsidRPr="00721C4A">
        <w:rPr>
          <w:szCs w:val="26"/>
        </w:rPr>
        <w:t xml:space="preserve">.  She assumed the judge was concerned because the </w:t>
      </w:r>
      <w:r w:rsidR="007A16A7" w:rsidRPr="00721C4A">
        <w:rPr>
          <w:szCs w:val="26"/>
        </w:rPr>
        <w:t xml:space="preserve">victim's mother </w:t>
      </w:r>
      <w:r w:rsidR="00452E5E" w:rsidRPr="00721C4A">
        <w:rPr>
          <w:szCs w:val="26"/>
        </w:rPr>
        <w:t xml:space="preserve">wrote that she and the victim suffered through the process.  Nevermind the fact that this was written in a PSI </w:t>
      </w:r>
      <w:r w:rsidR="007A16A7" w:rsidRPr="00721C4A">
        <w:rPr>
          <w:szCs w:val="26"/>
        </w:rPr>
        <w:t xml:space="preserve">well after the judge </w:t>
      </w:r>
      <w:r w:rsidR="00452E5E" w:rsidRPr="00721C4A">
        <w:rPr>
          <w:szCs w:val="26"/>
        </w:rPr>
        <w:t>decided</w:t>
      </w:r>
      <w:r w:rsidR="007A16A7" w:rsidRPr="00721C4A">
        <w:rPr>
          <w:szCs w:val="26"/>
        </w:rPr>
        <w:t xml:space="preserve"> to deny the continuance.  </w:t>
      </w:r>
    </w:p>
    <w:p w14:paraId="24AC60DC" w14:textId="0067128C" w:rsidR="00057300" w:rsidRPr="00721C4A" w:rsidRDefault="00057300">
      <w:pPr>
        <w:rPr>
          <w:szCs w:val="26"/>
        </w:rPr>
      </w:pPr>
    </w:p>
    <w:p w14:paraId="0D3F2B60" w14:textId="77777777" w:rsidR="00452E5E" w:rsidRPr="00721C4A" w:rsidRDefault="00452E5E">
      <w:pPr>
        <w:rPr>
          <w:szCs w:val="26"/>
        </w:rPr>
      </w:pPr>
      <w:bookmarkStart w:id="0" w:name="_Hlk13832578"/>
    </w:p>
    <w:p w14:paraId="1D8201C8" w14:textId="77777777" w:rsidR="00157D9E" w:rsidRDefault="00157D9E">
      <w:pPr>
        <w:spacing w:after="160" w:line="259" w:lineRule="auto"/>
        <w:contextualSpacing w:val="0"/>
        <w:rPr>
          <w:b/>
          <w:szCs w:val="26"/>
        </w:rPr>
      </w:pPr>
      <w:r>
        <w:rPr>
          <w:b/>
          <w:szCs w:val="26"/>
        </w:rPr>
        <w:br w:type="page"/>
      </w:r>
    </w:p>
    <w:p w14:paraId="716EECA9" w14:textId="46FE1BEC" w:rsidR="00F31C18" w:rsidRPr="00721C4A" w:rsidRDefault="00F31C18" w:rsidP="00F31C18">
      <w:pPr>
        <w:rPr>
          <w:szCs w:val="26"/>
        </w:rPr>
      </w:pPr>
      <w:r w:rsidRPr="00721C4A">
        <w:rPr>
          <w:b/>
          <w:szCs w:val="26"/>
        </w:rPr>
        <w:lastRenderedPageBreak/>
        <w:t>UNPUBLISHED OPINIONS</w:t>
      </w:r>
      <w:r w:rsidRPr="00721C4A">
        <w:rPr>
          <w:szCs w:val="26"/>
        </w:rPr>
        <w:t xml:space="preserve">: Please remember the Court of Appeals Policy </w:t>
      </w:r>
      <w:r w:rsidR="00721C4A">
        <w:rPr>
          <w:szCs w:val="26"/>
        </w:rPr>
        <w:t xml:space="preserve">forbidding </w:t>
      </w:r>
      <w:r w:rsidR="00452E5E" w:rsidRPr="00721C4A">
        <w:rPr>
          <w:szCs w:val="26"/>
        </w:rPr>
        <w:t xml:space="preserve">the </w:t>
      </w:r>
      <w:r w:rsidRPr="00721C4A">
        <w:rPr>
          <w:szCs w:val="26"/>
        </w:rPr>
        <w:t>citation of unpublished opinions in the Court of Appeals</w:t>
      </w:r>
      <w:r w:rsidR="00721C4A">
        <w:rPr>
          <w:szCs w:val="26"/>
        </w:rPr>
        <w:t xml:space="preserve">, </w:t>
      </w:r>
      <w:r w:rsidRPr="00721C4A">
        <w:rPr>
          <w:szCs w:val="26"/>
        </w:rPr>
        <w:t xml:space="preserve">with limited exceptions. </w:t>
      </w:r>
      <w:r w:rsidR="00721C4A">
        <w:rPr>
          <w:szCs w:val="26"/>
        </w:rPr>
        <w:t xml:space="preserve">However, </w:t>
      </w:r>
      <w:r w:rsidRPr="00721C4A">
        <w:rPr>
          <w:szCs w:val="26"/>
        </w:rPr>
        <w:t xml:space="preserve">you </w:t>
      </w:r>
      <w:r w:rsidR="00721C4A">
        <w:rPr>
          <w:szCs w:val="26"/>
        </w:rPr>
        <w:t>may</w:t>
      </w:r>
      <w:r w:rsidRPr="00721C4A">
        <w:rPr>
          <w:szCs w:val="26"/>
        </w:rPr>
        <w:t xml:space="preserve"> cite unpublished cases in the district court for whatever persuasive value the judge may give it. </w:t>
      </w:r>
      <w:r w:rsidRPr="00721C4A">
        <w:rPr>
          <w:i/>
          <w:szCs w:val="26"/>
        </w:rPr>
        <w:t>Patterson v. James</w:t>
      </w:r>
      <w:r w:rsidRPr="00721C4A">
        <w:rPr>
          <w:szCs w:val="26"/>
        </w:rPr>
        <w:t>, 2018 COA 173, ¶¶ 40-43</w:t>
      </w:r>
    </w:p>
    <w:p w14:paraId="477A14EB" w14:textId="796A04C2" w:rsidR="00F31C18" w:rsidRPr="00721C4A" w:rsidRDefault="00721C4A" w:rsidP="00F31C18">
      <w:pPr>
        <w:rPr>
          <w:szCs w:val="26"/>
        </w:rPr>
      </w:pPr>
      <w:r w:rsidRPr="00721C4A">
        <w:rPr>
          <w:szCs w:val="26"/>
        </w:rPr>
        <w:t>Copies of unpublished opinions are provided for private use and are not to be included in an electronic database or otherwise published.</w:t>
      </w:r>
      <w:r>
        <w:rPr>
          <w:szCs w:val="26"/>
        </w:rPr>
        <w:t xml:space="preserve"> </w:t>
      </w:r>
      <w:r w:rsidR="00F31C18" w:rsidRPr="00721C4A">
        <w:rPr>
          <w:szCs w:val="26"/>
        </w:rPr>
        <w:t xml:space="preserve">Unpublished cases can be requested from the COA at </w:t>
      </w:r>
      <w:hyperlink r:id="rId8" w:history="1">
        <w:r w:rsidR="00F31C18" w:rsidRPr="00721C4A">
          <w:rPr>
            <w:rStyle w:val="Hyperlink"/>
            <w:szCs w:val="26"/>
          </w:rPr>
          <w:t>http://www.courts.state.co.us/Courts/Court_Of_Appeals/Opinion_Request.cfm</w:t>
        </w:r>
      </w:hyperlink>
    </w:p>
    <w:p w14:paraId="31814939" w14:textId="77777777" w:rsidR="00F31C18" w:rsidRPr="00721C4A" w:rsidRDefault="00F31C18" w:rsidP="00F31C18">
      <w:pPr>
        <w:rPr>
          <w:szCs w:val="26"/>
        </w:rPr>
      </w:pPr>
    </w:p>
    <w:p w14:paraId="659123C4" w14:textId="0B1DD563" w:rsidR="00057300" w:rsidRPr="00721C4A" w:rsidRDefault="00F31C18" w:rsidP="00F31C18">
      <w:pPr>
        <w:rPr>
          <w:bCs/>
          <w:szCs w:val="26"/>
        </w:rPr>
      </w:pPr>
      <w:r w:rsidRPr="00721C4A">
        <w:rPr>
          <w:bCs/>
          <w:szCs w:val="26"/>
        </w:rPr>
        <w:t>Or you can ask me and avoid bugging the Court.</w:t>
      </w:r>
    </w:p>
    <w:bookmarkEnd w:id="0"/>
    <w:p w14:paraId="128FFAA1" w14:textId="388EA6CA" w:rsidR="00A7033E" w:rsidRPr="00721C4A" w:rsidRDefault="00A7033E" w:rsidP="00F31C18">
      <w:pPr>
        <w:rPr>
          <w:bCs/>
          <w:szCs w:val="26"/>
        </w:rPr>
      </w:pPr>
    </w:p>
    <w:p w14:paraId="53A164FB" w14:textId="77777777" w:rsidR="00A7033E" w:rsidRPr="00721C4A" w:rsidRDefault="00A7033E" w:rsidP="00F31C18">
      <w:pPr>
        <w:rPr>
          <w:bCs/>
          <w:szCs w:val="26"/>
        </w:rPr>
      </w:pPr>
    </w:p>
    <w:p w14:paraId="0C15F537" w14:textId="3AE3DD5C" w:rsidR="00057300" w:rsidRPr="00721C4A" w:rsidRDefault="00057300" w:rsidP="00452DB7">
      <w:pPr>
        <w:pStyle w:val="Default"/>
        <w:rPr>
          <w:iCs/>
          <w:sz w:val="26"/>
          <w:szCs w:val="26"/>
        </w:rPr>
      </w:pPr>
      <w:r w:rsidRPr="00721C4A">
        <w:rPr>
          <w:b/>
          <w:sz w:val="26"/>
          <w:szCs w:val="26"/>
        </w:rPr>
        <w:t xml:space="preserve">UNPUBLISHED </w:t>
      </w:r>
      <w:r w:rsidRPr="00721C4A">
        <w:rPr>
          <w:i/>
          <w:sz w:val="26"/>
          <w:szCs w:val="26"/>
        </w:rPr>
        <w:t xml:space="preserve">People v. </w:t>
      </w:r>
      <w:r w:rsidR="00452DB7" w:rsidRPr="00721C4A">
        <w:rPr>
          <w:i/>
          <w:sz w:val="26"/>
          <w:szCs w:val="26"/>
        </w:rPr>
        <w:t>Graves</w:t>
      </w:r>
      <w:r w:rsidR="00452DB7" w:rsidRPr="00721C4A">
        <w:rPr>
          <w:iCs/>
          <w:sz w:val="26"/>
          <w:szCs w:val="26"/>
        </w:rPr>
        <w:t>, 16CA1825 (July 3, 2019)</w:t>
      </w:r>
      <w:r w:rsidR="00452DB7" w:rsidRPr="00721C4A">
        <w:rPr>
          <w:sz w:val="26"/>
          <w:szCs w:val="26"/>
        </w:rPr>
        <w:t xml:space="preserve"> Justice Martinez reversing El Paso Judge Hall: with Judge Jones dissenting</w:t>
      </w:r>
    </w:p>
    <w:p w14:paraId="657BE3A7" w14:textId="5CD96F7C" w:rsidR="00A7033E" w:rsidRPr="00721C4A" w:rsidRDefault="00A7033E">
      <w:pPr>
        <w:rPr>
          <w:iCs/>
          <w:szCs w:val="26"/>
        </w:rPr>
      </w:pPr>
    </w:p>
    <w:p w14:paraId="67002DCD" w14:textId="62E7CC66" w:rsidR="00452DB7" w:rsidRPr="00721C4A" w:rsidRDefault="00452DB7" w:rsidP="00452DB7">
      <w:pPr>
        <w:pStyle w:val="Default"/>
        <w:rPr>
          <w:sz w:val="26"/>
          <w:szCs w:val="26"/>
        </w:rPr>
      </w:pPr>
      <w:r w:rsidRPr="00721C4A">
        <w:rPr>
          <w:sz w:val="26"/>
          <w:szCs w:val="26"/>
        </w:rPr>
        <w:t xml:space="preserve">Graves got into a physical altercation with D.G. in their shared cul-de-sac. </w:t>
      </w:r>
      <w:r w:rsidR="00452E5E" w:rsidRPr="00721C4A">
        <w:rPr>
          <w:sz w:val="26"/>
          <w:szCs w:val="26"/>
        </w:rPr>
        <w:t>B</w:t>
      </w:r>
      <w:r w:rsidRPr="00721C4A">
        <w:rPr>
          <w:sz w:val="26"/>
          <w:szCs w:val="26"/>
        </w:rPr>
        <w:t xml:space="preserve">oth Graves and D.G. </w:t>
      </w:r>
      <w:r w:rsidR="00452E5E" w:rsidRPr="00721C4A">
        <w:rPr>
          <w:sz w:val="26"/>
          <w:szCs w:val="26"/>
        </w:rPr>
        <w:t xml:space="preserve">justified their actions as </w:t>
      </w:r>
      <w:r w:rsidRPr="00721C4A">
        <w:rPr>
          <w:sz w:val="26"/>
          <w:szCs w:val="26"/>
        </w:rPr>
        <w:t xml:space="preserve">self-defense.  The prosecution picked D.G. as the victim and filed first-degree assault, second-degree assault, and menacing charges against Graves. After a four-day trial, the jury found Graves guilty of second-degree assault resulting in serious bodily injury and menacing, but not guilty of first-degree assault. </w:t>
      </w:r>
    </w:p>
    <w:p w14:paraId="1C96BE84" w14:textId="5E1798F4" w:rsidR="00A7033E" w:rsidRPr="00721C4A" w:rsidRDefault="00A7033E">
      <w:pPr>
        <w:rPr>
          <w:iCs/>
          <w:szCs w:val="26"/>
        </w:rPr>
      </w:pPr>
    </w:p>
    <w:p w14:paraId="4A53C206" w14:textId="0E237B78" w:rsidR="00A7033E" w:rsidRPr="00721C4A" w:rsidRDefault="00452DB7">
      <w:pPr>
        <w:rPr>
          <w:iCs/>
          <w:szCs w:val="26"/>
        </w:rPr>
      </w:pPr>
      <w:r w:rsidRPr="00721C4A">
        <w:rPr>
          <w:iCs/>
          <w:szCs w:val="26"/>
          <w:u w:val="single"/>
        </w:rPr>
        <w:t>Issue 1</w:t>
      </w:r>
      <w:r w:rsidRPr="00721C4A">
        <w:rPr>
          <w:iCs/>
          <w:szCs w:val="26"/>
        </w:rPr>
        <w:t>: Jury Instruction Error</w:t>
      </w:r>
      <w:r w:rsidR="00452E5E" w:rsidRPr="00721C4A">
        <w:rPr>
          <w:iCs/>
          <w:szCs w:val="26"/>
        </w:rPr>
        <w:t>(s)</w:t>
      </w:r>
    </w:p>
    <w:p w14:paraId="7A3E813C" w14:textId="4AF0CB6A" w:rsidR="00452DB7" w:rsidRPr="00721C4A" w:rsidRDefault="00452DB7">
      <w:pPr>
        <w:rPr>
          <w:iCs/>
          <w:szCs w:val="26"/>
        </w:rPr>
      </w:pPr>
    </w:p>
    <w:p w14:paraId="759BE716" w14:textId="29DD616F" w:rsidR="00452DB7" w:rsidRPr="00721C4A" w:rsidRDefault="00452DB7" w:rsidP="00452DB7">
      <w:pPr>
        <w:pStyle w:val="Default"/>
        <w:rPr>
          <w:sz w:val="26"/>
          <w:szCs w:val="26"/>
        </w:rPr>
      </w:pPr>
      <w:r w:rsidRPr="00721C4A">
        <w:rPr>
          <w:sz w:val="26"/>
          <w:szCs w:val="26"/>
        </w:rPr>
        <w:t xml:space="preserve">With the agreement of both the prosecutor and defense counsel, the trial court </w:t>
      </w:r>
      <w:r w:rsidR="00452E5E" w:rsidRPr="00721C4A">
        <w:rPr>
          <w:sz w:val="26"/>
          <w:szCs w:val="26"/>
        </w:rPr>
        <w:t xml:space="preserve">provided </w:t>
      </w:r>
      <w:r w:rsidRPr="00721C4A">
        <w:rPr>
          <w:sz w:val="26"/>
          <w:szCs w:val="26"/>
        </w:rPr>
        <w:t>the following self-defense instruction to the jury, labeled Instruction No. 14: (Emphasis added throughout)</w:t>
      </w:r>
    </w:p>
    <w:p w14:paraId="75D49724" w14:textId="77777777" w:rsidR="00452DB7" w:rsidRPr="00721C4A" w:rsidRDefault="00452DB7" w:rsidP="00452DB7">
      <w:pPr>
        <w:pStyle w:val="Default"/>
        <w:rPr>
          <w:sz w:val="26"/>
          <w:szCs w:val="26"/>
        </w:rPr>
      </w:pPr>
    </w:p>
    <w:p w14:paraId="48080B7F" w14:textId="72F680B9" w:rsidR="00452DB7" w:rsidRPr="00721C4A" w:rsidRDefault="00452DB7" w:rsidP="00452E5E">
      <w:pPr>
        <w:pStyle w:val="BlockQuote"/>
        <w:spacing w:after="120"/>
        <w:contextualSpacing w:val="0"/>
        <w:rPr>
          <w:szCs w:val="26"/>
          <w:u w:val="single"/>
        </w:rPr>
      </w:pPr>
      <w:r w:rsidRPr="00721C4A">
        <w:rPr>
          <w:szCs w:val="26"/>
        </w:rPr>
        <w:t xml:space="preserve">The evidence presented in this case has raised the affirmative defense of “Self-Defense,” </w:t>
      </w:r>
      <w:r w:rsidRPr="00721C4A">
        <w:rPr>
          <w:szCs w:val="26"/>
          <w:u w:val="single"/>
        </w:rPr>
        <w:t xml:space="preserve">as a defense to assault in the first degree. </w:t>
      </w:r>
    </w:p>
    <w:p w14:paraId="7465C1E7" w14:textId="4D347C6C" w:rsidR="00452DB7" w:rsidRPr="00721C4A" w:rsidRDefault="00452DB7" w:rsidP="00452E5E">
      <w:pPr>
        <w:pStyle w:val="BlockQuote"/>
        <w:spacing w:after="120"/>
        <w:contextualSpacing w:val="0"/>
        <w:rPr>
          <w:iCs/>
          <w:szCs w:val="26"/>
        </w:rPr>
      </w:pPr>
      <w:r w:rsidRPr="00721C4A">
        <w:rPr>
          <w:szCs w:val="26"/>
        </w:rPr>
        <w:t>The defendant was legally authorized to use physical force upon another person without first retreating if:</w:t>
      </w:r>
    </w:p>
    <w:p w14:paraId="731BCCF0" w14:textId="77777777" w:rsidR="00452DB7" w:rsidRPr="00721C4A" w:rsidRDefault="00452DB7" w:rsidP="00157D9E">
      <w:pPr>
        <w:pStyle w:val="Default"/>
        <w:spacing w:after="120"/>
        <w:ind w:left="1440" w:right="720"/>
        <w:rPr>
          <w:sz w:val="26"/>
          <w:szCs w:val="26"/>
        </w:rPr>
      </w:pPr>
      <w:r w:rsidRPr="00721C4A">
        <w:rPr>
          <w:sz w:val="26"/>
          <w:szCs w:val="26"/>
        </w:rPr>
        <w:t xml:space="preserve">1. he used that physical force in order to defend himself or a third person from what he reasonably believed to be the use or imminent use of unlawful physical force by that other person, and </w:t>
      </w:r>
    </w:p>
    <w:p w14:paraId="0C921857" w14:textId="77777777" w:rsidR="00452DB7" w:rsidRPr="00721C4A" w:rsidRDefault="00452DB7" w:rsidP="00157D9E">
      <w:pPr>
        <w:pStyle w:val="Default"/>
        <w:spacing w:after="120"/>
        <w:ind w:left="1440" w:right="720"/>
        <w:rPr>
          <w:sz w:val="26"/>
          <w:szCs w:val="26"/>
        </w:rPr>
      </w:pPr>
      <w:r w:rsidRPr="00721C4A">
        <w:rPr>
          <w:sz w:val="26"/>
          <w:szCs w:val="26"/>
        </w:rPr>
        <w:lastRenderedPageBreak/>
        <w:t xml:space="preserve">2. he used a degree of force which he reasonably believed to be necessary for that purpose, and </w:t>
      </w:r>
    </w:p>
    <w:p w14:paraId="669CC70B" w14:textId="71960AE1" w:rsidR="00452DB7" w:rsidRPr="00721C4A" w:rsidRDefault="00452DB7" w:rsidP="00157D9E">
      <w:pPr>
        <w:pStyle w:val="Default"/>
        <w:spacing w:after="120"/>
        <w:ind w:left="1440" w:right="720"/>
        <w:rPr>
          <w:sz w:val="26"/>
          <w:szCs w:val="26"/>
        </w:rPr>
      </w:pPr>
      <w:r w:rsidRPr="00721C4A">
        <w:rPr>
          <w:sz w:val="26"/>
          <w:szCs w:val="26"/>
        </w:rPr>
        <w:t xml:space="preserve">3. he was not the initial aggressor, or, if he was the initial aggressor, he had withdrawn from the encounter . . . . </w:t>
      </w:r>
    </w:p>
    <w:p w14:paraId="519F648E" w14:textId="0747E4DA" w:rsidR="00452DB7" w:rsidRPr="00721C4A" w:rsidRDefault="00452DB7" w:rsidP="00452E5E">
      <w:pPr>
        <w:spacing w:after="120"/>
        <w:rPr>
          <w:iCs/>
          <w:szCs w:val="26"/>
        </w:rPr>
      </w:pPr>
      <w:bookmarkStart w:id="1" w:name="_GoBack"/>
      <w:bookmarkEnd w:id="1"/>
      <w:r w:rsidRPr="00721C4A">
        <w:rPr>
          <w:iCs/>
          <w:szCs w:val="26"/>
        </w:rPr>
        <w:t>The instruction further stated that</w:t>
      </w:r>
      <w:r w:rsidR="00721C4A">
        <w:rPr>
          <w:iCs/>
          <w:szCs w:val="26"/>
        </w:rPr>
        <w:t>,</w:t>
      </w:r>
    </w:p>
    <w:p w14:paraId="0449A51E" w14:textId="0B24BCE7" w:rsidR="00452DB7" w:rsidRPr="00721C4A" w:rsidRDefault="00452DB7" w:rsidP="00452E5E">
      <w:pPr>
        <w:pStyle w:val="BlockQuote"/>
        <w:spacing w:after="120"/>
        <w:rPr>
          <w:szCs w:val="26"/>
        </w:rPr>
      </w:pPr>
      <w:r w:rsidRPr="00721C4A">
        <w:rPr>
          <w:szCs w:val="26"/>
        </w:rPr>
        <w:t xml:space="preserve">After consider[ing] all the evidence, if you decide the prosecution has failed to meet this burden of proof, then the prosecution has failed to prove the defendant’s conduct was not legally authorized by this defense, </w:t>
      </w:r>
      <w:r w:rsidRPr="00721C4A">
        <w:rPr>
          <w:szCs w:val="26"/>
          <w:u w:val="single"/>
        </w:rPr>
        <w:t>which is an essential element of assault in the first degree, assault in the second degree and menacing.</w:t>
      </w:r>
      <w:r w:rsidRPr="00721C4A">
        <w:rPr>
          <w:szCs w:val="26"/>
        </w:rPr>
        <w:t xml:space="preserve"> In that event, you must return a verdict of not guilty for those offenses. </w:t>
      </w:r>
    </w:p>
    <w:p w14:paraId="39EA713E" w14:textId="77777777" w:rsidR="00452DB7" w:rsidRPr="00721C4A" w:rsidRDefault="00452DB7" w:rsidP="00452DB7">
      <w:pPr>
        <w:pStyle w:val="BlockQuote"/>
        <w:rPr>
          <w:szCs w:val="26"/>
        </w:rPr>
      </w:pPr>
    </w:p>
    <w:p w14:paraId="79955E4C" w14:textId="346FA3C4" w:rsidR="00452DB7" w:rsidRPr="00721C4A" w:rsidRDefault="00452DB7" w:rsidP="00452DB7">
      <w:pPr>
        <w:pStyle w:val="BlockQuote"/>
        <w:rPr>
          <w:szCs w:val="26"/>
        </w:rPr>
      </w:pPr>
      <w:r w:rsidRPr="00721C4A">
        <w:rPr>
          <w:szCs w:val="26"/>
        </w:rPr>
        <w:t xml:space="preserve">After considering all the evidence, if you decide the prosecution has met this burden of proof, then the prosecution has proved the defendant’s conduct was not legally authorized by this defense. In that event, your verdicts concerning the charges of </w:t>
      </w:r>
      <w:r w:rsidRPr="00721C4A">
        <w:rPr>
          <w:szCs w:val="26"/>
          <w:u w:val="single"/>
        </w:rPr>
        <w:t>assault in the first degree</w:t>
      </w:r>
      <w:r w:rsidRPr="00721C4A">
        <w:rPr>
          <w:szCs w:val="26"/>
        </w:rPr>
        <w:t xml:space="preserve"> must depend upon your determination whether the prosecution has met its burden of proof with respect to the remaining elements of those offenses.</w:t>
      </w:r>
    </w:p>
    <w:p w14:paraId="1572743E" w14:textId="62E221FF" w:rsidR="00452DB7" w:rsidRPr="00721C4A" w:rsidRDefault="00452DB7" w:rsidP="00452DB7">
      <w:pPr>
        <w:rPr>
          <w:szCs w:val="26"/>
        </w:rPr>
      </w:pPr>
    </w:p>
    <w:p w14:paraId="7527E599" w14:textId="29B78F31" w:rsidR="00452DB7" w:rsidRPr="00721C4A" w:rsidRDefault="00452DB7" w:rsidP="00452DB7">
      <w:pPr>
        <w:rPr>
          <w:szCs w:val="26"/>
        </w:rPr>
      </w:pPr>
      <w:r w:rsidRPr="00721C4A">
        <w:rPr>
          <w:szCs w:val="26"/>
        </w:rPr>
        <w:t>During deliberations, the jury sent out a question asking whether the "he" in #2 above referred to the defendant or any reasonable individual? With agreement from both sides, the court told the jury that the "he" refers to any reasonable person.</w:t>
      </w:r>
    </w:p>
    <w:p w14:paraId="15AD6F15" w14:textId="398B3A1E" w:rsidR="00452DB7" w:rsidRPr="00721C4A" w:rsidRDefault="00452DB7" w:rsidP="00452DB7">
      <w:pPr>
        <w:rPr>
          <w:szCs w:val="26"/>
        </w:rPr>
      </w:pPr>
    </w:p>
    <w:p w14:paraId="0D5C0628" w14:textId="10178DAC" w:rsidR="00452DB7" w:rsidRPr="00721C4A" w:rsidRDefault="00452DB7" w:rsidP="00452DB7">
      <w:pPr>
        <w:pStyle w:val="Default"/>
        <w:rPr>
          <w:sz w:val="26"/>
          <w:szCs w:val="26"/>
        </w:rPr>
      </w:pPr>
      <w:r w:rsidRPr="00721C4A">
        <w:rPr>
          <w:sz w:val="26"/>
          <w:szCs w:val="26"/>
        </w:rPr>
        <w:t xml:space="preserve">A majority of the COA found that the confusing and contradictory language of Instruction No. 14 was plain error requiring reversal. </w:t>
      </w:r>
    </w:p>
    <w:p w14:paraId="2D41614C" w14:textId="2834D1A9" w:rsidR="00452DB7" w:rsidRPr="00721C4A" w:rsidRDefault="00452DB7" w:rsidP="00452DB7">
      <w:pPr>
        <w:rPr>
          <w:szCs w:val="26"/>
        </w:rPr>
      </w:pPr>
    </w:p>
    <w:p w14:paraId="68B52225" w14:textId="70F52436" w:rsidR="00452DB7" w:rsidRPr="00721C4A" w:rsidRDefault="00452DB7" w:rsidP="00452DB7">
      <w:pPr>
        <w:rPr>
          <w:szCs w:val="26"/>
        </w:rPr>
      </w:pPr>
      <w:r w:rsidRPr="00721C4A">
        <w:rPr>
          <w:szCs w:val="26"/>
          <w:u w:val="single"/>
        </w:rPr>
        <w:t xml:space="preserve">Part A: </w:t>
      </w:r>
      <w:r w:rsidRPr="00721C4A">
        <w:rPr>
          <w:szCs w:val="26"/>
        </w:rPr>
        <w:t>Wavier v. Forfeiture</w:t>
      </w:r>
    </w:p>
    <w:p w14:paraId="077B1A97" w14:textId="18B7C6C9" w:rsidR="00452DB7" w:rsidRPr="00721C4A" w:rsidRDefault="00452DB7" w:rsidP="00452DB7">
      <w:pPr>
        <w:rPr>
          <w:szCs w:val="26"/>
        </w:rPr>
      </w:pPr>
    </w:p>
    <w:p w14:paraId="71ADB4B2" w14:textId="4460BEC7" w:rsidR="00452DB7" w:rsidRPr="00721C4A" w:rsidRDefault="00452DB7" w:rsidP="00452DB7">
      <w:pPr>
        <w:rPr>
          <w:szCs w:val="26"/>
        </w:rPr>
      </w:pPr>
      <w:r w:rsidRPr="00721C4A">
        <w:rPr>
          <w:szCs w:val="26"/>
        </w:rPr>
        <w:t xml:space="preserve">Applying </w:t>
      </w:r>
      <w:r w:rsidRPr="00721C4A">
        <w:rPr>
          <w:i/>
          <w:iCs/>
          <w:szCs w:val="26"/>
        </w:rPr>
        <w:t>Rediger</w:t>
      </w:r>
      <w:r w:rsidRPr="00721C4A">
        <w:rPr>
          <w:szCs w:val="26"/>
        </w:rPr>
        <w:t xml:space="preserve">, the majority found the unpreserved errors were forfeited, and subject to plain error review, and not waived and unreviewable on appeal.  Defense counsel did not object to the self-defense instruction, at all.  When asked about the </w:t>
      </w:r>
      <w:r w:rsidR="00452E5E" w:rsidRPr="00721C4A">
        <w:rPr>
          <w:szCs w:val="26"/>
        </w:rPr>
        <w:t xml:space="preserve">court's </w:t>
      </w:r>
      <w:r w:rsidRPr="00721C4A">
        <w:rPr>
          <w:szCs w:val="26"/>
        </w:rPr>
        <w:t>answer to the jury's question, counsel stated, "I agree." The majority found that, e</w:t>
      </w:r>
      <w:r w:rsidR="00112ADF" w:rsidRPr="00721C4A">
        <w:rPr>
          <w:iCs/>
          <w:szCs w:val="26"/>
        </w:rPr>
        <w:t>ven though defense counsel stated, "I agree," this two</w:t>
      </w:r>
      <w:r w:rsidRPr="00721C4A">
        <w:rPr>
          <w:iCs/>
          <w:szCs w:val="26"/>
        </w:rPr>
        <w:t>-</w:t>
      </w:r>
      <w:r w:rsidR="00112ADF" w:rsidRPr="00721C4A">
        <w:rPr>
          <w:iCs/>
          <w:szCs w:val="26"/>
        </w:rPr>
        <w:t xml:space="preserve">word </w:t>
      </w:r>
      <w:r w:rsidRPr="00721C4A">
        <w:rPr>
          <w:iCs/>
          <w:szCs w:val="26"/>
        </w:rPr>
        <w:t xml:space="preserve">acquiescence was indicative of "neglect, not the intent."  As such, they could "not </w:t>
      </w:r>
      <w:r w:rsidRPr="00721C4A">
        <w:rPr>
          <w:szCs w:val="26"/>
        </w:rPr>
        <w:t xml:space="preserve">conclude that Graves intentionally relinquished a known right for the jury to be </w:t>
      </w:r>
      <w:r w:rsidRPr="00721C4A">
        <w:rPr>
          <w:szCs w:val="26"/>
        </w:rPr>
        <w:lastRenderedPageBreak/>
        <w:t>accurately instructed as to the law governing the primary question before it — namely, whether Graves acted in self-defense."</w:t>
      </w:r>
    </w:p>
    <w:p w14:paraId="1B81777F" w14:textId="34D8C44A" w:rsidR="00721C4A" w:rsidRDefault="00721C4A">
      <w:pPr>
        <w:spacing w:after="160" w:line="259" w:lineRule="auto"/>
        <w:contextualSpacing w:val="0"/>
        <w:rPr>
          <w:szCs w:val="26"/>
          <w:u w:val="single"/>
        </w:rPr>
      </w:pPr>
    </w:p>
    <w:p w14:paraId="4F26FD59" w14:textId="6C23264E" w:rsidR="00452DB7" w:rsidRPr="00721C4A" w:rsidRDefault="00452DB7" w:rsidP="00452DB7">
      <w:pPr>
        <w:rPr>
          <w:szCs w:val="26"/>
        </w:rPr>
      </w:pPr>
      <w:r w:rsidRPr="00721C4A">
        <w:rPr>
          <w:szCs w:val="26"/>
          <w:u w:val="single"/>
        </w:rPr>
        <w:t>Part B</w:t>
      </w:r>
      <w:r w:rsidRPr="00721C4A">
        <w:rPr>
          <w:szCs w:val="26"/>
        </w:rPr>
        <w:t xml:space="preserve">: </w:t>
      </w:r>
      <w:r w:rsidR="00452E5E" w:rsidRPr="00721C4A">
        <w:rPr>
          <w:szCs w:val="26"/>
        </w:rPr>
        <w:t xml:space="preserve"> </w:t>
      </w:r>
      <w:r w:rsidRPr="00721C4A">
        <w:rPr>
          <w:szCs w:val="26"/>
        </w:rPr>
        <w:t>Was there error? Yes, two errors.</w:t>
      </w:r>
    </w:p>
    <w:p w14:paraId="207327E2" w14:textId="7CCDDF31" w:rsidR="00452DB7" w:rsidRPr="00721C4A" w:rsidRDefault="00452DB7" w:rsidP="00452DB7">
      <w:pPr>
        <w:rPr>
          <w:szCs w:val="26"/>
        </w:rPr>
      </w:pPr>
    </w:p>
    <w:p w14:paraId="00F84FB1" w14:textId="6209EB9A" w:rsidR="00452DB7" w:rsidRPr="00721C4A" w:rsidRDefault="00452E5E" w:rsidP="00452DB7">
      <w:pPr>
        <w:rPr>
          <w:szCs w:val="26"/>
        </w:rPr>
      </w:pPr>
      <w:r w:rsidRPr="00721C4A">
        <w:rPr>
          <w:szCs w:val="26"/>
        </w:rPr>
        <w:t xml:space="preserve">Error #1: </w:t>
      </w:r>
      <w:r w:rsidR="00452DB7" w:rsidRPr="00721C4A">
        <w:rPr>
          <w:szCs w:val="26"/>
        </w:rPr>
        <w:t>You will notice that the underlined sections of the first and last paragraphs of Instruction #14, above, indicate the defense of self-defense applied only to first-degree assault.  Sandwiched in between was a reference to the other two offenses, second-degree assault and menacing.  The sandwich was inadequate as, at best, it provided conflicting and contradictory language about whether self-defense applied to second-degree assault and menacing.</w:t>
      </w:r>
    </w:p>
    <w:p w14:paraId="6DF60665" w14:textId="12603B2B" w:rsidR="00452DB7" w:rsidRPr="00721C4A" w:rsidRDefault="00452DB7" w:rsidP="00452DB7">
      <w:pPr>
        <w:rPr>
          <w:szCs w:val="26"/>
        </w:rPr>
      </w:pPr>
    </w:p>
    <w:p w14:paraId="0BD4472A" w14:textId="7DFA827F" w:rsidR="00452DB7" w:rsidRPr="00721C4A" w:rsidRDefault="00452E5E" w:rsidP="00452DB7">
      <w:pPr>
        <w:pStyle w:val="Default"/>
        <w:rPr>
          <w:sz w:val="26"/>
          <w:szCs w:val="26"/>
        </w:rPr>
      </w:pPr>
      <w:r w:rsidRPr="00721C4A">
        <w:rPr>
          <w:sz w:val="26"/>
          <w:szCs w:val="26"/>
        </w:rPr>
        <w:t xml:space="preserve">Error #2: </w:t>
      </w:r>
      <w:r w:rsidR="00452DB7" w:rsidRPr="00721C4A">
        <w:rPr>
          <w:sz w:val="26"/>
          <w:szCs w:val="26"/>
        </w:rPr>
        <w:t xml:space="preserve">The trial court’s supplemental instruction that the pronoun “he” in Instruction No. 14 referred to “any reasonable person” was also incorrect. Specifically, under the last-antecedent rule of grammatical construction, “a ‘pronoun, relative pronoun, or demonstrative adjective generally refers to the nearest reasonable antecedent.’”  </w:t>
      </w:r>
      <w:r w:rsidRPr="00721C4A">
        <w:rPr>
          <w:sz w:val="26"/>
          <w:szCs w:val="26"/>
        </w:rPr>
        <w:t xml:space="preserve">Limiting "he" to "any reasonable person" </w:t>
      </w:r>
      <w:r w:rsidR="00452DB7" w:rsidRPr="00721C4A">
        <w:rPr>
          <w:sz w:val="26"/>
          <w:szCs w:val="26"/>
        </w:rPr>
        <w:t xml:space="preserve">required the jury to disregard Graves’s subjective belief as to the necessity of force — a necessary consideration in self-defense. </w:t>
      </w:r>
    </w:p>
    <w:p w14:paraId="0E6D4A5C" w14:textId="11CA6798" w:rsidR="00452E5E" w:rsidRPr="00721C4A" w:rsidRDefault="00452E5E" w:rsidP="00452DB7">
      <w:pPr>
        <w:pStyle w:val="Default"/>
        <w:rPr>
          <w:sz w:val="26"/>
          <w:szCs w:val="26"/>
        </w:rPr>
      </w:pPr>
    </w:p>
    <w:p w14:paraId="1CF4E03A" w14:textId="0C87EFD6" w:rsidR="00452E5E" w:rsidRPr="00721C4A" w:rsidRDefault="00452E5E" w:rsidP="00452DB7">
      <w:pPr>
        <w:pStyle w:val="Default"/>
        <w:rPr>
          <w:sz w:val="26"/>
          <w:szCs w:val="26"/>
        </w:rPr>
      </w:pPr>
      <w:r w:rsidRPr="00721C4A">
        <w:rPr>
          <w:sz w:val="26"/>
          <w:szCs w:val="26"/>
          <w:u w:val="single"/>
        </w:rPr>
        <w:t>Part C:</w:t>
      </w:r>
      <w:r w:rsidRPr="00721C4A">
        <w:rPr>
          <w:sz w:val="26"/>
          <w:szCs w:val="26"/>
        </w:rPr>
        <w:t xml:space="preserve"> Was there plain error requiring reversal?  Yes.</w:t>
      </w:r>
    </w:p>
    <w:p w14:paraId="10CA9872" w14:textId="77777777" w:rsidR="00452DB7" w:rsidRPr="00721C4A" w:rsidRDefault="00452DB7" w:rsidP="00452DB7">
      <w:pPr>
        <w:rPr>
          <w:szCs w:val="26"/>
        </w:rPr>
      </w:pPr>
    </w:p>
    <w:p w14:paraId="57F15465" w14:textId="6C229572" w:rsidR="00452DB7" w:rsidRPr="00721C4A" w:rsidRDefault="00452DB7" w:rsidP="00452DB7">
      <w:pPr>
        <w:rPr>
          <w:szCs w:val="26"/>
        </w:rPr>
      </w:pPr>
      <w:r w:rsidRPr="00721C4A">
        <w:rPr>
          <w:szCs w:val="26"/>
        </w:rPr>
        <w:t>Both errors were obvious as they contravened clearly established law.  Both errors were also substantial and cast serious doubt on the reliability of the conviction</w:t>
      </w:r>
      <w:r w:rsidR="00452E5E" w:rsidRPr="00721C4A">
        <w:rPr>
          <w:szCs w:val="26"/>
        </w:rPr>
        <w:t xml:space="preserve"> since s</w:t>
      </w:r>
      <w:r w:rsidRPr="00721C4A">
        <w:rPr>
          <w:szCs w:val="26"/>
        </w:rPr>
        <w:t>elf-defense was the only real issue in the case.   In reaching this conclusion, Justice Martinez broke out an oldie, but a goodie:</w:t>
      </w:r>
    </w:p>
    <w:p w14:paraId="035A433B" w14:textId="757D0B8D" w:rsidR="00452DB7" w:rsidRPr="00721C4A" w:rsidRDefault="00452DB7" w:rsidP="00452DB7">
      <w:pPr>
        <w:rPr>
          <w:szCs w:val="26"/>
        </w:rPr>
      </w:pPr>
    </w:p>
    <w:p w14:paraId="49576E24" w14:textId="77777777" w:rsidR="00452DB7" w:rsidRPr="00721C4A" w:rsidRDefault="00452DB7" w:rsidP="00452DB7">
      <w:pPr>
        <w:pStyle w:val="BlockQuote"/>
        <w:rPr>
          <w:szCs w:val="26"/>
        </w:rPr>
      </w:pPr>
      <w:r w:rsidRPr="00721C4A">
        <w:rPr>
          <w:szCs w:val="26"/>
        </w:rPr>
        <w:t xml:space="preserve">Where the jury is provided with irreconcilable language in jury instructions, it is “impossible to tell which the jury followed, and impossible to say what the verdict would or should have been, but for the error, [and therefore] a reversal is imperative.” </w:t>
      </w:r>
      <w:r w:rsidRPr="00721C4A">
        <w:rPr>
          <w:i/>
          <w:iCs/>
          <w:szCs w:val="26"/>
        </w:rPr>
        <w:t>White v. People</w:t>
      </w:r>
      <w:r w:rsidRPr="00721C4A">
        <w:rPr>
          <w:szCs w:val="26"/>
        </w:rPr>
        <w:t xml:space="preserve">, 76 Colo. 208, 210, 230 P. 614, 614-15 (1924). </w:t>
      </w:r>
    </w:p>
    <w:p w14:paraId="3A294421" w14:textId="77777777" w:rsidR="00452DB7" w:rsidRPr="00721C4A" w:rsidRDefault="00452DB7" w:rsidP="00452DB7">
      <w:pPr>
        <w:rPr>
          <w:szCs w:val="26"/>
        </w:rPr>
      </w:pPr>
    </w:p>
    <w:p w14:paraId="35A033C5" w14:textId="5178E42B" w:rsidR="00452DB7" w:rsidRPr="00721C4A" w:rsidRDefault="00452DB7" w:rsidP="00452DB7">
      <w:pPr>
        <w:rPr>
          <w:szCs w:val="26"/>
        </w:rPr>
      </w:pPr>
      <w:r w:rsidRPr="00721C4A">
        <w:rPr>
          <w:szCs w:val="26"/>
          <w:u w:val="single"/>
        </w:rPr>
        <w:t>Issue 2</w:t>
      </w:r>
      <w:r w:rsidRPr="00721C4A">
        <w:rPr>
          <w:szCs w:val="26"/>
        </w:rPr>
        <w:t>: Prosecutorial misconduct</w:t>
      </w:r>
    </w:p>
    <w:p w14:paraId="25D62F7F" w14:textId="24E8E7DE" w:rsidR="00452DB7" w:rsidRPr="00721C4A" w:rsidRDefault="00452DB7" w:rsidP="00452DB7">
      <w:pPr>
        <w:rPr>
          <w:szCs w:val="26"/>
        </w:rPr>
      </w:pPr>
    </w:p>
    <w:p w14:paraId="49C66F7B" w14:textId="260AC760" w:rsidR="00452DB7" w:rsidRPr="00721C4A" w:rsidRDefault="00452DB7" w:rsidP="00452DB7">
      <w:pPr>
        <w:rPr>
          <w:szCs w:val="26"/>
        </w:rPr>
      </w:pPr>
      <w:r w:rsidRPr="00721C4A">
        <w:rPr>
          <w:szCs w:val="26"/>
        </w:rPr>
        <w:t xml:space="preserve">Although reversing on the instructional error, the majority still </w:t>
      </w:r>
      <w:r w:rsidR="00452E5E" w:rsidRPr="00721C4A">
        <w:rPr>
          <w:szCs w:val="26"/>
        </w:rPr>
        <w:t>chose</w:t>
      </w:r>
      <w:r w:rsidRPr="00721C4A">
        <w:rPr>
          <w:szCs w:val="26"/>
        </w:rPr>
        <w:t xml:space="preserve"> to </w:t>
      </w:r>
      <w:r w:rsidR="00452E5E" w:rsidRPr="00721C4A">
        <w:rPr>
          <w:szCs w:val="26"/>
        </w:rPr>
        <w:t>guide</w:t>
      </w:r>
      <w:r w:rsidRPr="00721C4A">
        <w:rPr>
          <w:szCs w:val="26"/>
        </w:rPr>
        <w:t xml:space="preserve"> the trial court on the permissible scope of cross-examination on retrial</w:t>
      </w:r>
      <w:r w:rsidR="00452E5E" w:rsidRPr="00721C4A">
        <w:rPr>
          <w:szCs w:val="26"/>
        </w:rPr>
        <w:t>.</w:t>
      </w:r>
      <w:r w:rsidRPr="00721C4A">
        <w:rPr>
          <w:szCs w:val="26"/>
        </w:rPr>
        <w:t xml:space="preserve">  The prosecutor cross-examined Derrick Quesada, one of Graves' </w:t>
      </w:r>
      <w:r w:rsidRPr="00721C4A">
        <w:rPr>
          <w:szCs w:val="26"/>
        </w:rPr>
        <w:lastRenderedPageBreak/>
        <w:t>key witnesses, about his prior convictions, which was fine.  What was objectionable was the prosecutor's questions about the resulting sentences</w:t>
      </w:r>
      <w:r w:rsidR="00452E5E" w:rsidRPr="00721C4A">
        <w:rPr>
          <w:szCs w:val="26"/>
        </w:rPr>
        <w:t>.  The prosecutor asked about:</w:t>
      </w:r>
    </w:p>
    <w:p w14:paraId="2739A94D" w14:textId="77777777" w:rsidR="00452E5E" w:rsidRPr="00721C4A" w:rsidRDefault="00452E5E" w:rsidP="00452DB7">
      <w:pPr>
        <w:rPr>
          <w:szCs w:val="26"/>
        </w:rPr>
      </w:pPr>
    </w:p>
    <w:p w14:paraId="57A4D1AF" w14:textId="0A6A74F9" w:rsidR="00452DB7" w:rsidRPr="00721C4A" w:rsidRDefault="00452E5E" w:rsidP="00452DB7">
      <w:pPr>
        <w:pStyle w:val="ListParagraph"/>
        <w:numPr>
          <w:ilvl w:val="0"/>
          <w:numId w:val="2"/>
        </w:numPr>
        <w:rPr>
          <w:szCs w:val="26"/>
        </w:rPr>
      </w:pPr>
      <w:r w:rsidRPr="00721C4A">
        <w:rPr>
          <w:szCs w:val="26"/>
        </w:rPr>
        <w:t xml:space="preserve">that </w:t>
      </w:r>
      <w:r w:rsidR="00452DB7" w:rsidRPr="00721C4A">
        <w:rPr>
          <w:szCs w:val="26"/>
        </w:rPr>
        <w:t>his probation was revoked</w:t>
      </w:r>
      <w:r w:rsidRPr="00721C4A">
        <w:rPr>
          <w:szCs w:val="26"/>
        </w:rPr>
        <w:t>,</w:t>
      </w:r>
      <w:r w:rsidR="00452DB7" w:rsidRPr="00721C4A">
        <w:rPr>
          <w:szCs w:val="26"/>
        </w:rPr>
        <w:t xml:space="preserve"> and he was sentenced to community corrections; </w:t>
      </w:r>
    </w:p>
    <w:p w14:paraId="3326308F" w14:textId="77777777" w:rsidR="00452DB7" w:rsidRPr="00721C4A" w:rsidRDefault="00452DB7" w:rsidP="00452DB7">
      <w:pPr>
        <w:pStyle w:val="ListParagraph"/>
        <w:numPr>
          <w:ilvl w:val="0"/>
          <w:numId w:val="2"/>
        </w:numPr>
        <w:rPr>
          <w:szCs w:val="26"/>
        </w:rPr>
      </w:pPr>
      <w:r w:rsidRPr="00721C4A">
        <w:rPr>
          <w:szCs w:val="26"/>
        </w:rPr>
        <w:t xml:space="preserve">he was serving the community corrections sentence at the time of the incident; </w:t>
      </w:r>
    </w:p>
    <w:p w14:paraId="3777D359" w14:textId="77777777" w:rsidR="00452DB7" w:rsidRPr="00721C4A" w:rsidRDefault="00452DB7" w:rsidP="00452DB7">
      <w:pPr>
        <w:pStyle w:val="ListParagraph"/>
        <w:numPr>
          <w:ilvl w:val="0"/>
          <w:numId w:val="2"/>
        </w:numPr>
        <w:rPr>
          <w:szCs w:val="26"/>
        </w:rPr>
      </w:pPr>
      <w:r w:rsidRPr="00721C4A">
        <w:rPr>
          <w:szCs w:val="26"/>
        </w:rPr>
        <w:t xml:space="preserve">he was subject to a curfew on the date of the incident; and </w:t>
      </w:r>
    </w:p>
    <w:p w14:paraId="2547DEC2" w14:textId="2A76096C" w:rsidR="00452DB7" w:rsidRPr="00721C4A" w:rsidRDefault="00452DB7" w:rsidP="00452DB7">
      <w:pPr>
        <w:pStyle w:val="ListParagraph"/>
        <w:numPr>
          <w:ilvl w:val="0"/>
          <w:numId w:val="2"/>
        </w:numPr>
        <w:rPr>
          <w:szCs w:val="26"/>
        </w:rPr>
      </w:pPr>
      <w:r w:rsidRPr="00721C4A">
        <w:rPr>
          <w:szCs w:val="26"/>
        </w:rPr>
        <w:t xml:space="preserve">he needed a </w:t>
      </w:r>
      <w:r w:rsidR="00452E5E" w:rsidRPr="00721C4A">
        <w:rPr>
          <w:szCs w:val="26"/>
        </w:rPr>
        <w:t>"</w:t>
      </w:r>
      <w:r w:rsidRPr="00721C4A">
        <w:rPr>
          <w:szCs w:val="26"/>
        </w:rPr>
        <w:t>pass</w:t>
      </w:r>
      <w:r w:rsidR="00452E5E" w:rsidRPr="00721C4A">
        <w:rPr>
          <w:szCs w:val="26"/>
        </w:rPr>
        <w:t>"</w:t>
      </w:r>
      <w:r w:rsidRPr="00721C4A">
        <w:rPr>
          <w:szCs w:val="26"/>
        </w:rPr>
        <w:t xml:space="preserve"> to be </w:t>
      </w:r>
      <w:r w:rsidR="00452E5E" w:rsidRPr="00721C4A">
        <w:rPr>
          <w:szCs w:val="26"/>
        </w:rPr>
        <w:t xml:space="preserve">out of the community corrections facility to be present </w:t>
      </w:r>
      <w:r w:rsidRPr="00721C4A">
        <w:rPr>
          <w:szCs w:val="26"/>
        </w:rPr>
        <w:t xml:space="preserve">at the location of the incident at the time of the incident.  </w:t>
      </w:r>
    </w:p>
    <w:p w14:paraId="2DC29B38" w14:textId="1DC97475" w:rsidR="00452DB7" w:rsidRPr="00721C4A" w:rsidRDefault="00452DB7" w:rsidP="00452DB7">
      <w:pPr>
        <w:rPr>
          <w:szCs w:val="26"/>
        </w:rPr>
      </w:pPr>
    </w:p>
    <w:p w14:paraId="61C6777A" w14:textId="16AAA175" w:rsidR="00452DB7" w:rsidRPr="00721C4A" w:rsidRDefault="00452DB7" w:rsidP="00452DB7">
      <w:pPr>
        <w:pStyle w:val="Default"/>
        <w:rPr>
          <w:sz w:val="26"/>
          <w:szCs w:val="26"/>
        </w:rPr>
      </w:pPr>
      <w:r w:rsidRPr="00721C4A">
        <w:rPr>
          <w:sz w:val="26"/>
          <w:szCs w:val="26"/>
        </w:rPr>
        <w:t xml:space="preserve">The majority agreed that by inquiring into </w:t>
      </w:r>
      <w:r w:rsidR="00452E5E" w:rsidRPr="00721C4A">
        <w:rPr>
          <w:sz w:val="26"/>
          <w:szCs w:val="26"/>
        </w:rPr>
        <w:t>the above details</w:t>
      </w:r>
      <w:r w:rsidRPr="00721C4A">
        <w:rPr>
          <w:sz w:val="26"/>
          <w:szCs w:val="26"/>
        </w:rPr>
        <w:t xml:space="preserve">, the prosecutor exceeded the scope of cross-examination and elicited evidence that was irrelevant and unfairly prejudicial.  Neither Quesada’s residence in Community Corrections nor the limitations placed on him as a result of that sentence made his testimony regarding what happened between Graves and D.G. any more or less credible. The prosecutor’s extended inquiry into the requirement that Quesada had a pass to be out past curfew went beyond the scope of a “brief recital of the circumstances” underlying his prior convictions. They were "particularly troubled by the prosecutor’s emphasis of Quesada’s criminal sentence — beyond permissible impeachment — given the importance of Quesada’s testimony to the defense." </w:t>
      </w:r>
    </w:p>
    <w:p w14:paraId="57F8AD82" w14:textId="77777777" w:rsidR="00452E5E" w:rsidRPr="00721C4A" w:rsidRDefault="00452E5E" w:rsidP="00452DB7">
      <w:pPr>
        <w:autoSpaceDE w:val="0"/>
        <w:autoSpaceDN w:val="0"/>
        <w:adjustRightInd w:val="0"/>
        <w:contextualSpacing w:val="0"/>
        <w:rPr>
          <w:rFonts w:cs="Bookman Old Style"/>
          <w:color w:val="000000"/>
          <w:szCs w:val="26"/>
        </w:rPr>
      </w:pPr>
    </w:p>
    <w:p w14:paraId="15E27A89" w14:textId="2B00C7AB" w:rsidR="00452DB7" w:rsidRPr="00721C4A" w:rsidRDefault="00452DB7" w:rsidP="00452DB7">
      <w:pPr>
        <w:autoSpaceDE w:val="0"/>
        <w:autoSpaceDN w:val="0"/>
        <w:adjustRightInd w:val="0"/>
        <w:contextualSpacing w:val="0"/>
        <w:rPr>
          <w:rFonts w:cs="Bookman Old Style"/>
          <w:color w:val="000000"/>
          <w:szCs w:val="26"/>
        </w:rPr>
      </w:pPr>
      <w:r w:rsidRPr="00721C4A">
        <w:rPr>
          <w:rFonts w:cs="Bookman Old Style"/>
          <w:color w:val="000000"/>
          <w:szCs w:val="26"/>
        </w:rPr>
        <w:t xml:space="preserve">Accordingly, on retrial, the trial court should limit testimony and argument regarding prior convictions to that which is logically relevant and introduced only for the proper purpose of impeachment. </w:t>
      </w:r>
    </w:p>
    <w:p w14:paraId="63F9B588" w14:textId="7BC50260" w:rsidR="00452DB7" w:rsidRPr="00721C4A" w:rsidRDefault="00452DB7" w:rsidP="00452DB7">
      <w:pPr>
        <w:autoSpaceDE w:val="0"/>
        <w:autoSpaceDN w:val="0"/>
        <w:adjustRightInd w:val="0"/>
        <w:contextualSpacing w:val="0"/>
        <w:rPr>
          <w:rFonts w:cs="Bookman Old Style"/>
          <w:color w:val="000000"/>
          <w:szCs w:val="26"/>
        </w:rPr>
      </w:pPr>
      <w:r w:rsidRPr="00721C4A">
        <w:rPr>
          <w:rFonts w:cs="Bookman Old Style"/>
          <w:color w:val="000000"/>
          <w:szCs w:val="26"/>
        </w:rPr>
        <w:t xml:space="preserve"> </w:t>
      </w:r>
    </w:p>
    <w:p w14:paraId="4AD30BD9" w14:textId="6E60EC05" w:rsidR="00452DB7" w:rsidRPr="00721C4A" w:rsidRDefault="00452DB7" w:rsidP="00452DB7">
      <w:pPr>
        <w:pStyle w:val="Default"/>
        <w:rPr>
          <w:sz w:val="26"/>
          <w:szCs w:val="26"/>
        </w:rPr>
      </w:pPr>
    </w:p>
    <w:p w14:paraId="4F2EA63F" w14:textId="04F182AD" w:rsidR="00452DB7" w:rsidRPr="00721C4A" w:rsidRDefault="00452DB7" w:rsidP="00452DB7">
      <w:pPr>
        <w:pStyle w:val="Default"/>
        <w:rPr>
          <w:sz w:val="26"/>
          <w:szCs w:val="26"/>
        </w:rPr>
      </w:pPr>
    </w:p>
    <w:p w14:paraId="51D4D0D5" w14:textId="55360A04" w:rsidR="00057300" w:rsidRPr="00721C4A" w:rsidRDefault="00205850">
      <w:pPr>
        <w:rPr>
          <w:szCs w:val="26"/>
        </w:rPr>
      </w:pPr>
      <w:r w:rsidRPr="00721C4A">
        <w:rPr>
          <w:szCs w:val="26"/>
          <w:u w:val="single"/>
        </w:rPr>
        <w:t>Misc</w:t>
      </w:r>
      <w:r w:rsidR="006E1F52" w:rsidRPr="00721C4A">
        <w:rPr>
          <w:szCs w:val="26"/>
          <w:u w:val="single"/>
        </w:rPr>
        <w:t>.</w:t>
      </w:r>
    </w:p>
    <w:p w14:paraId="5EB3B86B" w14:textId="7FFAC8BE" w:rsidR="00205850" w:rsidRPr="00721C4A" w:rsidRDefault="00205850">
      <w:pPr>
        <w:rPr>
          <w:szCs w:val="26"/>
        </w:rPr>
      </w:pPr>
    </w:p>
    <w:p w14:paraId="52F43010" w14:textId="246152E3" w:rsidR="00E05D1C" w:rsidRPr="00721C4A" w:rsidRDefault="00E05D1C">
      <w:pPr>
        <w:rPr>
          <w:szCs w:val="26"/>
        </w:rPr>
      </w:pPr>
      <w:r w:rsidRPr="00721C4A">
        <w:rPr>
          <w:szCs w:val="26"/>
        </w:rPr>
        <w:t>Interesting article about the financial impact of electronic monitor</w:t>
      </w:r>
      <w:r w:rsidR="009735CF" w:rsidRPr="00721C4A">
        <w:rPr>
          <w:szCs w:val="26"/>
        </w:rPr>
        <w:t>ing.</w:t>
      </w:r>
    </w:p>
    <w:p w14:paraId="44B58A8F" w14:textId="1723FCEF" w:rsidR="009735CF" w:rsidRPr="00721C4A" w:rsidRDefault="008E0401">
      <w:pPr>
        <w:rPr>
          <w:szCs w:val="26"/>
        </w:rPr>
      </w:pPr>
      <w:hyperlink r:id="rId9" w:history="1">
        <w:r w:rsidR="009735CF" w:rsidRPr="00721C4A">
          <w:rPr>
            <w:rStyle w:val="Hyperlink"/>
            <w:szCs w:val="26"/>
          </w:rPr>
          <w:t>https://www.propublica.org/article/digital-jail-how-electronic-monitoring-drives-defendants-into-debt</w:t>
        </w:r>
      </w:hyperlink>
    </w:p>
    <w:p w14:paraId="5AAB158B" w14:textId="18C4C31E" w:rsidR="009735CF" w:rsidRPr="00721C4A" w:rsidRDefault="009735CF">
      <w:pPr>
        <w:rPr>
          <w:szCs w:val="26"/>
        </w:rPr>
      </w:pPr>
      <w:r w:rsidRPr="00721C4A">
        <w:rPr>
          <w:szCs w:val="26"/>
        </w:rPr>
        <w:t>Thanks</w:t>
      </w:r>
      <w:r w:rsidR="00452E5E" w:rsidRPr="00721C4A">
        <w:rPr>
          <w:szCs w:val="26"/>
        </w:rPr>
        <w:t>,</w:t>
      </w:r>
      <w:r w:rsidRPr="00721C4A">
        <w:rPr>
          <w:szCs w:val="26"/>
        </w:rPr>
        <w:t xml:space="preserve"> </w:t>
      </w:r>
      <w:r w:rsidR="00452E5E" w:rsidRPr="00721C4A">
        <w:rPr>
          <w:szCs w:val="26"/>
        </w:rPr>
        <w:t xml:space="preserve">to </w:t>
      </w:r>
      <w:r w:rsidRPr="00721C4A">
        <w:rPr>
          <w:szCs w:val="26"/>
        </w:rPr>
        <w:t>Richard Demarest for forwarding the article</w:t>
      </w:r>
    </w:p>
    <w:p w14:paraId="6AC93BA2" w14:textId="77777777" w:rsidR="00E05D1C" w:rsidRPr="00721C4A" w:rsidRDefault="00E05D1C">
      <w:pPr>
        <w:rPr>
          <w:szCs w:val="26"/>
        </w:rPr>
      </w:pPr>
    </w:p>
    <w:p w14:paraId="134A8595" w14:textId="701E6C81" w:rsidR="00205850" w:rsidRPr="00721C4A" w:rsidRDefault="00205850">
      <w:pPr>
        <w:rPr>
          <w:szCs w:val="26"/>
        </w:rPr>
      </w:pPr>
      <w:r w:rsidRPr="00721C4A">
        <w:rPr>
          <w:szCs w:val="26"/>
          <w:u w:val="single"/>
        </w:rPr>
        <w:t>Musical notes</w:t>
      </w:r>
      <w:r w:rsidRPr="00721C4A">
        <w:rPr>
          <w:szCs w:val="26"/>
        </w:rPr>
        <w:t>:</w:t>
      </w:r>
    </w:p>
    <w:p w14:paraId="5A3587EC" w14:textId="77777777" w:rsidR="005C2598" w:rsidRPr="00721C4A" w:rsidRDefault="005C2598">
      <w:pPr>
        <w:rPr>
          <w:szCs w:val="26"/>
        </w:rPr>
      </w:pPr>
    </w:p>
    <w:p w14:paraId="1AB55B4F" w14:textId="2A4E35E3" w:rsidR="00205850" w:rsidRPr="00721C4A" w:rsidRDefault="008E0401">
      <w:pPr>
        <w:rPr>
          <w:szCs w:val="26"/>
        </w:rPr>
      </w:pPr>
      <w:hyperlink r:id="rId10" w:history="1">
        <w:r w:rsidR="00205850" w:rsidRPr="00721C4A">
          <w:rPr>
            <w:rStyle w:val="Hyperlink"/>
            <w:szCs w:val="26"/>
          </w:rPr>
          <w:t>https://www.youtube.com/watch?v=EJRdDhnTRoo</w:t>
        </w:r>
      </w:hyperlink>
    </w:p>
    <w:p w14:paraId="3920696F" w14:textId="77777777" w:rsidR="005C2598" w:rsidRPr="00721C4A" w:rsidRDefault="005C2598">
      <w:pPr>
        <w:rPr>
          <w:szCs w:val="26"/>
        </w:rPr>
      </w:pPr>
    </w:p>
    <w:p w14:paraId="1575FD84" w14:textId="19E6A3B0" w:rsidR="00205850" w:rsidRPr="00721C4A" w:rsidRDefault="008E0401">
      <w:pPr>
        <w:rPr>
          <w:rStyle w:val="Hyperlink"/>
          <w:szCs w:val="26"/>
        </w:rPr>
      </w:pPr>
      <w:hyperlink r:id="rId11" w:history="1">
        <w:r w:rsidR="005C2598" w:rsidRPr="00721C4A">
          <w:rPr>
            <w:rStyle w:val="Hyperlink"/>
            <w:szCs w:val="26"/>
          </w:rPr>
          <w:t>https://www.youtube.com/watch?v=O17i437KIBI</w:t>
        </w:r>
      </w:hyperlink>
    </w:p>
    <w:p w14:paraId="7DC17F5C" w14:textId="77777777" w:rsidR="005C2598" w:rsidRPr="00721C4A" w:rsidRDefault="005C2598">
      <w:pPr>
        <w:rPr>
          <w:szCs w:val="26"/>
        </w:rPr>
      </w:pPr>
    </w:p>
    <w:p w14:paraId="1D520D3C" w14:textId="2AF2A350" w:rsidR="009A6FC9" w:rsidRPr="00721C4A" w:rsidRDefault="008E0401">
      <w:pPr>
        <w:rPr>
          <w:szCs w:val="26"/>
        </w:rPr>
      </w:pPr>
      <w:hyperlink r:id="rId12" w:history="1">
        <w:r w:rsidR="005C2598" w:rsidRPr="00721C4A">
          <w:rPr>
            <w:rStyle w:val="Hyperlink"/>
            <w:szCs w:val="26"/>
          </w:rPr>
          <w:t>https://www.youtube.com/watch?v=9QMQRDy8</w:t>
        </w:r>
        <w:r w:rsidR="005C2598" w:rsidRPr="00721C4A">
          <w:rPr>
            <w:rStyle w:val="Hyperlink"/>
            <w:szCs w:val="26"/>
          </w:rPr>
          <w:t>T</w:t>
        </w:r>
        <w:r w:rsidR="005C2598" w:rsidRPr="00721C4A">
          <w:rPr>
            <w:rStyle w:val="Hyperlink"/>
            <w:szCs w:val="26"/>
          </w:rPr>
          <w:t>uc</w:t>
        </w:r>
      </w:hyperlink>
    </w:p>
    <w:p w14:paraId="44D71A0F" w14:textId="77777777" w:rsidR="009A6FC9" w:rsidRPr="00721C4A" w:rsidRDefault="009A6FC9">
      <w:pPr>
        <w:rPr>
          <w:szCs w:val="26"/>
        </w:rPr>
      </w:pPr>
    </w:p>
    <w:p w14:paraId="5CBB39A2" w14:textId="4F7E06E7" w:rsidR="00B71658" w:rsidRPr="00721C4A" w:rsidRDefault="00B71658">
      <w:pPr>
        <w:rPr>
          <w:szCs w:val="26"/>
        </w:rPr>
      </w:pPr>
    </w:p>
    <w:p w14:paraId="30DB9DD1" w14:textId="1A32FE79" w:rsidR="00452E5E" w:rsidRPr="00721C4A" w:rsidRDefault="00452E5E">
      <w:pPr>
        <w:rPr>
          <w:szCs w:val="26"/>
        </w:rPr>
      </w:pPr>
      <w:r w:rsidRPr="00721C4A">
        <w:rPr>
          <w:szCs w:val="26"/>
        </w:rPr>
        <w:t>That is all for this week.  Until next week,</w:t>
      </w:r>
    </w:p>
    <w:p w14:paraId="3159172A" w14:textId="41DA6A5E" w:rsidR="00452E5E" w:rsidRPr="00721C4A" w:rsidRDefault="00452E5E">
      <w:pPr>
        <w:rPr>
          <w:szCs w:val="26"/>
        </w:rPr>
      </w:pPr>
    </w:p>
    <w:p w14:paraId="732F7641" w14:textId="7A06350D" w:rsidR="00452E5E" w:rsidRPr="00721C4A" w:rsidRDefault="00452E5E">
      <w:pPr>
        <w:rPr>
          <w:szCs w:val="26"/>
        </w:rPr>
      </w:pPr>
      <w:r w:rsidRPr="00721C4A">
        <w:rPr>
          <w:szCs w:val="26"/>
        </w:rPr>
        <w:t>Peace.</w:t>
      </w:r>
    </w:p>
    <w:p w14:paraId="5B2E1A13" w14:textId="12AB298A" w:rsidR="00452E5E" w:rsidRPr="00721C4A" w:rsidRDefault="00452E5E">
      <w:pPr>
        <w:rPr>
          <w:szCs w:val="26"/>
        </w:rPr>
      </w:pPr>
    </w:p>
    <w:p w14:paraId="4B65566B" w14:textId="3970025D" w:rsidR="00452E5E" w:rsidRPr="00721C4A" w:rsidRDefault="00452E5E">
      <w:pPr>
        <w:rPr>
          <w:szCs w:val="26"/>
        </w:rPr>
      </w:pPr>
      <w:r w:rsidRPr="00721C4A">
        <w:rPr>
          <w:szCs w:val="26"/>
        </w:rPr>
        <w:t>Jonathan</w:t>
      </w:r>
    </w:p>
    <w:p w14:paraId="19177C82" w14:textId="35104F15" w:rsidR="005C2598" w:rsidRPr="00721C4A" w:rsidRDefault="005C2598">
      <w:pPr>
        <w:rPr>
          <w:szCs w:val="26"/>
        </w:rPr>
      </w:pPr>
    </w:p>
    <w:p w14:paraId="4DB6B9E3" w14:textId="76060A76" w:rsidR="005C2598" w:rsidRPr="00721C4A" w:rsidRDefault="005C2598">
      <w:pPr>
        <w:rPr>
          <w:szCs w:val="26"/>
        </w:rPr>
      </w:pPr>
    </w:p>
    <w:p w14:paraId="60CC3844" w14:textId="38BF1C8A" w:rsidR="005C2598" w:rsidRPr="00721C4A" w:rsidRDefault="005C2598">
      <w:pPr>
        <w:rPr>
          <w:szCs w:val="26"/>
        </w:rPr>
      </w:pPr>
      <w:r w:rsidRPr="00721C4A">
        <w:rPr>
          <w:szCs w:val="26"/>
          <w:u w:val="single"/>
        </w:rPr>
        <w:t>Links</w:t>
      </w:r>
      <w:r w:rsidRPr="00721C4A">
        <w:rPr>
          <w:szCs w:val="26"/>
        </w:rPr>
        <w:t>:</w:t>
      </w:r>
    </w:p>
    <w:p w14:paraId="16B6A909" w14:textId="787F7C02" w:rsidR="005C2598" w:rsidRPr="00721C4A" w:rsidRDefault="005C2598">
      <w:pPr>
        <w:rPr>
          <w:szCs w:val="26"/>
        </w:rPr>
      </w:pPr>
    </w:p>
    <w:p w14:paraId="534891AA" w14:textId="05C0F4AA" w:rsidR="00A74665" w:rsidRPr="00721C4A" w:rsidRDefault="00A74665">
      <w:pPr>
        <w:rPr>
          <w:szCs w:val="26"/>
        </w:rPr>
      </w:pPr>
      <w:r w:rsidRPr="00721C4A">
        <w:rPr>
          <w:i/>
          <w:iCs/>
          <w:szCs w:val="26"/>
        </w:rPr>
        <w:t>People v. Bott</w:t>
      </w:r>
      <w:r w:rsidRPr="00721C4A">
        <w:rPr>
          <w:szCs w:val="26"/>
        </w:rPr>
        <w:t>, 2019COA100</w:t>
      </w:r>
    </w:p>
    <w:p w14:paraId="5676CC36" w14:textId="26852523" w:rsidR="00A74665" w:rsidRPr="00721C4A" w:rsidRDefault="00A74665">
      <w:pPr>
        <w:rPr>
          <w:szCs w:val="26"/>
        </w:rPr>
      </w:pPr>
    </w:p>
    <w:p w14:paraId="5CEE6A4F" w14:textId="1354B624" w:rsidR="00A74665" w:rsidRPr="00721C4A" w:rsidRDefault="008E0401">
      <w:pPr>
        <w:rPr>
          <w:rFonts w:cs="Arial"/>
          <w:color w:val="394856"/>
          <w:szCs w:val="26"/>
          <w:shd w:val="clear" w:color="auto" w:fill="FFFFFF"/>
        </w:rPr>
      </w:pPr>
      <w:hyperlink r:id="rId13" w:history="1">
        <w:r w:rsidR="00A74665" w:rsidRPr="00721C4A">
          <w:rPr>
            <w:rStyle w:val="Hyperlink"/>
            <w:rFonts w:cs="Arial"/>
            <w:szCs w:val="26"/>
            <w:shd w:val="clear" w:color="auto" w:fill="FFFFFF"/>
          </w:rPr>
          <w:t>https://files.constantcontact.com/45bb5db5401/92c33215-2df6-423c-8e01-a72f7477f4b5.pdf</w:t>
        </w:r>
      </w:hyperlink>
    </w:p>
    <w:p w14:paraId="5E84DC4D" w14:textId="33DC43E4" w:rsidR="00A74665" w:rsidRPr="00721C4A" w:rsidRDefault="00A74665">
      <w:pPr>
        <w:rPr>
          <w:rFonts w:cs="Arial"/>
          <w:color w:val="394856"/>
          <w:szCs w:val="26"/>
          <w:shd w:val="clear" w:color="auto" w:fill="FFFFFF"/>
        </w:rPr>
      </w:pPr>
    </w:p>
    <w:p w14:paraId="2425603D" w14:textId="31229E42" w:rsidR="00A74665" w:rsidRPr="00721C4A" w:rsidRDefault="00A74665">
      <w:pPr>
        <w:rPr>
          <w:rFonts w:cs="Arial"/>
          <w:color w:val="394856"/>
          <w:szCs w:val="26"/>
          <w:shd w:val="clear" w:color="auto" w:fill="FFFFFF"/>
        </w:rPr>
      </w:pPr>
      <w:r w:rsidRPr="00721C4A">
        <w:rPr>
          <w:rFonts w:cs="Arial"/>
          <w:i/>
          <w:iCs/>
          <w:color w:val="394856"/>
          <w:szCs w:val="26"/>
          <w:shd w:val="clear" w:color="auto" w:fill="FFFFFF"/>
        </w:rPr>
        <w:t>People v. Hamilton</w:t>
      </w:r>
      <w:r w:rsidRPr="00721C4A">
        <w:rPr>
          <w:rFonts w:cs="Arial"/>
          <w:color w:val="394856"/>
          <w:szCs w:val="26"/>
          <w:shd w:val="clear" w:color="auto" w:fill="FFFFFF"/>
        </w:rPr>
        <w:t>, 2019COA101</w:t>
      </w:r>
    </w:p>
    <w:p w14:paraId="181E180E" w14:textId="00E27BFB" w:rsidR="00A74665" w:rsidRPr="00721C4A" w:rsidRDefault="008E0401">
      <w:pPr>
        <w:rPr>
          <w:rFonts w:cs="Arial"/>
          <w:color w:val="394856"/>
          <w:szCs w:val="26"/>
          <w:shd w:val="clear" w:color="auto" w:fill="FFFFFF"/>
        </w:rPr>
      </w:pPr>
      <w:hyperlink r:id="rId14" w:history="1">
        <w:r w:rsidR="00A74665" w:rsidRPr="00721C4A">
          <w:rPr>
            <w:rStyle w:val="Hyperlink"/>
            <w:rFonts w:cs="Arial"/>
            <w:szCs w:val="26"/>
            <w:shd w:val="clear" w:color="auto" w:fill="FFFFFF"/>
          </w:rPr>
          <w:t>https://files.constantcontact.com/45bb5db5401/92c33215-2df6-423c-8e01-a72f7477f4b5.pdf</w:t>
        </w:r>
      </w:hyperlink>
    </w:p>
    <w:p w14:paraId="27A5A26E" w14:textId="77777777" w:rsidR="00A74665" w:rsidRPr="00721C4A" w:rsidRDefault="00A74665">
      <w:pPr>
        <w:rPr>
          <w:szCs w:val="26"/>
        </w:rPr>
      </w:pPr>
    </w:p>
    <w:p w14:paraId="4EECF94E" w14:textId="3E306110" w:rsidR="00A74665" w:rsidRPr="00721C4A" w:rsidRDefault="00A74665">
      <w:pPr>
        <w:rPr>
          <w:szCs w:val="26"/>
        </w:rPr>
      </w:pPr>
      <w:r w:rsidRPr="00721C4A">
        <w:rPr>
          <w:i/>
          <w:iCs/>
          <w:szCs w:val="26"/>
        </w:rPr>
        <w:t xml:space="preserve">People v. Medina, </w:t>
      </w:r>
      <w:r w:rsidRPr="00721C4A">
        <w:rPr>
          <w:szCs w:val="26"/>
        </w:rPr>
        <w:t>2019COA103</w:t>
      </w:r>
    </w:p>
    <w:p w14:paraId="61088232" w14:textId="1E779AC6" w:rsidR="00A74665" w:rsidRPr="00721C4A" w:rsidRDefault="00A74665">
      <w:pPr>
        <w:rPr>
          <w:szCs w:val="26"/>
        </w:rPr>
      </w:pPr>
    </w:p>
    <w:p w14:paraId="6D7952E7" w14:textId="557019E5" w:rsidR="00A74665" w:rsidRPr="00721C4A" w:rsidRDefault="008E0401">
      <w:pPr>
        <w:rPr>
          <w:rFonts w:cs="Arial"/>
          <w:color w:val="394856"/>
          <w:szCs w:val="26"/>
          <w:shd w:val="clear" w:color="auto" w:fill="FFFFFF"/>
        </w:rPr>
      </w:pPr>
      <w:hyperlink r:id="rId15" w:history="1">
        <w:r w:rsidR="00A74665" w:rsidRPr="00721C4A">
          <w:rPr>
            <w:rStyle w:val="Hyperlink"/>
            <w:rFonts w:cs="Arial"/>
            <w:szCs w:val="26"/>
            <w:shd w:val="clear" w:color="auto" w:fill="FFFFFF"/>
          </w:rPr>
          <w:t>https://files.constantcontact.com/45bb5db5401/71396d56-559f-4d38-8ff2-57227216edcd.pdf</w:t>
        </w:r>
      </w:hyperlink>
    </w:p>
    <w:p w14:paraId="4FC974FC" w14:textId="489E560F" w:rsidR="00A74665" w:rsidRPr="00721C4A" w:rsidRDefault="00A74665">
      <w:pPr>
        <w:rPr>
          <w:rFonts w:cs="Arial"/>
          <w:color w:val="394856"/>
          <w:szCs w:val="26"/>
          <w:shd w:val="clear" w:color="auto" w:fill="FFFFFF"/>
        </w:rPr>
      </w:pPr>
    </w:p>
    <w:p w14:paraId="2C7F047C" w14:textId="77777777" w:rsidR="00A74665" w:rsidRPr="00721C4A" w:rsidRDefault="00A74665">
      <w:pPr>
        <w:rPr>
          <w:szCs w:val="26"/>
        </w:rPr>
      </w:pPr>
    </w:p>
    <w:p w14:paraId="4DC54C57" w14:textId="1A76250E" w:rsidR="005C2598" w:rsidRPr="00721C4A" w:rsidRDefault="00990A05">
      <w:pPr>
        <w:rPr>
          <w:szCs w:val="26"/>
        </w:rPr>
      </w:pPr>
      <w:r w:rsidRPr="00721C4A">
        <w:rPr>
          <w:i/>
          <w:iCs/>
          <w:szCs w:val="26"/>
        </w:rPr>
        <w:t>People v. Flynn</w:t>
      </w:r>
      <w:r w:rsidR="00A74665" w:rsidRPr="00721C4A">
        <w:rPr>
          <w:i/>
          <w:iCs/>
          <w:szCs w:val="26"/>
        </w:rPr>
        <w:t xml:space="preserve">, </w:t>
      </w:r>
      <w:r w:rsidR="00A74665" w:rsidRPr="00721C4A">
        <w:rPr>
          <w:szCs w:val="26"/>
        </w:rPr>
        <w:t>2019COA105</w:t>
      </w:r>
    </w:p>
    <w:p w14:paraId="51D1D2CE" w14:textId="799100E0" w:rsidR="00990A05" w:rsidRPr="00721C4A" w:rsidRDefault="00990A05">
      <w:pPr>
        <w:rPr>
          <w:szCs w:val="26"/>
        </w:rPr>
      </w:pPr>
    </w:p>
    <w:p w14:paraId="4ADB7B9F" w14:textId="508AFFD9" w:rsidR="00990A05" w:rsidRPr="00721C4A" w:rsidRDefault="008E0401">
      <w:pPr>
        <w:rPr>
          <w:rFonts w:cs="Arial"/>
          <w:color w:val="394856"/>
          <w:szCs w:val="26"/>
          <w:shd w:val="clear" w:color="auto" w:fill="FFFFFF"/>
        </w:rPr>
      </w:pPr>
      <w:hyperlink r:id="rId16" w:history="1">
        <w:r w:rsidR="00A74665" w:rsidRPr="00721C4A">
          <w:rPr>
            <w:rStyle w:val="Hyperlink"/>
            <w:rFonts w:cs="Arial"/>
            <w:szCs w:val="26"/>
            <w:shd w:val="clear" w:color="auto" w:fill="FFFFFF"/>
          </w:rPr>
          <w:t>https://files.constantcontact.com/45bb5db5401/94c12f79-e083-4a3d-b2c7-5fea05732fe1.pdf</w:t>
        </w:r>
      </w:hyperlink>
    </w:p>
    <w:p w14:paraId="55128D12" w14:textId="77777777" w:rsidR="00A74665" w:rsidRPr="00721C4A" w:rsidRDefault="00A74665">
      <w:pPr>
        <w:rPr>
          <w:szCs w:val="26"/>
        </w:rPr>
      </w:pPr>
    </w:p>
    <w:p w14:paraId="39CE77FB" w14:textId="40DDB013" w:rsidR="005C2598" w:rsidRPr="00721C4A" w:rsidRDefault="005C2598">
      <w:pPr>
        <w:rPr>
          <w:szCs w:val="26"/>
        </w:rPr>
      </w:pPr>
    </w:p>
    <w:p w14:paraId="13B8A538" w14:textId="3629D16A" w:rsidR="005C2598" w:rsidRPr="00721C4A" w:rsidRDefault="00A74665">
      <w:pPr>
        <w:rPr>
          <w:szCs w:val="26"/>
        </w:rPr>
      </w:pPr>
      <w:r w:rsidRPr="00721C4A">
        <w:rPr>
          <w:i/>
          <w:iCs/>
          <w:szCs w:val="26"/>
        </w:rPr>
        <w:t>People v. Sifuentes</w:t>
      </w:r>
      <w:r w:rsidRPr="00721C4A">
        <w:rPr>
          <w:szCs w:val="26"/>
        </w:rPr>
        <w:t>, 2016COA106</w:t>
      </w:r>
    </w:p>
    <w:p w14:paraId="7D5394D0" w14:textId="0A80F071" w:rsidR="00A74665" w:rsidRPr="00721C4A" w:rsidRDefault="00A74665">
      <w:pPr>
        <w:rPr>
          <w:szCs w:val="26"/>
        </w:rPr>
      </w:pPr>
    </w:p>
    <w:p w14:paraId="0F94E2B7" w14:textId="40B7A95B" w:rsidR="00A74665" w:rsidRPr="00721C4A" w:rsidRDefault="008E0401">
      <w:pPr>
        <w:rPr>
          <w:rFonts w:cs="Arial"/>
          <w:color w:val="394856"/>
          <w:szCs w:val="26"/>
          <w:shd w:val="clear" w:color="auto" w:fill="FFFFFF"/>
        </w:rPr>
      </w:pPr>
      <w:hyperlink r:id="rId17" w:history="1">
        <w:r w:rsidR="00A74665" w:rsidRPr="00721C4A">
          <w:rPr>
            <w:rStyle w:val="Hyperlink"/>
            <w:rFonts w:cs="Arial"/>
            <w:szCs w:val="26"/>
            <w:shd w:val="clear" w:color="auto" w:fill="FFFFFF"/>
          </w:rPr>
          <w:t>https://files.constantcontact.com/45bb5db5401/43cc232a-670c-4aaf-ab39-d3132d1116c0.pdf</w:t>
        </w:r>
      </w:hyperlink>
    </w:p>
    <w:p w14:paraId="54425140" w14:textId="77777777" w:rsidR="00A74665" w:rsidRPr="00721C4A" w:rsidRDefault="00A74665">
      <w:pPr>
        <w:rPr>
          <w:szCs w:val="26"/>
        </w:rPr>
      </w:pPr>
    </w:p>
    <w:p w14:paraId="7AC84071" w14:textId="6F5D3000" w:rsidR="005C2598" w:rsidRPr="00721C4A" w:rsidRDefault="005C2598">
      <w:pPr>
        <w:rPr>
          <w:szCs w:val="26"/>
        </w:rPr>
      </w:pPr>
    </w:p>
    <w:p w14:paraId="65076111" w14:textId="4BA80545" w:rsidR="005C2598" w:rsidRPr="00EE5421" w:rsidRDefault="00EE5421">
      <w:pPr>
        <w:rPr>
          <w:szCs w:val="26"/>
        </w:rPr>
      </w:pPr>
      <w:r w:rsidRPr="00EE5421">
        <w:rPr>
          <w:szCs w:val="26"/>
        </w:rPr>
        <w:lastRenderedPageBreak/>
        <w:t>7.12.19 Case Summary</w:t>
      </w:r>
    </w:p>
    <w:p w14:paraId="07DEF5C5" w14:textId="77777777" w:rsidR="00EE5421" w:rsidRPr="00EE5421" w:rsidRDefault="00EE5421">
      <w:pPr>
        <w:rPr>
          <w:szCs w:val="26"/>
        </w:rPr>
      </w:pPr>
    </w:p>
    <w:p w14:paraId="5B7B4E0C" w14:textId="06FDA4CD" w:rsidR="00EE5421" w:rsidRPr="00EE5421" w:rsidRDefault="00EE5421">
      <w:pPr>
        <w:rPr>
          <w:rFonts w:cs="Arial"/>
          <w:color w:val="394856"/>
          <w:szCs w:val="26"/>
          <w:shd w:val="clear" w:color="auto" w:fill="FFFFFF"/>
        </w:rPr>
      </w:pPr>
      <w:hyperlink r:id="rId18" w:history="1">
        <w:r w:rsidRPr="00EE5421">
          <w:rPr>
            <w:rStyle w:val="Hyperlink"/>
            <w:rFonts w:cs="Arial"/>
            <w:szCs w:val="26"/>
            <w:shd w:val="clear" w:color="auto" w:fill="FFFFFF"/>
          </w:rPr>
          <w:t>https://files.constantcontact.com/45bb5db5401/728c1c54-5e55-4dff-aeeb-1bb03de133d0.docx</w:t>
        </w:r>
      </w:hyperlink>
    </w:p>
    <w:p w14:paraId="5A1764D4" w14:textId="77777777" w:rsidR="00EE5421" w:rsidRPr="00721C4A" w:rsidRDefault="00EE5421">
      <w:pPr>
        <w:rPr>
          <w:szCs w:val="26"/>
        </w:rPr>
      </w:pPr>
    </w:p>
    <w:p w14:paraId="5DC15BA8" w14:textId="5DE62D8C" w:rsidR="005C2598" w:rsidRPr="00721C4A" w:rsidRDefault="005C2598">
      <w:pPr>
        <w:rPr>
          <w:szCs w:val="26"/>
        </w:rPr>
      </w:pPr>
    </w:p>
    <w:p w14:paraId="454217B7" w14:textId="1394AC1D" w:rsidR="005C2598" w:rsidRPr="00721C4A" w:rsidRDefault="005C2598">
      <w:pPr>
        <w:rPr>
          <w:szCs w:val="26"/>
        </w:rPr>
      </w:pPr>
    </w:p>
    <w:p w14:paraId="499B85D6" w14:textId="77777777" w:rsidR="005C2598" w:rsidRPr="00721C4A" w:rsidRDefault="005C2598">
      <w:pPr>
        <w:rPr>
          <w:szCs w:val="26"/>
        </w:rPr>
      </w:pPr>
    </w:p>
    <w:sectPr w:rsidR="005C2598" w:rsidRPr="00721C4A">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D98AC5" w14:textId="77777777" w:rsidR="008E0401" w:rsidRDefault="008E0401" w:rsidP="00057300">
      <w:r>
        <w:separator/>
      </w:r>
    </w:p>
  </w:endnote>
  <w:endnote w:type="continuationSeparator" w:id="0">
    <w:p w14:paraId="1B165B46" w14:textId="77777777" w:rsidR="008E0401" w:rsidRDefault="008E0401" w:rsidP="000573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ookman Old Style">
    <w:altName w:val="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04367712"/>
      <w:docPartObj>
        <w:docPartGallery w:val="Page Numbers (Bottom of Page)"/>
        <w:docPartUnique/>
      </w:docPartObj>
    </w:sdtPr>
    <w:sdtEndPr/>
    <w:sdtContent>
      <w:sdt>
        <w:sdtPr>
          <w:id w:val="1728636285"/>
          <w:docPartObj>
            <w:docPartGallery w:val="Page Numbers (Top of Page)"/>
            <w:docPartUnique/>
          </w:docPartObj>
        </w:sdtPr>
        <w:sdtEndPr/>
        <w:sdtContent>
          <w:p w14:paraId="6AC181C9" w14:textId="77777777" w:rsidR="006E1F52" w:rsidRDefault="006E1F52">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C9CE898" w14:textId="77777777" w:rsidR="006E1F52" w:rsidRDefault="006E1F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39DA0A" w14:textId="77777777" w:rsidR="008E0401" w:rsidRDefault="008E0401" w:rsidP="00057300">
      <w:r>
        <w:separator/>
      </w:r>
    </w:p>
  </w:footnote>
  <w:footnote w:type="continuationSeparator" w:id="0">
    <w:p w14:paraId="6E8FFF9E" w14:textId="77777777" w:rsidR="008E0401" w:rsidRDefault="008E0401" w:rsidP="000573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86BE291"/>
    <w:multiLevelType w:val="hybridMultilevel"/>
    <w:tmpl w:val="4E24F84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25BCCDC"/>
    <w:multiLevelType w:val="hybridMultilevel"/>
    <w:tmpl w:val="22E907C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8CBE98F"/>
    <w:multiLevelType w:val="hybridMultilevel"/>
    <w:tmpl w:val="6ADE85B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1830CEE"/>
    <w:multiLevelType w:val="hybridMultilevel"/>
    <w:tmpl w:val="C5B8CC44"/>
    <w:lvl w:ilvl="0" w:tplc="6FC2040E">
      <w:numFmt w:val="bullet"/>
      <w:lvlText w:val="•"/>
      <w:lvlJc w:val="left"/>
      <w:pPr>
        <w:ind w:left="720" w:hanging="360"/>
      </w:pPr>
      <w:rPr>
        <w:rFonts w:ascii="Bookman Old Style" w:eastAsiaTheme="minorHAnsi" w:hAnsi="Bookman Old Style" w:cs="Bookman Old Styl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C159B8"/>
    <w:multiLevelType w:val="hybridMultilevel"/>
    <w:tmpl w:val="30A143D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29235314"/>
    <w:multiLevelType w:val="hybridMultilevel"/>
    <w:tmpl w:val="C9681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141E70"/>
    <w:multiLevelType w:val="hybridMultilevel"/>
    <w:tmpl w:val="DC74E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6D7BB4"/>
    <w:multiLevelType w:val="hybridMultilevel"/>
    <w:tmpl w:val="C6A599E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4C1F0A3B"/>
    <w:multiLevelType w:val="hybridMultilevel"/>
    <w:tmpl w:val="30800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942CF5"/>
    <w:multiLevelType w:val="hybridMultilevel"/>
    <w:tmpl w:val="54B2BB9E"/>
    <w:lvl w:ilvl="0" w:tplc="C17055D6">
      <w:numFmt w:val="bullet"/>
      <w:lvlText w:val="•"/>
      <w:lvlJc w:val="left"/>
      <w:pPr>
        <w:ind w:left="720" w:hanging="360"/>
      </w:pPr>
      <w:rPr>
        <w:rFonts w:ascii="Bookman Old Style" w:eastAsiaTheme="minorHAnsi" w:hAnsi="Bookman Old Style" w:cs="Bookman Old Styl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D514121"/>
    <w:multiLevelType w:val="hybridMultilevel"/>
    <w:tmpl w:val="82ECF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8"/>
  </w:num>
  <w:num w:numId="5">
    <w:abstractNumId w:val="5"/>
  </w:num>
  <w:num w:numId="6">
    <w:abstractNumId w:val="9"/>
  </w:num>
  <w:num w:numId="7">
    <w:abstractNumId w:val="7"/>
  </w:num>
  <w:num w:numId="8">
    <w:abstractNumId w:val="10"/>
  </w:num>
  <w:num w:numId="9">
    <w:abstractNumId w:val="3"/>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MyMjK2MDGwNDeyMDRX0lEKTi0uzszPAykwqwUAUh5FaSwAAAA="/>
  </w:docVars>
  <w:rsids>
    <w:rsidRoot w:val="00A7033E"/>
    <w:rsid w:val="000075F2"/>
    <w:rsid w:val="00016EA0"/>
    <w:rsid w:val="00031968"/>
    <w:rsid w:val="0003297B"/>
    <w:rsid w:val="00057300"/>
    <w:rsid w:val="000651AF"/>
    <w:rsid w:val="000973FF"/>
    <w:rsid w:val="00111500"/>
    <w:rsid w:val="00112ADF"/>
    <w:rsid w:val="00115AF3"/>
    <w:rsid w:val="00123039"/>
    <w:rsid w:val="00157D9E"/>
    <w:rsid w:val="001753C2"/>
    <w:rsid w:val="00177609"/>
    <w:rsid w:val="001B647F"/>
    <w:rsid w:val="001D0550"/>
    <w:rsid w:val="001E346F"/>
    <w:rsid w:val="00205850"/>
    <w:rsid w:val="002103C3"/>
    <w:rsid w:val="00234193"/>
    <w:rsid w:val="00257966"/>
    <w:rsid w:val="002C52F4"/>
    <w:rsid w:val="002C7EFC"/>
    <w:rsid w:val="002D7E8F"/>
    <w:rsid w:val="002E07AF"/>
    <w:rsid w:val="002F5CE7"/>
    <w:rsid w:val="00314C88"/>
    <w:rsid w:val="00356E45"/>
    <w:rsid w:val="00363697"/>
    <w:rsid w:val="003E7E30"/>
    <w:rsid w:val="003F3292"/>
    <w:rsid w:val="004273FC"/>
    <w:rsid w:val="00435BAD"/>
    <w:rsid w:val="00437595"/>
    <w:rsid w:val="00452DB7"/>
    <w:rsid w:val="00452E5E"/>
    <w:rsid w:val="004574C7"/>
    <w:rsid w:val="0046120C"/>
    <w:rsid w:val="004E7BD5"/>
    <w:rsid w:val="004F4829"/>
    <w:rsid w:val="0058611D"/>
    <w:rsid w:val="005B00C8"/>
    <w:rsid w:val="005B5493"/>
    <w:rsid w:val="005C2598"/>
    <w:rsid w:val="005D0939"/>
    <w:rsid w:val="0061197F"/>
    <w:rsid w:val="006301C9"/>
    <w:rsid w:val="0065480A"/>
    <w:rsid w:val="0067442E"/>
    <w:rsid w:val="006A2E4D"/>
    <w:rsid w:val="006E1F52"/>
    <w:rsid w:val="00717387"/>
    <w:rsid w:val="00721C4A"/>
    <w:rsid w:val="007222D2"/>
    <w:rsid w:val="00775A78"/>
    <w:rsid w:val="0078717A"/>
    <w:rsid w:val="007937BD"/>
    <w:rsid w:val="007A16A7"/>
    <w:rsid w:val="007B73E2"/>
    <w:rsid w:val="007D280D"/>
    <w:rsid w:val="00821C00"/>
    <w:rsid w:val="00843447"/>
    <w:rsid w:val="00883EF6"/>
    <w:rsid w:val="008A0D36"/>
    <w:rsid w:val="008E0122"/>
    <w:rsid w:val="008E0401"/>
    <w:rsid w:val="00926DDC"/>
    <w:rsid w:val="00961985"/>
    <w:rsid w:val="00970BD7"/>
    <w:rsid w:val="009735CF"/>
    <w:rsid w:val="00973C06"/>
    <w:rsid w:val="00990A05"/>
    <w:rsid w:val="009927E8"/>
    <w:rsid w:val="00996688"/>
    <w:rsid w:val="009A53F2"/>
    <w:rsid w:val="009A6FC9"/>
    <w:rsid w:val="00A1397C"/>
    <w:rsid w:val="00A231EE"/>
    <w:rsid w:val="00A376F6"/>
    <w:rsid w:val="00A51486"/>
    <w:rsid w:val="00A54349"/>
    <w:rsid w:val="00A7033E"/>
    <w:rsid w:val="00A74665"/>
    <w:rsid w:val="00A81A5C"/>
    <w:rsid w:val="00A85630"/>
    <w:rsid w:val="00AE30F8"/>
    <w:rsid w:val="00AE483F"/>
    <w:rsid w:val="00AE552B"/>
    <w:rsid w:val="00AE5CAB"/>
    <w:rsid w:val="00AE7D2A"/>
    <w:rsid w:val="00AF09AF"/>
    <w:rsid w:val="00B21899"/>
    <w:rsid w:val="00B64818"/>
    <w:rsid w:val="00B71658"/>
    <w:rsid w:val="00B77561"/>
    <w:rsid w:val="00BF4544"/>
    <w:rsid w:val="00C42384"/>
    <w:rsid w:val="00C72136"/>
    <w:rsid w:val="00C74FA1"/>
    <w:rsid w:val="00C8676D"/>
    <w:rsid w:val="00C96924"/>
    <w:rsid w:val="00CE5CC5"/>
    <w:rsid w:val="00D132E5"/>
    <w:rsid w:val="00DC742C"/>
    <w:rsid w:val="00DD49B3"/>
    <w:rsid w:val="00DE4A67"/>
    <w:rsid w:val="00DE60A5"/>
    <w:rsid w:val="00DF25ED"/>
    <w:rsid w:val="00E05D1C"/>
    <w:rsid w:val="00E0668B"/>
    <w:rsid w:val="00E16028"/>
    <w:rsid w:val="00EB6BD6"/>
    <w:rsid w:val="00EC270A"/>
    <w:rsid w:val="00EE5421"/>
    <w:rsid w:val="00EE5DE3"/>
    <w:rsid w:val="00EE7C29"/>
    <w:rsid w:val="00EF66CF"/>
    <w:rsid w:val="00F31C18"/>
    <w:rsid w:val="00F77AF7"/>
    <w:rsid w:val="00FA0F35"/>
    <w:rsid w:val="00FB527D"/>
    <w:rsid w:val="00FE0DA5"/>
    <w:rsid w:val="00FF5B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CBD8E"/>
  <w15:chartTrackingRefBased/>
  <w15:docId w15:val="{89E910C1-39EE-40C1-8BD2-80815D4F8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7033E"/>
    <w:pPr>
      <w:spacing w:after="0" w:line="240" w:lineRule="auto"/>
      <w:contextualSpacing/>
    </w:pPr>
    <w:rPr>
      <w:rFonts w:ascii="Bookman Old Style" w:hAnsi="Bookman Old Style"/>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Quote">
    <w:name w:val="Block Quote"/>
    <w:basedOn w:val="Normal"/>
    <w:next w:val="Normal"/>
    <w:autoRedefine/>
    <w:qFormat/>
    <w:rsid w:val="005B00C8"/>
    <w:pPr>
      <w:ind w:left="720" w:right="720"/>
      <w:jc w:val="both"/>
    </w:pPr>
    <w:rPr>
      <w:szCs w:val="28"/>
    </w:rPr>
  </w:style>
  <w:style w:type="character" w:styleId="Hyperlink">
    <w:name w:val="Hyperlink"/>
    <w:basedOn w:val="DefaultParagraphFont"/>
    <w:uiPriority w:val="99"/>
    <w:unhideWhenUsed/>
    <w:rsid w:val="00057300"/>
    <w:rPr>
      <w:color w:val="0563C1" w:themeColor="hyperlink"/>
      <w:u w:val="single"/>
    </w:rPr>
  </w:style>
  <w:style w:type="paragraph" w:styleId="Header">
    <w:name w:val="header"/>
    <w:basedOn w:val="Normal"/>
    <w:link w:val="HeaderChar"/>
    <w:uiPriority w:val="99"/>
    <w:unhideWhenUsed/>
    <w:rsid w:val="00057300"/>
    <w:pPr>
      <w:tabs>
        <w:tab w:val="center" w:pos="4680"/>
        <w:tab w:val="right" w:pos="9360"/>
      </w:tabs>
    </w:pPr>
  </w:style>
  <w:style w:type="character" w:customStyle="1" w:styleId="HeaderChar">
    <w:name w:val="Header Char"/>
    <w:basedOn w:val="DefaultParagraphFont"/>
    <w:link w:val="Header"/>
    <w:uiPriority w:val="99"/>
    <w:rsid w:val="00057300"/>
    <w:rPr>
      <w:rFonts w:ascii="Bookman Old Style" w:hAnsi="Bookman Old Style"/>
      <w:sz w:val="28"/>
    </w:rPr>
  </w:style>
  <w:style w:type="paragraph" w:styleId="Footer">
    <w:name w:val="footer"/>
    <w:basedOn w:val="Normal"/>
    <w:link w:val="FooterChar"/>
    <w:uiPriority w:val="99"/>
    <w:unhideWhenUsed/>
    <w:rsid w:val="00057300"/>
    <w:pPr>
      <w:tabs>
        <w:tab w:val="center" w:pos="4680"/>
        <w:tab w:val="right" w:pos="9360"/>
      </w:tabs>
    </w:pPr>
  </w:style>
  <w:style w:type="character" w:customStyle="1" w:styleId="FooterChar">
    <w:name w:val="Footer Char"/>
    <w:basedOn w:val="DefaultParagraphFont"/>
    <w:link w:val="Footer"/>
    <w:uiPriority w:val="99"/>
    <w:rsid w:val="00057300"/>
    <w:rPr>
      <w:rFonts w:ascii="Bookman Old Style" w:hAnsi="Bookman Old Style"/>
      <w:sz w:val="28"/>
    </w:rPr>
  </w:style>
  <w:style w:type="character" w:styleId="UnresolvedMention">
    <w:name w:val="Unresolved Mention"/>
    <w:basedOn w:val="DefaultParagraphFont"/>
    <w:uiPriority w:val="99"/>
    <w:semiHidden/>
    <w:unhideWhenUsed/>
    <w:rsid w:val="00F31C18"/>
    <w:rPr>
      <w:color w:val="605E5C"/>
      <w:shd w:val="clear" w:color="auto" w:fill="E1DFDD"/>
    </w:rPr>
  </w:style>
  <w:style w:type="paragraph" w:customStyle="1" w:styleId="Default">
    <w:name w:val="Default"/>
    <w:rsid w:val="00FB527D"/>
    <w:pPr>
      <w:autoSpaceDE w:val="0"/>
      <w:autoSpaceDN w:val="0"/>
      <w:adjustRightInd w:val="0"/>
      <w:spacing w:after="0" w:line="240" w:lineRule="auto"/>
    </w:pPr>
    <w:rPr>
      <w:rFonts w:ascii="Bookman Old Style" w:hAnsi="Bookman Old Style" w:cs="Bookman Old Style"/>
      <w:color w:val="000000"/>
      <w:sz w:val="24"/>
      <w:szCs w:val="24"/>
    </w:rPr>
  </w:style>
  <w:style w:type="paragraph" w:styleId="ListParagraph">
    <w:name w:val="List Paragraph"/>
    <w:basedOn w:val="Normal"/>
    <w:uiPriority w:val="34"/>
    <w:qFormat/>
    <w:rsid w:val="00452DB7"/>
    <w:pPr>
      <w:ind w:left="720"/>
    </w:pPr>
  </w:style>
  <w:style w:type="character" w:styleId="FollowedHyperlink">
    <w:name w:val="FollowedHyperlink"/>
    <w:basedOn w:val="DefaultParagraphFont"/>
    <w:uiPriority w:val="99"/>
    <w:semiHidden/>
    <w:unhideWhenUsed/>
    <w:rsid w:val="005C259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urts.state.co.us/Courts/Court_Of_Appeals/Opinion_Request.cfm" TargetMode="External"/><Relationship Id="rId13" Type="http://schemas.openxmlformats.org/officeDocument/2006/relationships/hyperlink" Target="https://files.constantcontact.com/45bb5db5401/92c33215-2df6-423c-8e01-a72f7477f4b5.pdf" TargetMode="External"/><Relationship Id="rId18" Type="http://schemas.openxmlformats.org/officeDocument/2006/relationships/hyperlink" Target="https://files.constantcontact.com/45bb5db5401/728c1c54-5e55-4dff-aeeb-1bb03de133d0.docx"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coloradoadc.libsyn.com/" TargetMode="External"/><Relationship Id="rId12" Type="http://schemas.openxmlformats.org/officeDocument/2006/relationships/hyperlink" Target="https://www.youtube.com/watch?v=9QMQRDy8Tuc" TargetMode="External"/><Relationship Id="rId17" Type="http://schemas.openxmlformats.org/officeDocument/2006/relationships/hyperlink" Target="https://files.constantcontact.com/45bb5db5401/43cc232a-670c-4aaf-ab39-d3132d1116c0.pdf" TargetMode="External"/><Relationship Id="rId2" Type="http://schemas.openxmlformats.org/officeDocument/2006/relationships/styles" Target="styles.xml"/><Relationship Id="rId16" Type="http://schemas.openxmlformats.org/officeDocument/2006/relationships/hyperlink" Target="https://files.constantcontact.com/45bb5db5401/94c12f79-e083-4a3d-b2c7-5fea05732fe1.pdf"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O17i437KIBI" TargetMode="External"/><Relationship Id="rId5" Type="http://schemas.openxmlformats.org/officeDocument/2006/relationships/footnotes" Target="footnotes.xml"/><Relationship Id="rId15" Type="http://schemas.openxmlformats.org/officeDocument/2006/relationships/hyperlink" Target="https://files.constantcontact.com/45bb5db5401/71396d56-559f-4d38-8ff2-57227216edcd.pdf" TargetMode="External"/><Relationship Id="rId10" Type="http://schemas.openxmlformats.org/officeDocument/2006/relationships/hyperlink" Target="https://www.youtube.com/watch?v=EJRdDhnTRoo"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propublica.org/article/digital-jail-how-electronic-monitoring-drives-defendants-into-debt" TargetMode="External"/><Relationship Id="rId14" Type="http://schemas.openxmlformats.org/officeDocument/2006/relationships/hyperlink" Target="https://files.constantcontact.com/45bb5db5401/92c33215-2df6-423c-8e01-a72f7477f4b5.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nathan\Dropbox\RCOI\2019\Case%20Summarie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Case Summaries Template</Template>
  <TotalTime>1788</TotalTime>
  <Pages>1</Pages>
  <Words>5838</Words>
  <Characters>33282</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Rosen</dc:creator>
  <cp:keywords/>
  <dc:description/>
  <cp:lastModifiedBy>Jonathan Rosen</cp:lastModifiedBy>
  <cp:revision>22</cp:revision>
  <dcterms:created xsi:type="dcterms:W3CDTF">2019-07-08T16:05:00Z</dcterms:created>
  <dcterms:modified xsi:type="dcterms:W3CDTF">2019-07-12T20:29:00Z</dcterms:modified>
</cp:coreProperties>
</file>