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87FE6" w14:textId="77777777" w:rsidR="00B40C73" w:rsidRPr="00B40C73" w:rsidRDefault="00B40C73" w:rsidP="005C7001">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sidRPr="00B40C73">
        <w:rPr>
          <w:rFonts w:ascii="Times New Roman" w:eastAsia="Times New Roman" w:hAnsi="Times New Roman" w:cs="Times New Roman"/>
          <w:b/>
          <w:bCs/>
          <w:kern w:val="0"/>
          <w:sz w:val="27"/>
          <w:szCs w:val="27"/>
          <w14:ligatures w14:val="none"/>
        </w:rPr>
        <w:t>Playground Safety Tips for Early Intervention Providers</w:t>
      </w:r>
    </w:p>
    <w:p w14:paraId="3F669622" w14:textId="77777777" w:rsidR="00B40C73" w:rsidRDefault="00B40C73" w:rsidP="00052C09">
      <w:p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As warm weather returns, many families enjoy meeting with early intervention providers at neighborhood playgrounds. These community spaces offer valuable opportunities for children to learn, explore, and practice new skills in everyday routines. Keeping safety in mind helps ensure outdoor sessions are positive and enjoyable for everyone</w:t>
      </w:r>
    </w:p>
    <w:p w14:paraId="35580A68" w14:textId="55231EEF" w:rsidR="00B40C73" w:rsidRPr="00B40C73" w:rsidRDefault="00B40C73" w:rsidP="00B40C73">
      <w:p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b/>
          <w:bCs/>
          <w:kern w:val="0"/>
          <w14:ligatures w14:val="none"/>
        </w:rPr>
        <w:t>Supervision and Environment</w:t>
      </w:r>
    </w:p>
    <w:p w14:paraId="618C9F2E" w14:textId="77777777" w:rsidR="00B40C73" w:rsidRDefault="00B40C73" w:rsidP="00B40C73">
      <w:pPr>
        <w:pStyle w:val="ListParagraph"/>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Keep children within arm’s reach when they are climbing, sliding, or using elevated equipment</w:t>
      </w:r>
    </w:p>
    <w:p w14:paraId="0151D70F" w14:textId="77777777" w:rsidR="00B40C73" w:rsidRDefault="00B40C73" w:rsidP="00B40C73">
      <w:pPr>
        <w:pStyle w:val="ListParagraph"/>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Scan the playground for hazards such as hot surfaces, broken equipment, or loose materials before beginning services</w:t>
      </w:r>
    </w:p>
    <w:p w14:paraId="0D940A0E" w14:textId="7876D18C" w:rsidR="00B40C73" w:rsidRPr="00B40C73" w:rsidRDefault="00B40C73" w:rsidP="00B40C73">
      <w:pPr>
        <w:pStyle w:val="ListParagraph"/>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Choose play areas where you can easily see and move with the child</w:t>
      </w:r>
    </w:p>
    <w:p w14:paraId="03527F80" w14:textId="77777777" w:rsidR="00B40C73" w:rsidRPr="00B40C73" w:rsidRDefault="00B40C73" w:rsidP="00B40C7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40C73">
        <w:rPr>
          <w:rFonts w:ascii="Times New Roman" w:eastAsia="Times New Roman" w:hAnsi="Times New Roman" w:cs="Times New Roman"/>
          <w:b/>
          <w:bCs/>
          <w:kern w:val="0"/>
          <w14:ligatures w14:val="none"/>
        </w:rPr>
        <w:t>Weather and Heat Awareness</w:t>
      </w:r>
    </w:p>
    <w:p w14:paraId="27642375"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Check equipment for heat—slides and swings can become hot enough to burn on sunny days</w:t>
      </w:r>
    </w:p>
    <w:p w14:paraId="73E810D6"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Offer regular hydration breaks and watch for early signs of heat stress</w:t>
      </w:r>
    </w:p>
    <w:p w14:paraId="0EF1FEC3" w14:textId="5D03BFF5" w:rsidR="00B40C73" w:rsidRP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Use shaded areas when possible and adjust activities during high heat</w:t>
      </w:r>
    </w:p>
    <w:p w14:paraId="74C7273A" w14:textId="77777777" w:rsidR="00B40C73" w:rsidRPr="00B40C73" w:rsidRDefault="00B40C73" w:rsidP="00B40C7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40C73">
        <w:rPr>
          <w:rFonts w:ascii="Times New Roman" w:eastAsia="Times New Roman" w:hAnsi="Times New Roman" w:cs="Times New Roman"/>
          <w:b/>
          <w:bCs/>
          <w:kern w:val="0"/>
          <w14:ligatures w14:val="none"/>
        </w:rPr>
        <w:t>Safe Use of Equipment</w:t>
      </w:r>
    </w:p>
    <w:p w14:paraId="1AA0FB39"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Ensure children use equipment appropriate for their developmental level</w:t>
      </w:r>
    </w:p>
    <w:p w14:paraId="5B8846E0"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Avoid holding children in your lap on swings, slides, or other equipment</w:t>
      </w:r>
    </w:p>
    <w:p w14:paraId="08701BEB"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Choose equipment with built-in safety features such as bucket swings, molded seats, or guardrails</w:t>
      </w:r>
    </w:p>
    <w:p w14:paraId="6020D155"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Use safety belts when available and appropriate</w:t>
      </w:r>
    </w:p>
    <w:p w14:paraId="1738C93E" w14:textId="3F5FFAAF" w:rsidR="00B40C73" w:rsidRP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If supports aren’t available, select a different activity that still promotes safe exploration</w:t>
      </w:r>
    </w:p>
    <w:p w14:paraId="788D1C06" w14:textId="77777777" w:rsidR="00B40C73" w:rsidRPr="00B40C73" w:rsidRDefault="00B40C73" w:rsidP="00B40C7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40C73">
        <w:rPr>
          <w:rFonts w:ascii="Times New Roman" w:eastAsia="Times New Roman" w:hAnsi="Times New Roman" w:cs="Times New Roman"/>
          <w:b/>
          <w:bCs/>
          <w:kern w:val="0"/>
          <w14:ligatures w14:val="none"/>
        </w:rPr>
        <w:t>Hygiene and Health Practices</w:t>
      </w:r>
    </w:p>
    <w:p w14:paraId="46CC6B2F"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Encourage handwashing or sanitizing after shared equipment use and before snacks</w:t>
      </w:r>
    </w:p>
    <w:p w14:paraId="33B05234" w14:textId="77777777" w:rsid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Wipe down small toys or materials used during intervention</w:t>
      </w:r>
    </w:p>
    <w:p w14:paraId="5878FD7A" w14:textId="43306C1C" w:rsidR="00B40C73" w:rsidRPr="00B40C73" w:rsidRDefault="00B40C73" w:rsidP="00B40C73">
      <w:pPr>
        <w:pStyle w:val="ListParagraph"/>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Be aware of environmental allergens or sensitivities</w:t>
      </w:r>
    </w:p>
    <w:p w14:paraId="34A10F5B" w14:textId="77777777" w:rsidR="00B40C73" w:rsidRPr="00B40C73" w:rsidRDefault="00B40C73" w:rsidP="00B40C7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40C73">
        <w:rPr>
          <w:rFonts w:ascii="Times New Roman" w:eastAsia="Times New Roman" w:hAnsi="Times New Roman" w:cs="Times New Roman"/>
          <w:b/>
          <w:bCs/>
          <w:kern w:val="0"/>
          <w14:ligatures w14:val="none"/>
        </w:rPr>
        <w:t>Behavior and Sensory Support</w:t>
      </w:r>
    </w:p>
    <w:p w14:paraId="5B7CB63B" w14:textId="77777777" w:rsidR="00B40C73" w:rsidRDefault="00B40C73" w:rsidP="00B40C73">
      <w:pPr>
        <w:pStyle w:val="ListParagraph"/>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Consider how noise, crowding, or sensory input may affect regulation</w:t>
      </w:r>
    </w:p>
    <w:p w14:paraId="5E1A982C" w14:textId="77777777" w:rsidR="00B40C73" w:rsidRDefault="00B40C73" w:rsidP="00B40C73">
      <w:pPr>
        <w:pStyle w:val="ListParagraph"/>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Use verbal cues, visuals, or sensory supports for smoother transitions</w:t>
      </w:r>
    </w:p>
    <w:p w14:paraId="21D6EE54" w14:textId="5B7978C2" w:rsidR="00B40C73" w:rsidRPr="00B40C73" w:rsidRDefault="00B40C73" w:rsidP="00B40C73">
      <w:pPr>
        <w:pStyle w:val="ListParagraph"/>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Model simple safety rules in positive, encouraging ways</w:t>
      </w:r>
    </w:p>
    <w:p w14:paraId="4D81BEF1" w14:textId="77777777" w:rsidR="00B40C73" w:rsidRPr="00B40C73" w:rsidRDefault="00B40C73" w:rsidP="00B40C7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B40C73">
        <w:rPr>
          <w:rFonts w:ascii="Times New Roman" w:eastAsia="Times New Roman" w:hAnsi="Times New Roman" w:cs="Times New Roman"/>
          <w:b/>
          <w:bCs/>
          <w:kern w:val="0"/>
          <w14:ligatures w14:val="none"/>
        </w:rPr>
        <w:t>Partnering with Families</w:t>
      </w:r>
    </w:p>
    <w:p w14:paraId="68F4987A" w14:textId="77777777" w:rsidR="00B40C73" w:rsidRDefault="00B40C73" w:rsidP="00B40C73">
      <w:pPr>
        <w:pStyle w:val="ListParagraph"/>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Review child-specific needs before beginning play</w:t>
      </w:r>
    </w:p>
    <w:p w14:paraId="0DE6C0EC" w14:textId="77777777" w:rsidR="00B40C73" w:rsidRDefault="00B40C73" w:rsidP="00B40C73">
      <w:pPr>
        <w:pStyle w:val="ListParagraph"/>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Check in with families about comfort with the play environment</w:t>
      </w:r>
    </w:p>
    <w:p w14:paraId="058706C2" w14:textId="101EEFEB" w:rsidR="00B40C73" w:rsidRPr="00B40C73" w:rsidRDefault="00B40C73" w:rsidP="00391519">
      <w:pPr>
        <w:pStyle w:val="ListParagraph"/>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40C73">
        <w:rPr>
          <w:rFonts w:ascii="Times New Roman" w:eastAsia="Times New Roman" w:hAnsi="Times New Roman" w:cs="Times New Roman"/>
          <w:kern w:val="0"/>
          <w14:ligatures w14:val="none"/>
        </w:rPr>
        <w:t>Demonstrate safe and supportive ways to engage during playground activities</w:t>
      </w:r>
    </w:p>
    <w:p w14:paraId="243D3098" w14:textId="306E027B" w:rsidR="00B40C73" w:rsidRPr="00052C09" w:rsidRDefault="00B40C73" w:rsidP="00052C09">
      <w:pPr>
        <w:spacing w:before="100" w:beforeAutospacing="1" w:after="100" w:afterAutospacing="1" w:line="240" w:lineRule="auto"/>
        <w:rPr>
          <w:rFonts w:ascii="Times New Roman" w:eastAsia="Times New Roman" w:hAnsi="Times New Roman" w:cs="Times New Roman"/>
          <w:b/>
          <w:bCs/>
          <w:kern w:val="0"/>
          <w14:ligatures w14:val="none"/>
        </w:rPr>
      </w:pPr>
      <w:r w:rsidRPr="00B40C73">
        <w:rPr>
          <w:rFonts w:ascii="Times New Roman" w:eastAsia="Times New Roman" w:hAnsi="Times New Roman" w:cs="Times New Roman"/>
          <w:b/>
          <w:bCs/>
          <w:i/>
          <w:iCs/>
          <w:kern w:val="0"/>
          <w14:ligatures w14:val="none"/>
        </w:rPr>
        <w:t>By keeping these tips in mind, providers can help families enjoy meaningful, safe, and engaging outdoor experiences together.</w:t>
      </w:r>
    </w:p>
    <w:sectPr w:rsidR="00B40C73" w:rsidRPr="00052C09" w:rsidSect="005C7001">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758C" w14:textId="77777777" w:rsidR="00391519" w:rsidRDefault="00391519" w:rsidP="00391519">
      <w:pPr>
        <w:spacing w:after="0" w:line="240" w:lineRule="auto"/>
      </w:pPr>
      <w:r>
        <w:separator/>
      </w:r>
    </w:p>
  </w:endnote>
  <w:endnote w:type="continuationSeparator" w:id="0">
    <w:p w14:paraId="0E05DDF0" w14:textId="77777777" w:rsidR="00391519" w:rsidRDefault="00391519" w:rsidP="00391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EFE2" w14:textId="77777777" w:rsidR="005C7001" w:rsidRDefault="005C7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41F7" w14:textId="77777777" w:rsidR="005C7001" w:rsidRDefault="005C70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6913" w14:textId="77777777" w:rsidR="005C7001" w:rsidRDefault="005C70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9CC7" w14:textId="77777777" w:rsidR="00391519" w:rsidRDefault="00391519" w:rsidP="00391519">
      <w:pPr>
        <w:spacing w:after="0" w:line="240" w:lineRule="auto"/>
      </w:pPr>
      <w:r>
        <w:separator/>
      </w:r>
    </w:p>
  </w:footnote>
  <w:footnote w:type="continuationSeparator" w:id="0">
    <w:p w14:paraId="6B26076D" w14:textId="77777777" w:rsidR="00391519" w:rsidRDefault="00391519" w:rsidP="00391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2F8B" w14:textId="17A14A02" w:rsidR="005C7001" w:rsidRDefault="005C7001">
    <w:pPr>
      <w:pStyle w:val="Header"/>
    </w:pPr>
    <w:r>
      <w:rPr>
        <w:noProof/>
      </w:rPr>
      <w:pict w14:anchorId="21A0EE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0;width:1600pt;height:2400pt;z-index:-251657216;mso-position-horizontal:center;mso-position-horizontal-relative:margin;mso-position-vertical:center;mso-position-vertical-relative:margin" o:allowincell="f">
          <v:imagedata r:id="rId1" o:title="pexels-photo-2143761.jpeg?cs=srgb&amp;dl=boy-playing-on-slide-in-playground-214376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7F09" w14:textId="35E4619D" w:rsidR="005C7001" w:rsidRDefault="005C7001">
    <w:pPr>
      <w:pStyle w:val="Header"/>
    </w:pPr>
    <w:r>
      <w:rPr>
        <w:noProof/>
      </w:rPr>
      <w:pict w14:anchorId="15818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1600pt;height:2400pt;z-index:-251656192;mso-position-horizontal:center;mso-position-horizontal-relative:margin;mso-position-vertical:center;mso-position-vertical-relative:margin" o:allowincell="f">
          <v:imagedata r:id="rId1" o:title="pexels-photo-2143761.jpeg?cs=srgb&amp;dl=boy-playing-on-slide-in-playground-214376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323B" w14:textId="67BFFC01" w:rsidR="005C7001" w:rsidRDefault="005C7001">
    <w:pPr>
      <w:pStyle w:val="Header"/>
    </w:pPr>
    <w:r>
      <w:rPr>
        <w:noProof/>
      </w:rPr>
      <w:pict w14:anchorId="4B33A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1600pt;height:2400pt;z-index:-251658240;mso-position-horizontal:center;mso-position-horizontal-relative:margin;mso-position-vertical:center;mso-position-vertical-relative:margin" o:allowincell="f">
          <v:imagedata r:id="rId1" o:title="pexels-photo-2143761.jpeg?cs=srgb&amp;dl=boy-playing-on-slide-in-playground-214376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52D99"/>
    <w:multiLevelType w:val="hybridMultilevel"/>
    <w:tmpl w:val="3462E7A4"/>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5F17AD"/>
    <w:multiLevelType w:val="hybridMultilevel"/>
    <w:tmpl w:val="EB18BD92"/>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B020D"/>
    <w:multiLevelType w:val="hybridMultilevel"/>
    <w:tmpl w:val="CA8C1B56"/>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91D1D"/>
    <w:multiLevelType w:val="hybridMultilevel"/>
    <w:tmpl w:val="2F762D52"/>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F23E86"/>
    <w:multiLevelType w:val="hybridMultilevel"/>
    <w:tmpl w:val="95EAA942"/>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F84FF0"/>
    <w:multiLevelType w:val="hybridMultilevel"/>
    <w:tmpl w:val="BDA01C32"/>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136561"/>
    <w:multiLevelType w:val="hybridMultilevel"/>
    <w:tmpl w:val="0882D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C51E78"/>
    <w:multiLevelType w:val="hybridMultilevel"/>
    <w:tmpl w:val="35B4C32C"/>
    <w:lvl w:ilvl="0" w:tplc="6F7A1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310419">
    <w:abstractNumId w:val="6"/>
  </w:num>
  <w:num w:numId="2" w16cid:durableId="70349399">
    <w:abstractNumId w:val="0"/>
  </w:num>
  <w:num w:numId="3" w16cid:durableId="2045713197">
    <w:abstractNumId w:val="5"/>
  </w:num>
  <w:num w:numId="4" w16cid:durableId="894387780">
    <w:abstractNumId w:val="7"/>
  </w:num>
  <w:num w:numId="5" w16cid:durableId="559445781">
    <w:abstractNumId w:val="4"/>
  </w:num>
  <w:num w:numId="6" w16cid:durableId="580406845">
    <w:abstractNumId w:val="3"/>
  </w:num>
  <w:num w:numId="7" w16cid:durableId="502282811">
    <w:abstractNumId w:val="2"/>
  </w:num>
  <w:num w:numId="8" w16cid:durableId="149903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73"/>
    <w:rsid w:val="00052C09"/>
    <w:rsid w:val="00391519"/>
    <w:rsid w:val="005C7001"/>
    <w:rsid w:val="006442E6"/>
    <w:rsid w:val="0098273F"/>
    <w:rsid w:val="00B4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6818CE0"/>
  <w15:chartTrackingRefBased/>
  <w15:docId w15:val="{C230B489-DB60-4A50-B79E-C596C9B6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C73"/>
    <w:rPr>
      <w:rFonts w:eastAsiaTheme="majorEastAsia" w:cstheme="majorBidi"/>
      <w:color w:val="272727" w:themeColor="text1" w:themeTint="D8"/>
    </w:rPr>
  </w:style>
  <w:style w:type="paragraph" w:styleId="Title">
    <w:name w:val="Title"/>
    <w:basedOn w:val="Normal"/>
    <w:next w:val="Normal"/>
    <w:link w:val="TitleChar"/>
    <w:uiPriority w:val="10"/>
    <w:qFormat/>
    <w:rsid w:val="00B40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C73"/>
    <w:pPr>
      <w:spacing w:before="160"/>
      <w:jc w:val="center"/>
    </w:pPr>
    <w:rPr>
      <w:i/>
      <w:iCs/>
      <w:color w:val="404040" w:themeColor="text1" w:themeTint="BF"/>
    </w:rPr>
  </w:style>
  <w:style w:type="character" w:customStyle="1" w:styleId="QuoteChar">
    <w:name w:val="Quote Char"/>
    <w:basedOn w:val="DefaultParagraphFont"/>
    <w:link w:val="Quote"/>
    <w:uiPriority w:val="29"/>
    <w:rsid w:val="00B40C73"/>
    <w:rPr>
      <w:i/>
      <w:iCs/>
      <w:color w:val="404040" w:themeColor="text1" w:themeTint="BF"/>
    </w:rPr>
  </w:style>
  <w:style w:type="paragraph" w:styleId="ListParagraph">
    <w:name w:val="List Paragraph"/>
    <w:basedOn w:val="Normal"/>
    <w:uiPriority w:val="34"/>
    <w:qFormat/>
    <w:rsid w:val="00B40C73"/>
    <w:pPr>
      <w:ind w:left="720"/>
      <w:contextualSpacing/>
    </w:pPr>
  </w:style>
  <w:style w:type="character" w:styleId="IntenseEmphasis">
    <w:name w:val="Intense Emphasis"/>
    <w:basedOn w:val="DefaultParagraphFont"/>
    <w:uiPriority w:val="21"/>
    <w:qFormat/>
    <w:rsid w:val="00B40C73"/>
    <w:rPr>
      <w:i/>
      <w:iCs/>
      <w:color w:val="0F4761" w:themeColor="accent1" w:themeShade="BF"/>
    </w:rPr>
  </w:style>
  <w:style w:type="paragraph" w:styleId="IntenseQuote">
    <w:name w:val="Intense Quote"/>
    <w:basedOn w:val="Normal"/>
    <w:next w:val="Normal"/>
    <w:link w:val="IntenseQuoteChar"/>
    <w:uiPriority w:val="30"/>
    <w:qFormat/>
    <w:rsid w:val="00B40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C73"/>
    <w:rPr>
      <w:i/>
      <w:iCs/>
      <w:color w:val="0F4761" w:themeColor="accent1" w:themeShade="BF"/>
    </w:rPr>
  </w:style>
  <w:style w:type="character" w:styleId="IntenseReference">
    <w:name w:val="Intense Reference"/>
    <w:basedOn w:val="DefaultParagraphFont"/>
    <w:uiPriority w:val="32"/>
    <w:qFormat/>
    <w:rsid w:val="00B40C73"/>
    <w:rPr>
      <w:b/>
      <w:bCs/>
      <w:smallCaps/>
      <w:color w:val="0F4761" w:themeColor="accent1" w:themeShade="BF"/>
      <w:spacing w:val="5"/>
    </w:rPr>
  </w:style>
  <w:style w:type="paragraph" w:styleId="Header">
    <w:name w:val="header"/>
    <w:basedOn w:val="Normal"/>
    <w:link w:val="HeaderChar"/>
    <w:uiPriority w:val="99"/>
    <w:unhideWhenUsed/>
    <w:rsid w:val="00391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519"/>
  </w:style>
  <w:style w:type="paragraph" w:styleId="Footer">
    <w:name w:val="footer"/>
    <w:basedOn w:val="Normal"/>
    <w:link w:val="FooterChar"/>
    <w:uiPriority w:val="99"/>
    <w:unhideWhenUsed/>
    <w:rsid w:val="00391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0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Brager, Anne (DBHDS)</dc:creator>
  <cp:keywords/>
  <dc:description/>
  <cp:lastModifiedBy>Brager, Anne (DBHDS)</cp:lastModifiedBy>
  <cp:revision>1</cp:revision>
  <dcterms:created xsi:type="dcterms:W3CDTF">2026-04-30T16:28:00Z</dcterms:created>
  <dcterms:modified xsi:type="dcterms:W3CDTF">2026-04-30T17:10:00Z</dcterms:modified>
</cp:coreProperties>
</file>