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383D4C" w14:textId="1EF33DD7" w:rsidR="006A6A21" w:rsidRPr="006A6A21" w:rsidRDefault="006A6A21" w:rsidP="006A6A21">
      <w:pPr>
        <w:jc w:val="center"/>
        <w:rPr>
          <w:rFonts w:ascii="Arial" w:hAnsi="Arial" w:cs="Arial"/>
          <w:b/>
          <w:bCs/>
          <w:sz w:val="28"/>
          <w:szCs w:val="28"/>
        </w:rPr>
      </w:pPr>
      <w:r w:rsidRPr="006A6A21">
        <w:rPr>
          <w:rFonts w:ascii="Arial" w:hAnsi="Arial" w:cs="Arial"/>
          <w:b/>
          <w:bCs/>
          <w:sz w:val="28"/>
          <w:szCs w:val="28"/>
        </w:rPr>
        <w:t>Child Outcomes Summary Ratings and Completeness of Data</w:t>
      </w:r>
    </w:p>
    <w:p w14:paraId="72B9AAA3" w14:textId="77777777" w:rsidR="00706777" w:rsidRDefault="00706777">
      <w:pPr>
        <w:rPr>
          <w:rFonts w:ascii="Arial" w:hAnsi="Arial" w:cs="Arial"/>
          <w:b/>
          <w:bCs/>
        </w:rPr>
      </w:pPr>
    </w:p>
    <w:p w14:paraId="01E50928" w14:textId="195526AE" w:rsidR="00342A1D" w:rsidRPr="006A6A21" w:rsidRDefault="00342A1D">
      <w:pPr>
        <w:rPr>
          <w:rFonts w:ascii="Arial" w:hAnsi="Arial" w:cs="Arial"/>
          <w:b/>
          <w:bCs/>
        </w:rPr>
      </w:pPr>
      <w:r w:rsidRPr="006A6A21">
        <w:rPr>
          <w:rFonts w:ascii="Arial" w:hAnsi="Arial" w:cs="Arial"/>
          <w:b/>
          <w:bCs/>
        </w:rPr>
        <w:t>Which children should have exit ratings?</w:t>
      </w:r>
    </w:p>
    <w:p w14:paraId="674F34C7" w14:textId="70FA1C60" w:rsidR="00342A1D" w:rsidRPr="006A6A21" w:rsidRDefault="00342A1D">
      <w:pPr>
        <w:rPr>
          <w:rFonts w:ascii="Arial" w:hAnsi="Arial" w:cs="Arial"/>
        </w:rPr>
      </w:pPr>
      <w:r w:rsidRPr="006A6A21">
        <w:rPr>
          <w:rFonts w:ascii="Arial" w:hAnsi="Arial" w:cs="Arial"/>
        </w:rPr>
        <w:t>a. Children who receive services up to discharge date.</w:t>
      </w:r>
    </w:p>
    <w:p w14:paraId="419DF0A2" w14:textId="609BFC74" w:rsidR="00342A1D" w:rsidRPr="006A6A21" w:rsidRDefault="00342A1D">
      <w:pPr>
        <w:rPr>
          <w:rFonts w:ascii="Arial" w:hAnsi="Arial" w:cs="Arial"/>
        </w:rPr>
      </w:pPr>
      <w:r w:rsidRPr="006A6A21">
        <w:rPr>
          <w:rFonts w:ascii="Arial" w:hAnsi="Arial" w:cs="Arial"/>
        </w:rPr>
        <w:t>b. Children who transition to the school system.</w:t>
      </w:r>
    </w:p>
    <w:p w14:paraId="7D2F0EEA" w14:textId="576E6E7A" w:rsidR="00342A1D" w:rsidRPr="006A6A21" w:rsidRDefault="00342A1D">
      <w:pPr>
        <w:rPr>
          <w:rFonts w:ascii="Arial" w:hAnsi="Arial" w:cs="Arial"/>
        </w:rPr>
      </w:pPr>
      <w:r w:rsidRPr="006A6A21">
        <w:rPr>
          <w:rFonts w:ascii="Arial" w:hAnsi="Arial" w:cs="Arial"/>
        </w:rPr>
        <w:t>c. Children who are lost to contact.</w:t>
      </w:r>
    </w:p>
    <w:p w14:paraId="3A6071EF" w14:textId="396AF28B" w:rsidR="00342A1D" w:rsidRPr="006A6A21" w:rsidRDefault="00342A1D">
      <w:pPr>
        <w:rPr>
          <w:rFonts w:ascii="Arial" w:hAnsi="Arial" w:cs="Arial"/>
        </w:rPr>
      </w:pPr>
      <w:r w:rsidRPr="006A6A21">
        <w:rPr>
          <w:rFonts w:ascii="Arial" w:hAnsi="Arial" w:cs="Arial"/>
        </w:rPr>
        <w:t xml:space="preserve">d. </w:t>
      </w:r>
      <w:proofErr w:type="gramStart"/>
      <w:r w:rsidRPr="006A6A21">
        <w:rPr>
          <w:rFonts w:ascii="Arial" w:hAnsi="Arial" w:cs="Arial"/>
        </w:rPr>
        <w:t>All of</w:t>
      </w:r>
      <w:proofErr w:type="gramEnd"/>
      <w:r w:rsidRPr="006A6A21">
        <w:rPr>
          <w:rFonts w:ascii="Arial" w:hAnsi="Arial" w:cs="Arial"/>
        </w:rPr>
        <w:t xml:space="preserve"> the above.</w:t>
      </w:r>
    </w:p>
    <w:p w14:paraId="0DF9EAD9" w14:textId="02137D9A" w:rsidR="00342A1D" w:rsidRPr="006A6A21" w:rsidRDefault="00342A1D">
      <w:pPr>
        <w:rPr>
          <w:rFonts w:ascii="Arial" w:hAnsi="Arial" w:cs="Arial"/>
        </w:rPr>
      </w:pPr>
      <w:r w:rsidRPr="006A6A21">
        <w:rPr>
          <w:rFonts w:ascii="Arial" w:hAnsi="Arial" w:cs="Arial"/>
        </w:rPr>
        <w:t xml:space="preserve">The correct answer is “d” </w:t>
      </w:r>
      <w:proofErr w:type="gramStart"/>
      <w:r w:rsidRPr="006A6A21">
        <w:rPr>
          <w:rFonts w:ascii="Arial" w:hAnsi="Arial" w:cs="Arial"/>
        </w:rPr>
        <w:t>all of</w:t>
      </w:r>
      <w:proofErr w:type="gramEnd"/>
      <w:r w:rsidRPr="006A6A21">
        <w:rPr>
          <w:rFonts w:ascii="Arial" w:hAnsi="Arial" w:cs="Arial"/>
        </w:rPr>
        <w:t xml:space="preserve"> the above.  </w:t>
      </w:r>
    </w:p>
    <w:p w14:paraId="24AB9336" w14:textId="77777777" w:rsidR="00D73C6B" w:rsidRPr="006A6A21" w:rsidRDefault="00D73C6B">
      <w:pPr>
        <w:rPr>
          <w:rFonts w:ascii="Arial" w:hAnsi="Arial" w:cs="Arial"/>
        </w:rPr>
      </w:pPr>
      <w:r w:rsidRPr="006A6A21">
        <w:rPr>
          <w:rFonts w:ascii="Arial" w:hAnsi="Arial" w:cs="Arial"/>
        </w:rPr>
        <w:t xml:space="preserve">Children and their families exit the local Infant &amp; Toddler Connection system for a variety of reasons, which include but are not limited to the following: they move out of the area served by the local Infant &amp; Toddler Connection system, either to another state or to another local Infant &amp; Toddler Connection system within Virginia; the family decides to withdraw from the system; the child and family are lost to contact; the child no longer has a developmental delay, atypical development or a diagnosed condition; the child transitions to early childhood special education services through the local school division or to other community services; or the child reaches his/her third birthday. </w:t>
      </w:r>
    </w:p>
    <w:p w14:paraId="564F8C6C" w14:textId="2BDDCA4E" w:rsidR="00342A1D" w:rsidRPr="006A6A21" w:rsidRDefault="00D73C6B">
      <w:pPr>
        <w:rPr>
          <w:rFonts w:ascii="Arial" w:hAnsi="Arial" w:cs="Arial"/>
        </w:rPr>
      </w:pPr>
      <w:r w:rsidRPr="006A6A21">
        <w:rPr>
          <w:rFonts w:ascii="Arial" w:hAnsi="Arial" w:cs="Arial"/>
        </w:rPr>
        <w:t>Exit summary statements for all three child outcomes (positive social relationships, acquiring and using knowledge and skills, and use of appropriate behaviors to meet needs) are completed and entered in TRAC-IT prior to exit for all children who had an entry summary statement AND who have been in the system for 6 months or longer since their initial IFSP (i.e., there have been 6 months between the initial IFSP and the exit assessment. The rating must be done no more than 6 months prior to exit from early intervention.</w:t>
      </w:r>
    </w:p>
    <w:p w14:paraId="7A8065E2" w14:textId="42FBEE97" w:rsidR="00D73C6B" w:rsidRPr="006A6A21" w:rsidRDefault="00D73C6B">
      <w:pPr>
        <w:rPr>
          <w:rFonts w:ascii="Arial" w:hAnsi="Arial" w:cs="Arial"/>
        </w:rPr>
      </w:pPr>
      <w:r w:rsidRPr="006A6A21">
        <w:rPr>
          <w:rFonts w:ascii="Arial" w:hAnsi="Arial" w:cs="Arial"/>
        </w:rPr>
        <w:t>There may be situations where it is not possible to complete the exit summary statements because there is insufficient ongoing assessment information available (e.g., the child has not been seen for an extended period and the family leaves the system without notice). Keep in mind that, in most situations where the child leaves early intervention unexpectedly, it will still be possible to determine the child’s exit status on the three child outcomes based on ongoing assessment information from contact notes. If it is not possible to complete the exit summary statements, this must be documented in a contact note and the reason must be entered in TRAC-IT.</w:t>
      </w:r>
    </w:p>
    <w:p w14:paraId="6798A7FE" w14:textId="77777777" w:rsidR="00D73C6B" w:rsidRPr="006A6A21" w:rsidRDefault="00D73C6B">
      <w:pPr>
        <w:rPr>
          <w:rFonts w:ascii="Arial" w:hAnsi="Arial" w:cs="Arial"/>
        </w:rPr>
      </w:pPr>
      <w:r w:rsidRPr="006A6A21">
        <w:rPr>
          <w:rFonts w:ascii="Arial" w:hAnsi="Arial" w:cs="Arial"/>
        </w:rPr>
        <w:t xml:space="preserve">For more information see </w:t>
      </w:r>
      <w:hyperlink r:id="rId4" w:history="1">
        <w:r w:rsidRPr="006A6A21">
          <w:rPr>
            <w:rStyle w:val="Hyperlink"/>
            <w:rFonts w:ascii="Arial" w:hAnsi="Arial" w:cs="Arial"/>
          </w:rPr>
          <w:t>Chapter 8 of the Practice Manual – Discharge and Determination of Child Progress at Exit.</w:t>
        </w:r>
      </w:hyperlink>
    </w:p>
    <w:p w14:paraId="1C03AA71" w14:textId="2195F227" w:rsidR="00D73C6B" w:rsidRPr="006A6A21" w:rsidRDefault="00D73C6B">
      <w:pPr>
        <w:rPr>
          <w:rFonts w:ascii="Arial" w:hAnsi="Arial" w:cs="Arial"/>
        </w:rPr>
      </w:pPr>
      <w:r w:rsidRPr="006A6A21">
        <w:rPr>
          <w:rFonts w:ascii="Arial" w:hAnsi="Arial" w:cs="Arial"/>
        </w:rPr>
        <w:t>Visit this resource for Child Outcomes:</w:t>
      </w:r>
    </w:p>
    <w:p w14:paraId="7CD3CBD8" w14:textId="77777777" w:rsidR="00D73C6B" w:rsidRPr="006A6A21" w:rsidRDefault="00D73C6B">
      <w:pPr>
        <w:rPr>
          <w:rFonts w:ascii="Arial" w:hAnsi="Arial" w:cs="Arial"/>
        </w:rPr>
      </w:pPr>
      <w:hyperlink r:id="rId5" w:history="1">
        <w:r w:rsidRPr="006A6A21">
          <w:rPr>
            <w:rStyle w:val="Hyperlink"/>
            <w:rFonts w:ascii="Arial" w:hAnsi="Arial" w:cs="Arial"/>
          </w:rPr>
          <w:t>Child Outcomes – Functional Assessment</w:t>
        </w:r>
      </w:hyperlink>
    </w:p>
    <w:p w14:paraId="43EBA7A4" w14:textId="77777777" w:rsidR="00D73C6B" w:rsidRPr="006A6A21" w:rsidRDefault="00D73C6B" w:rsidP="00D73C6B">
      <w:pPr>
        <w:rPr>
          <w:rFonts w:ascii="Arial" w:hAnsi="Arial" w:cs="Arial"/>
        </w:rPr>
      </w:pPr>
      <w:r w:rsidRPr="006A6A21">
        <w:rPr>
          <w:rFonts w:ascii="Arial" w:hAnsi="Arial" w:cs="Arial"/>
        </w:rPr>
        <w:t>This landing page contains everything you need to know to participate in the COS process in Virginia including the Virginia’s Child Outcome Process Booklet, the Assessment Protocol Toolkit, the Decision Tree and more.</w:t>
      </w:r>
    </w:p>
    <w:p w14:paraId="104E680C" w14:textId="3748BEFD" w:rsidR="00D73C6B" w:rsidRPr="006A6A21" w:rsidRDefault="00D73C6B">
      <w:pPr>
        <w:rPr>
          <w:rFonts w:ascii="Arial" w:hAnsi="Arial" w:cs="Arial"/>
        </w:rPr>
      </w:pPr>
      <w:r w:rsidRPr="006A6A21">
        <w:rPr>
          <w:rFonts w:ascii="Arial" w:hAnsi="Arial" w:cs="Arial"/>
        </w:rPr>
        <w:t xml:space="preserve"> </w:t>
      </w:r>
    </w:p>
    <w:p w14:paraId="79C40C4E" w14:textId="5911D420" w:rsidR="00D73C6B" w:rsidRPr="006A6A21" w:rsidRDefault="00D73C6B">
      <w:pPr>
        <w:rPr>
          <w:rFonts w:ascii="Arial" w:hAnsi="Arial" w:cs="Arial"/>
        </w:rPr>
      </w:pPr>
      <w:r w:rsidRPr="006A6A21">
        <w:rPr>
          <w:rFonts w:ascii="Arial" w:hAnsi="Arial" w:cs="Arial"/>
        </w:rPr>
        <w:t xml:space="preserve"> </w:t>
      </w:r>
    </w:p>
    <w:p w14:paraId="4C9522D5" w14:textId="77777777" w:rsidR="00D73C6B" w:rsidRPr="006A6A21" w:rsidRDefault="00D73C6B">
      <w:pPr>
        <w:rPr>
          <w:rFonts w:ascii="Arial" w:hAnsi="Arial" w:cs="Arial"/>
        </w:rPr>
      </w:pPr>
    </w:p>
    <w:p w14:paraId="284A224F" w14:textId="77777777" w:rsidR="00342A1D" w:rsidRPr="006A6A21" w:rsidRDefault="00342A1D">
      <w:pPr>
        <w:rPr>
          <w:rFonts w:ascii="Arial" w:hAnsi="Arial" w:cs="Arial"/>
        </w:rPr>
      </w:pPr>
    </w:p>
    <w:p w14:paraId="3FDB50D0" w14:textId="77777777" w:rsidR="00342A1D" w:rsidRPr="006A6A21" w:rsidRDefault="00342A1D">
      <w:pPr>
        <w:rPr>
          <w:rFonts w:ascii="Arial" w:hAnsi="Arial" w:cs="Arial"/>
        </w:rPr>
      </w:pPr>
    </w:p>
    <w:sectPr w:rsidR="00342A1D" w:rsidRPr="006A6A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2A1D"/>
    <w:rsid w:val="001A1FE7"/>
    <w:rsid w:val="002C04EA"/>
    <w:rsid w:val="00342A1D"/>
    <w:rsid w:val="006A6A21"/>
    <w:rsid w:val="00706777"/>
    <w:rsid w:val="0098273F"/>
    <w:rsid w:val="00D73C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FDBE6"/>
  <w15:chartTrackingRefBased/>
  <w15:docId w15:val="{2E46E8A3-970C-4CFA-B0AE-7E1B56AD4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42A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42A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42A1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42A1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42A1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42A1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42A1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42A1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42A1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2A1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42A1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42A1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42A1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42A1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42A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2A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2A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2A1D"/>
    <w:rPr>
      <w:rFonts w:eastAsiaTheme="majorEastAsia" w:cstheme="majorBidi"/>
      <w:color w:val="272727" w:themeColor="text1" w:themeTint="D8"/>
    </w:rPr>
  </w:style>
  <w:style w:type="paragraph" w:styleId="Title">
    <w:name w:val="Title"/>
    <w:basedOn w:val="Normal"/>
    <w:next w:val="Normal"/>
    <w:link w:val="TitleChar"/>
    <w:uiPriority w:val="10"/>
    <w:qFormat/>
    <w:rsid w:val="00342A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2A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2A1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2A1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2A1D"/>
    <w:pPr>
      <w:spacing w:before="160"/>
      <w:jc w:val="center"/>
    </w:pPr>
    <w:rPr>
      <w:i/>
      <w:iCs/>
      <w:color w:val="404040" w:themeColor="text1" w:themeTint="BF"/>
    </w:rPr>
  </w:style>
  <w:style w:type="character" w:customStyle="1" w:styleId="QuoteChar">
    <w:name w:val="Quote Char"/>
    <w:basedOn w:val="DefaultParagraphFont"/>
    <w:link w:val="Quote"/>
    <w:uiPriority w:val="29"/>
    <w:rsid w:val="00342A1D"/>
    <w:rPr>
      <w:i/>
      <w:iCs/>
      <w:color w:val="404040" w:themeColor="text1" w:themeTint="BF"/>
    </w:rPr>
  </w:style>
  <w:style w:type="paragraph" w:styleId="ListParagraph">
    <w:name w:val="List Paragraph"/>
    <w:basedOn w:val="Normal"/>
    <w:uiPriority w:val="34"/>
    <w:qFormat/>
    <w:rsid w:val="00342A1D"/>
    <w:pPr>
      <w:ind w:left="720"/>
      <w:contextualSpacing/>
    </w:pPr>
  </w:style>
  <w:style w:type="character" w:styleId="IntenseEmphasis">
    <w:name w:val="Intense Emphasis"/>
    <w:basedOn w:val="DefaultParagraphFont"/>
    <w:uiPriority w:val="21"/>
    <w:qFormat/>
    <w:rsid w:val="00342A1D"/>
    <w:rPr>
      <w:i/>
      <w:iCs/>
      <w:color w:val="0F4761" w:themeColor="accent1" w:themeShade="BF"/>
    </w:rPr>
  </w:style>
  <w:style w:type="paragraph" w:styleId="IntenseQuote">
    <w:name w:val="Intense Quote"/>
    <w:basedOn w:val="Normal"/>
    <w:next w:val="Normal"/>
    <w:link w:val="IntenseQuoteChar"/>
    <w:uiPriority w:val="30"/>
    <w:qFormat/>
    <w:rsid w:val="00342A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42A1D"/>
    <w:rPr>
      <w:i/>
      <w:iCs/>
      <w:color w:val="0F4761" w:themeColor="accent1" w:themeShade="BF"/>
    </w:rPr>
  </w:style>
  <w:style w:type="character" w:styleId="IntenseReference">
    <w:name w:val="Intense Reference"/>
    <w:basedOn w:val="DefaultParagraphFont"/>
    <w:uiPriority w:val="32"/>
    <w:qFormat/>
    <w:rsid w:val="00342A1D"/>
    <w:rPr>
      <w:b/>
      <w:bCs/>
      <w:smallCaps/>
      <w:color w:val="0F4761" w:themeColor="accent1" w:themeShade="BF"/>
      <w:spacing w:val="5"/>
    </w:rPr>
  </w:style>
  <w:style w:type="character" w:styleId="Hyperlink">
    <w:name w:val="Hyperlink"/>
    <w:basedOn w:val="DefaultParagraphFont"/>
    <w:uiPriority w:val="99"/>
    <w:unhideWhenUsed/>
    <w:rsid w:val="00D73C6B"/>
    <w:rPr>
      <w:color w:val="467886" w:themeColor="hyperlink"/>
      <w:u w:val="single"/>
    </w:rPr>
  </w:style>
  <w:style w:type="character" w:styleId="UnresolvedMention">
    <w:name w:val="Unresolved Mention"/>
    <w:basedOn w:val="DefaultParagraphFont"/>
    <w:uiPriority w:val="99"/>
    <w:semiHidden/>
    <w:unhideWhenUsed/>
    <w:rsid w:val="00D73C6B"/>
    <w:rPr>
      <w:color w:val="605E5C"/>
      <w:shd w:val="clear" w:color="auto" w:fill="E1DFDD"/>
    </w:rPr>
  </w:style>
  <w:style w:type="character" w:styleId="FollowedHyperlink">
    <w:name w:val="FollowedHyperlink"/>
    <w:basedOn w:val="DefaultParagraphFont"/>
    <w:uiPriority w:val="99"/>
    <w:semiHidden/>
    <w:unhideWhenUsed/>
    <w:rsid w:val="00D73C6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fakmpvab.cc.rs6.net/tn.jsp?f=001LIHUH1y5J_dB0KbnfEeRxVr_JcAjES1nN4AzneAG-USdcS9elUsqyur8J_m4OFyGoKX_RnfIp_6jLiiitK7bw_MA15g-wVX-rSrQ2woYT1O7Ra9D5TKSSnigPXvyaqe5RX8YcHZAgDA7LAdTEGsgVQ8KYsIl8H35JG2DYrC3T4Fcn0vyOVC4XCGiCksETCi8yabbIeguTfo=&amp;c=IDxfC3uGNFcj5goWEJXK_qIinYA-qMNpoUh-hg5kx7mvtBvreZLzhg==&amp;ch=YWroABkmPmgvJf7aaHFCU6Rc_T6iY4QSwBCRYoAwcxwDhijr0dvfBg==" TargetMode="External"/><Relationship Id="rId4" Type="http://schemas.openxmlformats.org/officeDocument/2006/relationships/hyperlink" Target="https://itcva.online/wp-content/uploads/2026/01/ITCVA-Practice-Manual-2026-v2026-01-1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620ae5a9-4ec1-4fa0-8641-5d9f386c7309}" enabled="0" method="" siteId="{620ae5a9-4ec1-4fa0-8641-5d9f386c7309}"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2</Pages>
  <Words>461</Words>
  <Characters>2634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Sarah (DBHDS)</dc:creator>
  <cp:keywords/>
  <dc:description/>
  <cp:lastModifiedBy>Brager, Anne (DBHDS)</cp:lastModifiedBy>
  <cp:revision>2</cp:revision>
  <dcterms:created xsi:type="dcterms:W3CDTF">2026-04-28T21:20:00Z</dcterms:created>
  <dcterms:modified xsi:type="dcterms:W3CDTF">2026-04-28T21:20:00Z</dcterms:modified>
</cp:coreProperties>
</file>