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67546" w14:textId="77777777" w:rsidR="00815C3F" w:rsidRPr="0007669A" w:rsidRDefault="00815C3F" w:rsidP="00C928D1">
      <w:pPr>
        <w:pBdr>
          <w:top w:val="none" w:sz="0" w:space="0" w:color="auto"/>
        </w:pBdr>
        <w:rPr>
          <w:rFonts w:eastAsia="Times New Roman"/>
          <w:color w:val="000000"/>
          <w:sz w:val="22"/>
          <w:szCs w:val="22"/>
          <w:u w:color="000000"/>
          <w:lang w:val="fr-FR"/>
        </w:rPr>
      </w:pPr>
    </w:p>
    <w:p w14:paraId="3B913889" w14:textId="1AE44D57" w:rsidR="00CD0FE1" w:rsidRPr="0007669A" w:rsidRDefault="00CD0FE1" w:rsidP="009B1F61">
      <w:pPr>
        <w:spacing w:line="360" w:lineRule="auto"/>
        <w:jc w:val="center"/>
        <w:rPr>
          <w:rFonts w:eastAsia="Times New Roman"/>
          <w:color w:val="000000"/>
          <w:sz w:val="22"/>
          <w:szCs w:val="22"/>
          <w:u w:color="000000"/>
          <w:lang w:val="fr-FR"/>
        </w:rPr>
      </w:pPr>
    </w:p>
    <w:p w14:paraId="2D1130D0" w14:textId="2F916AE7" w:rsidR="00133C44" w:rsidRDefault="009B1F61" w:rsidP="00133C4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720"/>
        <w:rPr>
          <w:rFonts w:eastAsia="Times New Roman"/>
          <w:color w:val="000000"/>
          <w:bdr w:val="none" w:sz="0" w:space="0" w:color="auto"/>
        </w:rPr>
      </w:pPr>
      <w:r w:rsidRPr="009B1F61">
        <w:rPr>
          <w:rFonts w:eastAsia="Times New Roman"/>
          <w:color w:val="000000"/>
          <w:bdr w:val="none" w:sz="0" w:space="0" w:color="auto"/>
        </w:rPr>
        <w:t>PPOA</w:t>
      </w:r>
      <w:r w:rsidR="00DA335E">
        <w:rPr>
          <w:rFonts w:eastAsia="Times New Roman"/>
          <w:color w:val="000000"/>
          <w:bdr w:val="none" w:sz="0" w:space="0" w:color="auto"/>
        </w:rPr>
        <w:t xml:space="preserve"> and ALADS</w:t>
      </w:r>
      <w:r w:rsidRPr="009B1F61">
        <w:rPr>
          <w:rFonts w:eastAsia="Times New Roman"/>
          <w:color w:val="000000"/>
          <w:bdr w:val="none" w:sz="0" w:space="0" w:color="auto"/>
        </w:rPr>
        <w:t xml:space="preserve"> participated in a daylong hearing</w:t>
      </w:r>
      <w:r w:rsidR="00F32670">
        <w:rPr>
          <w:rFonts w:eastAsia="Times New Roman"/>
          <w:color w:val="000000"/>
          <w:bdr w:val="none" w:sz="0" w:space="0" w:color="auto"/>
        </w:rPr>
        <w:t>, as part of ongoing litigation against the County,</w:t>
      </w:r>
      <w:r w:rsidRPr="009B1F61">
        <w:rPr>
          <w:rFonts w:eastAsia="Times New Roman"/>
          <w:color w:val="000000"/>
          <w:bdr w:val="none" w:sz="0" w:space="0" w:color="auto"/>
        </w:rPr>
        <w:t xml:space="preserve"> to object to, and </w:t>
      </w:r>
      <w:r w:rsidR="001625FF">
        <w:rPr>
          <w:rFonts w:eastAsia="Times New Roman"/>
          <w:color w:val="000000"/>
          <w:bdr w:val="none" w:sz="0" w:space="0" w:color="auto"/>
        </w:rPr>
        <w:t>stop</w:t>
      </w:r>
      <w:r w:rsidR="00F32670">
        <w:rPr>
          <w:rFonts w:eastAsia="Times New Roman"/>
          <w:color w:val="000000"/>
          <w:bdr w:val="none" w:sz="0" w:space="0" w:color="auto"/>
        </w:rPr>
        <w:t xml:space="preserve"> the implementation of </w:t>
      </w:r>
      <w:r w:rsidRPr="009B1F61">
        <w:rPr>
          <w:rFonts w:eastAsia="Times New Roman"/>
          <w:color w:val="000000"/>
          <w:bdr w:val="none" w:sz="0" w:space="0" w:color="auto"/>
        </w:rPr>
        <w:t xml:space="preserve">the </w:t>
      </w:r>
      <w:r w:rsidR="00815C3F">
        <w:rPr>
          <w:rFonts w:eastAsia="Times New Roman"/>
          <w:color w:val="000000"/>
          <w:bdr w:val="none" w:sz="0" w:space="0" w:color="auto"/>
        </w:rPr>
        <w:t>Ballot</w:t>
      </w:r>
      <w:r w:rsidRPr="009B1F61">
        <w:rPr>
          <w:rFonts w:eastAsia="Times New Roman"/>
          <w:color w:val="000000"/>
          <w:bdr w:val="none" w:sz="0" w:space="0" w:color="auto"/>
        </w:rPr>
        <w:t xml:space="preserve"> Measure R and </w:t>
      </w:r>
      <w:r w:rsidR="00F32670">
        <w:rPr>
          <w:rFonts w:eastAsia="Times New Roman"/>
          <w:color w:val="000000"/>
          <w:bdr w:val="none" w:sz="0" w:space="0" w:color="auto"/>
        </w:rPr>
        <w:t xml:space="preserve">the </w:t>
      </w:r>
      <w:r w:rsidR="001625FF">
        <w:rPr>
          <w:rFonts w:eastAsia="Times New Roman"/>
          <w:color w:val="000000"/>
          <w:bdr w:val="none" w:sz="0" w:space="0" w:color="auto"/>
        </w:rPr>
        <w:t>O</w:t>
      </w:r>
      <w:r w:rsidRPr="009B1F61">
        <w:rPr>
          <w:rFonts w:eastAsia="Times New Roman"/>
          <w:color w:val="000000"/>
          <w:bdr w:val="none" w:sz="0" w:space="0" w:color="auto"/>
        </w:rPr>
        <w:t xml:space="preserve">rdinance passed by the </w:t>
      </w:r>
      <w:r w:rsidR="00815C3F">
        <w:rPr>
          <w:rFonts w:eastAsia="Times New Roman"/>
          <w:color w:val="000000"/>
          <w:bdr w:val="none" w:sz="0" w:space="0" w:color="auto"/>
        </w:rPr>
        <w:t>B</w:t>
      </w:r>
      <w:r w:rsidRPr="009B1F61">
        <w:rPr>
          <w:rFonts w:eastAsia="Times New Roman"/>
          <w:color w:val="000000"/>
          <w:bdr w:val="none" w:sz="0" w:space="0" w:color="auto"/>
        </w:rPr>
        <w:t xml:space="preserve">oard of </w:t>
      </w:r>
      <w:r w:rsidR="00815C3F">
        <w:rPr>
          <w:rFonts w:eastAsia="Times New Roman"/>
          <w:color w:val="000000"/>
          <w:bdr w:val="none" w:sz="0" w:space="0" w:color="auto"/>
        </w:rPr>
        <w:t>S</w:t>
      </w:r>
      <w:r w:rsidRPr="009B1F61">
        <w:rPr>
          <w:rFonts w:eastAsia="Times New Roman"/>
          <w:color w:val="000000"/>
          <w:bdr w:val="none" w:sz="0" w:space="0" w:color="auto"/>
        </w:rPr>
        <w:t xml:space="preserve">upervisors giving extraordinary powers to the COC and the </w:t>
      </w:r>
      <w:r w:rsidR="00F32670">
        <w:rPr>
          <w:rFonts w:eastAsia="Times New Roman"/>
          <w:color w:val="000000"/>
          <w:bdr w:val="none" w:sz="0" w:space="0" w:color="auto"/>
        </w:rPr>
        <w:t xml:space="preserve">OIG </w:t>
      </w:r>
      <w:r w:rsidRPr="009B1F61">
        <w:rPr>
          <w:rFonts w:eastAsia="Times New Roman"/>
          <w:color w:val="000000"/>
          <w:bdr w:val="none" w:sz="0" w:space="0" w:color="auto"/>
        </w:rPr>
        <w:t xml:space="preserve">to investigate </w:t>
      </w:r>
      <w:r w:rsidR="00F32670">
        <w:rPr>
          <w:rFonts w:eastAsia="Times New Roman"/>
          <w:color w:val="000000"/>
          <w:bdr w:val="none" w:sz="0" w:space="0" w:color="auto"/>
        </w:rPr>
        <w:t xml:space="preserve">and potentially discipline </w:t>
      </w:r>
      <w:r w:rsidRPr="009B1F61">
        <w:rPr>
          <w:rFonts w:eastAsia="Times New Roman"/>
          <w:color w:val="000000"/>
          <w:bdr w:val="none" w:sz="0" w:space="0" w:color="auto"/>
        </w:rPr>
        <w:t xml:space="preserve">PPOA members </w:t>
      </w:r>
      <w:r w:rsidR="001625FF">
        <w:rPr>
          <w:rFonts w:eastAsia="Times New Roman"/>
          <w:color w:val="000000"/>
          <w:bdr w:val="none" w:sz="0" w:space="0" w:color="auto"/>
        </w:rPr>
        <w:t xml:space="preserve">(Ordinance </w:t>
      </w:r>
      <w:r w:rsidR="001625FF" w:rsidRPr="009B1F61">
        <w:rPr>
          <w:rFonts w:eastAsia="Times New Roman"/>
          <w:color w:val="000000"/>
          <w:bdr w:val="none" w:sz="0" w:space="0" w:color="auto"/>
        </w:rPr>
        <w:t>No. 20-0520</w:t>
      </w:r>
      <w:r w:rsidR="001625FF">
        <w:rPr>
          <w:rFonts w:eastAsia="Times New Roman"/>
          <w:color w:val="000000"/>
          <w:bdr w:val="none" w:sz="0" w:space="0" w:color="auto"/>
        </w:rPr>
        <w:t>).</w:t>
      </w:r>
      <w:r w:rsidR="005D1CA1">
        <w:rPr>
          <w:rFonts w:eastAsia="Times New Roman"/>
          <w:color w:val="000000"/>
          <w:bdr w:val="none" w:sz="0" w:space="0" w:color="auto"/>
        </w:rPr>
        <w:t xml:space="preserve"> </w:t>
      </w:r>
      <w:r w:rsidR="00F32670">
        <w:rPr>
          <w:rFonts w:eastAsia="Times New Roman"/>
          <w:color w:val="000000"/>
          <w:bdr w:val="none" w:sz="0" w:space="0" w:color="auto"/>
        </w:rPr>
        <w:t xml:space="preserve">PPOA argued that the </w:t>
      </w:r>
      <w:r w:rsidR="001625FF">
        <w:rPr>
          <w:rFonts w:eastAsia="Times New Roman"/>
          <w:color w:val="000000"/>
          <w:bdr w:val="none" w:sz="0" w:space="0" w:color="auto"/>
        </w:rPr>
        <w:t xml:space="preserve">Measure R and the Ordinance are not enforceable due to the </w:t>
      </w:r>
      <w:r w:rsidR="00F32670">
        <w:rPr>
          <w:rFonts w:eastAsia="Times New Roman"/>
          <w:color w:val="000000"/>
          <w:bdr w:val="none" w:sz="0" w:space="0" w:color="auto"/>
        </w:rPr>
        <w:t>County’s failure to “Meet and Confer” prior to implementin</w:t>
      </w:r>
      <w:r w:rsidR="001625FF">
        <w:rPr>
          <w:rFonts w:eastAsia="Times New Roman"/>
          <w:color w:val="000000"/>
          <w:bdr w:val="none" w:sz="0" w:space="0" w:color="auto"/>
        </w:rPr>
        <w:t>g the</w:t>
      </w:r>
      <w:r w:rsidR="00F32670">
        <w:rPr>
          <w:rFonts w:eastAsia="Times New Roman"/>
          <w:color w:val="000000"/>
          <w:bdr w:val="none" w:sz="0" w:space="0" w:color="auto"/>
        </w:rPr>
        <w:t xml:space="preserve"> </w:t>
      </w:r>
      <w:r w:rsidR="001625FF">
        <w:rPr>
          <w:rFonts w:eastAsia="Times New Roman"/>
          <w:color w:val="000000"/>
          <w:bdr w:val="none" w:sz="0" w:space="0" w:color="auto"/>
        </w:rPr>
        <w:t>O</w:t>
      </w:r>
      <w:r w:rsidR="00F32670">
        <w:rPr>
          <w:rFonts w:eastAsia="Times New Roman"/>
          <w:color w:val="000000"/>
          <w:bdr w:val="none" w:sz="0" w:space="0" w:color="auto"/>
        </w:rPr>
        <w:t xml:space="preserve">rdinance and Measure </w:t>
      </w:r>
      <w:r w:rsidR="001625FF">
        <w:rPr>
          <w:rFonts w:eastAsia="Times New Roman"/>
          <w:color w:val="000000"/>
          <w:bdr w:val="none" w:sz="0" w:space="0" w:color="auto"/>
        </w:rPr>
        <w:t xml:space="preserve">R. Both the Measure and Ordinance </w:t>
      </w:r>
      <w:r w:rsidR="00F32670">
        <w:rPr>
          <w:rFonts w:eastAsia="Times New Roman"/>
          <w:color w:val="000000"/>
          <w:bdr w:val="none" w:sz="0" w:space="0" w:color="auto"/>
        </w:rPr>
        <w:t>mandate</w:t>
      </w:r>
      <w:r w:rsidR="001625FF">
        <w:rPr>
          <w:rFonts w:eastAsia="Times New Roman"/>
          <w:color w:val="000000"/>
          <w:bdr w:val="none" w:sz="0" w:space="0" w:color="auto"/>
        </w:rPr>
        <w:t xml:space="preserve"> that</w:t>
      </w:r>
      <w:r w:rsidR="00F32670">
        <w:rPr>
          <w:rFonts w:eastAsia="Times New Roman"/>
          <w:color w:val="000000"/>
          <w:bdr w:val="none" w:sz="0" w:space="0" w:color="auto"/>
        </w:rPr>
        <w:t xml:space="preserve"> our members appear in front of the </w:t>
      </w:r>
      <w:r w:rsidR="00133C44">
        <w:rPr>
          <w:rFonts w:eastAsia="Times New Roman"/>
          <w:color w:val="000000"/>
          <w:bdr w:val="none" w:sz="0" w:space="0" w:color="auto"/>
        </w:rPr>
        <w:t>I</w:t>
      </w:r>
      <w:r w:rsidR="00F32670">
        <w:rPr>
          <w:rFonts w:eastAsia="Times New Roman"/>
          <w:color w:val="000000"/>
          <w:bdr w:val="none" w:sz="0" w:space="0" w:color="auto"/>
        </w:rPr>
        <w:t>nspector General</w:t>
      </w:r>
      <w:r w:rsidR="00133C44">
        <w:rPr>
          <w:rFonts w:eastAsia="Times New Roman"/>
          <w:color w:val="000000"/>
          <w:bdr w:val="none" w:sz="0" w:space="0" w:color="auto"/>
        </w:rPr>
        <w:t xml:space="preserve"> without all the protection normally afforded our sworn members</w:t>
      </w:r>
      <w:r w:rsidR="001625FF">
        <w:rPr>
          <w:rFonts w:eastAsia="Times New Roman"/>
          <w:color w:val="000000"/>
          <w:bdr w:val="none" w:sz="0" w:space="0" w:color="auto"/>
        </w:rPr>
        <w:t>.</w:t>
      </w:r>
      <w:r w:rsidR="00133C44">
        <w:rPr>
          <w:rFonts w:eastAsia="Times New Roman"/>
          <w:color w:val="000000"/>
          <w:bdr w:val="none" w:sz="0" w:space="0" w:color="auto"/>
        </w:rPr>
        <w:t xml:space="preserve"> </w:t>
      </w:r>
      <w:r w:rsidRPr="009B1F61">
        <w:rPr>
          <w:rFonts w:eastAsia="Times New Roman"/>
          <w:color w:val="000000"/>
          <w:bdr w:val="none" w:sz="0" w:space="0" w:color="auto"/>
        </w:rPr>
        <w:t xml:space="preserve">The basic argument was that the Board of Supervisors </w:t>
      </w:r>
      <w:r w:rsidR="005D1CA1">
        <w:rPr>
          <w:rFonts w:eastAsia="Times New Roman"/>
          <w:color w:val="000000"/>
          <w:bdr w:val="none" w:sz="0" w:space="0" w:color="auto"/>
        </w:rPr>
        <w:t>were legally bound to meet</w:t>
      </w:r>
      <w:r w:rsidRPr="009B1F61">
        <w:rPr>
          <w:rFonts w:eastAsia="Times New Roman"/>
          <w:color w:val="000000"/>
          <w:bdr w:val="none" w:sz="0" w:space="0" w:color="auto"/>
        </w:rPr>
        <w:t xml:space="preserve"> with PPOA prior to the implementation of the </w:t>
      </w:r>
      <w:r w:rsidR="005D1CA1">
        <w:rPr>
          <w:rFonts w:eastAsia="Times New Roman"/>
          <w:color w:val="000000"/>
          <w:bdr w:val="none" w:sz="0" w:space="0" w:color="auto"/>
        </w:rPr>
        <w:t>O</w:t>
      </w:r>
      <w:r w:rsidRPr="009B1F61">
        <w:rPr>
          <w:rFonts w:eastAsia="Times New Roman"/>
          <w:color w:val="000000"/>
          <w:bdr w:val="none" w:sz="0" w:space="0" w:color="auto"/>
        </w:rPr>
        <w:t xml:space="preserve">rdinances and/or Ballot Measure R. This </w:t>
      </w:r>
      <w:r w:rsidR="00133C44">
        <w:rPr>
          <w:rFonts w:eastAsia="Times New Roman"/>
          <w:color w:val="000000"/>
          <w:bdr w:val="none" w:sz="0" w:space="0" w:color="auto"/>
        </w:rPr>
        <w:t>case</w:t>
      </w:r>
      <w:r w:rsidRPr="009B1F61">
        <w:rPr>
          <w:rFonts w:eastAsia="Times New Roman"/>
          <w:color w:val="000000"/>
          <w:bdr w:val="none" w:sz="0" w:space="0" w:color="auto"/>
        </w:rPr>
        <w:t xml:space="preserve"> </w:t>
      </w:r>
      <w:r w:rsidR="00133C44">
        <w:rPr>
          <w:rFonts w:eastAsia="Times New Roman"/>
          <w:color w:val="000000"/>
          <w:bdr w:val="none" w:sz="0" w:space="0" w:color="auto"/>
        </w:rPr>
        <w:t>was argued as</w:t>
      </w:r>
      <w:r w:rsidRPr="009B1F61">
        <w:rPr>
          <w:rFonts w:eastAsia="Times New Roman"/>
          <w:color w:val="000000"/>
          <w:bdr w:val="none" w:sz="0" w:space="0" w:color="auto"/>
        </w:rPr>
        <w:t xml:space="preserve"> a matter of urgency </w:t>
      </w:r>
      <w:r w:rsidR="00133C44">
        <w:rPr>
          <w:rFonts w:eastAsia="Times New Roman"/>
          <w:color w:val="000000"/>
          <w:bdr w:val="none" w:sz="0" w:space="0" w:color="auto"/>
        </w:rPr>
        <w:t xml:space="preserve">noting that </w:t>
      </w:r>
      <w:r w:rsidRPr="009B1F61">
        <w:rPr>
          <w:rFonts w:eastAsia="Times New Roman"/>
          <w:color w:val="000000"/>
          <w:bdr w:val="none" w:sz="0" w:space="0" w:color="auto"/>
        </w:rPr>
        <w:t xml:space="preserve">a number of PPOA members have </w:t>
      </w:r>
      <w:r w:rsidR="00133C44">
        <w:rPr>
          <w:rFonts w:eastAsia="Times New Roman"/>
          <w:color w:val="000000"/>
          <w:bdr w:val="none" w:sz="0" w:space="0" w:color="auto"/>
        </w:rPr>
        <w:t xml:space="preserve">already </w:t>
      </w:r>
      <w:r w:rsidRPr="009B1F61">
        <w:rPr>
          <w:rFonts w:eastAsia="Times New Roman"/>
          <w:color w:val="000000"/>
          <w:bdr w:val="none" w:sz="0" w:space="0" w:color="auto"/>
        </w:rPr>
        <w:t>been subpoenaed to appear in front of the OIG</w:t>
      </w:r>
      <w:r w:rsidR="00133C44">
        <w:rPr>
          <w:rFonts w:eastAsia="Times New Roman"/>
          <w:color w:val="000000"/>
          <w:bdr w:val="none" w:sz="0" w:space="0" w:color="auto"/>
        </w:rPr>
        <w:t>.</w:t>
      </w:r>
      <w:r w:rsidRPr="009B1F61">
        <w:rPr>
          <w:rFonts w:eastAsia="Times New Roman"/>
          <w:color w:val="000000"/>
          <w:bdr w:val="none" w:sz="0" w:space="0" w:color="auto"/>
        </w:rPr>
        <w:t xml:space="preserve"> </w:t>
      </w:r>
    </w:p>
    <w:p w14:paraId="0A6FA04A" w14:textId="63F46B00" w:rsidR="00CD0FE1" w:rsidRPr="00815C3F" w:rsidRDefault="009B1F61" w:rsidP="00815C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720"/>
        <w:rPr>
          <w:rFonts w:eastAsia="Times New Roman"/>
          <w:color w:val="000000"/>
          <w:bdr w:val="none" w:sz="0" w:space="0" w:color="auto"/>
        </w:rPr>
      </w:pPr>
      <w:r w:rsidRPr="009B1F61">
        <w:rPr>
          <w:rFonts w:eastAsia="Times New Roman"/>
          <w:color w:val="000000"/>
          <w:bdr w:val="none" w:sz="0" w:space="0" w:color="auto"/>
        </w:rPr>
        <w:t>The matter was litigated by counsel</w:t>
      </w:r>
      <w:r w:rsidR="00815C3F">
        <w:rPr>
          <w:rFonts w:eastAsia="Times New Roman"/>
          <w:color w:val="000000"/>
          <w:bdr w:val="none" w:sz="0" w:space="0" w:color="auto"/>
        </w:rPr>
        <w:t xml:space="preserve"> for PPOA</w:t>
      </w:r>
      <w:r w:rsidRPr="009B1F61">
        <w:rPr>
          <w:rFonts w:eastAsia="Times New Roman"/>
          <w:color w:val="000000"/>
          <w:bdr w:val="none" w:sz="0" w:space="0" w:color="auto"/>
        </w:rPr>
        <w:t>, Jim Cunningham</w:t>
      </w:r>
      <w:r w:rsidR="00133C44">
        <w:rPr>
          <w:rFonts w:eastAsia="Times New Roman"/>
          <w:color w:val="000000"/>
          <w:bdr w:val="none" w:sz="0" w:space="0" w:color="auto"/>
        </w:rPr>
        <w:t>,</w:t>
      </w:r>
      <w:r w:rsidRPr="009B1F61">
        <w:rPr>
          <w:rFonts w:eastAsia="Times New Roman"/>
          <w:color w:val="000000"/>
          <w:bdr w:val="none" w:sz="0" w:space="0" w:color="auto"/>
        </w:rPr>
        <w:t xml:space="preserve"> with </w:t>
      </w:r>
      <w:r w:rsidR="00815C3F">
        <w:rPr>
          <w:rFonts w:eastAsia="Times New Roman"/>
          <w:color w:val="000000"/>
          <w:bdr w:val="none" w:sz="0" w:space="0" w:color="auto"/>
        </w:rPr>
        <w:t>PPOA President, Tab Rhodes,</w:t>
      </w:r>
      <w:r w:rsidRPr="009B1F61">
        <w:rPr>
          <w:rFonts w:eastAsia="Times New Roman"/>
          <w:color w:val="000000"/>
          <w:bdr w:val="none" w:sz="0" w:space="0" w:color="auto"/>
        </w:rPr>
        <w:t xml:space="preserve"> testifying on behalf of PPOA </w:t>
      </w:r>
      <w:r w:rsidR="005D1CA1">
        <w:rPr>
          <w:rFonts w:eastAsia="Times New Roman"/>
          <w:color w:val="000000"/>
          <w:bdr w:val="none" w:sz="0" w:space="0" w:color="auto"/>
        </w:rPr>
        <w:t xml:space="preserve">as </w:t>
      </w:r>
      <w:r w:rsidRPr="009B1F61">
        <w:rPr>
          <w:rFonts w:eastAsia="Times New Roman"/>
          <w:color w:val="000000"/>
          <w:bdr w:val="none" w:sz="0" w:space="0" w:color="auto"/>
        </w:rPr>
        <w:t xml:space="preserve">to the significant impacts that </w:t>
      </w:r>
      <w:r w:rsidR="00133C44">
        <w:rPr>
          <w:rFonts w:eastAsia="Times New Roman"/>
          <w:color w:val="000000"/>
          <w:bdr w:val="none" w:sz="0" w:space="0" w:color="auto"/>
        </w:rPr>
        <w:t>would</w:t>
      </w:r>
      <w:r w:rsidR="005D1CA1">
        <w:rPr>
          <w:rFonts w:eastAsia="Times New Roman"/>
          <w:color w:val="000000"/>
          <w:bdr w:val="none" w:sz="0" w:space="0" w:color="auto"/>
        </w:rPr>
        <w:t xml:space="preserve">, and </w:t>
      </w:r>
      <w:r w:rsidR="007F345E">
        <w:rPr>
          <w:rFonts w:eastAsia="Times New Roman"/>
          <w:color w:val="000000"/>
          <w:bdr w:val="none" w:sz="0" w:space="0" w:color="auto"/>
        </w:rPr>
        <w:t xml:space="preserve">have, </w:t>
      </w:r>
      <w:r w:rsidR="007F345E" w:rsidRPr="009B1F61">
        <w:rPr>
          <w:rFonts w:eastAsia="Times New Roman"/>
          <w:color w:val="000000"/>
          <w:bdr w:val="none" w:sz="0" w:space="0" w:color="auto"/>
        </w:rPr>
        <w:t>resulted</w:t>
      </w:r>
      <w:r w:rsidRPr="009B1F61">
        <w:rPr>
          <w:rFonts w:eastAsia="Times New Roman"/>
          <w:color w:val="000000"/>
          <w:bdr w:val="none" w:sz="0" w:space="0" w:color="auto"/>
        </w:rPr>
        <w:t xml:space="preserve"> </w:t>
      </w:r>
      <w:r w:rsidR="00133C44">
        <w:rPr>
          <w:rFonts w:eastAsia="Times New Roman"/>
          <w:color w:val="000000"/>
          <w:bdr w:val="none" w:sz="0" w:space="0" w:color="auto"/>
        </w:rPr>
        <w:t>with</w:t>
      </w:r>
      <w:r w:rsidRPr="009B1F61">
        <w:rPr>
          <w:rFonts w:eastAsia="Times New Roman"/>
          <w:color w:val="000000"/>
          <w:bdr w:val="none" w:sz="0" w:space="0" w:color="auto"/>
        </w:rPr>
        <w:t xml:space="preserve"> the passing of Measure R and the </w:t>
      </w:r>
      <w:r w:rsidR="005D1CA1">
        <w:rPr>
          <w:rFonts w:eastAsia="Times New Roman"/>
          <w:color w:val="000000"/>
          <w:bdr w:val="none" w:sz="0" w:space="0" w:color="auto"/>
        </w:rPr>
        <w:t>O</w:t>
      </w:r>
      <w:r w:rsidRPr="009B1F61">
        <w:rPr>
          <w:rFonts w:eastAsia="Times New Roman"/>
          <w:color w:val="000000"/>
          <w:bdr w:val="none" w:sz="0" w:space="0" w:color="auto"/>
        </w:rPr>
        <w:t>rdinance. The arguments and testimony concluded on May 17</w:t>
      </w:r>
      <w:r w:rsidRPr="00133C44">
        <w:rPr>
          <w:rFonts w:eastAsia="Times New Roman"/>
          <w:color w:val="000000"/>
          <w:bdr w:val="none" w:sz="0" w:space="0" w:color="auto"/>
          <w:vertAlign w:val="superscript"/>
        </w:rPr>
        <w:t>th</w:t>
      </w:r>
      <w:r w:rsidR="00133C44">
        <w:rPr>
          <w:rFonts w:eastAsia="Times New Roman"/>
          <w:color w:val="000000"/>
          <w:bdr w:val="none" w:sz="0" w:space="0" w:color="auto"/>
        </w:rPr>
        <w:t>, 2022</w:t>
      </w:r>
      <w:r w:rsidRPr="009B1F61">
        <w:rPr>
          <w:rFonts w:eastAsia="Times New Roman"/>
          <w:color w:val="000000"/>
          <w:bdr w:val="none" w:sz="0" w:space="0" w:color="auto"/>
        </w:rPr>
        <w:t>. The parties will be submitting their closing arguments in writing within the following 30 days. Thereafter, we expect to get a ruling from the hearing officer within 30 days after the submission of the closing arguments. PPOA is confident that they presented a strong argument in opposition to the Board of Supervisors</w:t>
      </w:r>
      <w:r w:rsidR="00815C3F">
        <w:rPr>
          <w:rFonts w:eastAsia="Times New Roman"/>
          <w:color w:val="000000"/>
          <w:bdr w:val="none" w:sz="0" w:space="0" w:color="auto"/>
        </w:rPr>
        <w:t>’</w:t>
      </w:r>
      <w:r w:rsidRPr="009B1F61">
        <w:rPr>
          <w:rFonts w:eastAsia="Times New Roman"/>
          <w:color w:val="000000"/>
          <w:bdr w:val="none" w:sz="0" w:space="0" w:color="auto"/>
        </w:rPr>
        <w:t xml:space="preserve"> implementation of Ordinance No. 20-0520 as well Ballot Measure R.</w:t>
      </w:r>
      <w:r w:rsidR="00CE0496" w:rsidRPr="0007669A">
        <w:rPr>
          <w:i/>
          <w:iCs/>
        </w:rPr>
        <w:t xml:space="preserve">    </w:t>
      </w:r>
    </w:p>
    <w:p w14:paraId="3FE2832B" w14:textId="538AED63" w:rsidR="0007669A" w:rsidRPr="0007669A" w:rsidRDefault="0007669A" w:rsidP="0007669A">
      <w:pPr>
        <w:pStyle w:val="NoSpacing"/>
      </w:pPr>
    </w:p>
    <w:sectPr w:rsidR="0007669A" w:rsidRPr="0007669A" w:rsidSect="00815C3F">
      <w:footerReference w:type="default" r:id="rId6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0E02C" w14:textId="77777777" w:rsidR="007E6A0E" w:rsidRDefault="007E6A0E">
      <w:r>
        <w:separator/>
      </w:r>
    </w:p>
  </w:endnote>
  <w:endnote w:type="continuationSeparator" w:id="0">
    <w:p w14:paraId="5DDD201D" w14:textId="77777777" w:rsidR="007E6A0E" w:rsidRDefault="007E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F801F" w14:textId="2E4BE481" w:rsidR="00CD0FE1" w:rsidRDefault="00CD0FE1">
    <w:pPr>
      <w:pStyle w:val="Header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5A4E7" w14:textId="77777777" w:rsidR="007E6A0E" w:rsidRDefault="007E6A0E">
      <w:r>
        <w:separator/>
      </w:r>
    </w:p>
  </w:footnote>
  <w:footnote w:type="continuationSeparator" w:id="0">
    <w:p w14:paraId="56F07045" w14:textId="77777777" w:rsidR="007E6A0E" w:rsidRDefault="007E6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E1"/>
    <w:rsid w:val="0007669A"/>
    <w:rsid w:val="000B1AE1"/>
    <w:rsid w:val="00133C44"/>
    <w:rsid w:val="001625FF"/>
    <w:rsid w:val="00204507"/>
    <w:rsid w:val="0024312E"/>
    <w:rsid w:val="003B6B9A"/>
    <w:rsid w:val="005D1CA1"/>
    <w:rsid w:val="006D3F3E"/>
    <w:rsid w:val="00707354"/>
    <w:rsid w:val="007E6A0E"/>
    <w:rsid w:val="007F345E"/>
    <w:rsid w:val="00815C3F"/>
    <w:rsid w:val="00867C40"/>
    <w:rsid w:val="009225F4"/>
    <w:rsid w:val="009B1F61"/>
    <w:rsid w:val="00A53BAD"/>
    <w:rsid w:val="00A80BD7"/>
    <w:rsid w:val="00AF1AF2"/>
    <w:rsid w:val="00C928D1"/>
    <w:rsid w:val="00CA032D"/>
    <w:rsid w:val="00CC46E8"/>
    <w:rsid w:val="00CD0FE1"/>
    <w:rsid w:val="00CE0496"/>
    <w:rsid w:val="00D61A2A"/>
    <w:rsid w:val="00DA335E"/>
    <w:rsid w:val="00DB6991"/>
    <w:rsid w:val="00F3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76BFD"/>
  <w15:docId w15:val="{0C315466-736E-0B45-9BF1-2295C1AD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3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next w:val="BodyA"/>
    <w:uiPriority w:val="9"/>
    <w:unhideWhenUsed/>
    <w:qFormat/>
    <w:pPr>
      <w:keepNext/>
      <w:widowControl w:val="0"/>
      <w:suppressAutoHyphens/>
      <w:jc w:val="center"/>
      <w:outlineLvl w:val="3"/>
    </w:pPr>
    <w:rPr>
      <w:rFonts w:ascii="Arial" w:hAnsi="Arial" w:cs="Arial Unicode MS"/>
      <w:color w:val="000000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itle">
    <w:name w:val="Title"/>
    <w:uiPriority w:val="10"/>
    <w:qFormat/>
    <w:pPr>
      <w:widowControl w:val="0"/>
      <w:jc w:val="center"/>
    </w:pPr>
    <w:rPr>
      <w:rFonts w:ascii="Arial" w:hAnsi="Arial" w:cs="Arial Unicode MS"/>
      <w:color w:val="000000"/>
      <w:spacing w:val="-3"/>
      <w:sz w:val="32"/>
      <w:szCs w:val="32"/>
      <w:u w:color="000000"/>
    </w:r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BodyA">
    <w:name w:val="Body A"/>
    <w:rPr>
      <w:rFonts w:ascii="Cambria" w:eastAsia="Cambria" w:hAnsi="Cambria" w:cs="Cambria"/>
      <w:color w:val="000000"/>
      <w:sz w:val="24"/>
      <w:szCs w:val="24"/>
      <w:u w:color="000000"/>
    </w:rPr>
  </w:style>
  <w:style w:type="paragraph" w:customStyle="1" w:styleId="NoSpacing1">
    <w:name w:val="No Spacing1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A">
    <w:name w:val="Body A A"/>
    <w:rPr>
      <w:rFonts w:ascii="Cambria" w:eastAsia="Cambria" w:hAnsi="Cambria" w:cs="Cambria"/>
      <w:color w:val="000000"/>
      <w:sz w:val="24"/>
      <w:szCs w:val="24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CA032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28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66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669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766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669A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1F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8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Villegas</dc:creator>
  <cp:lastModifiedBy>Maricela Villegas</cp:lastModifiedBy>
  <cp:revision>2</cp:revision>
  <dcterms:created xsi:type="dcterms:W3CDTF">2022-05-19T23:50:00Z</dcterms:created>
  <dcterms:modified xsi:type="dcterms:W3CDTF">2022-05-19T23:50:00Z</dcterms:modified>
</cp:coreProperties>
</file>