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B45A" w14:textId="77777777" w:rsidR="00A332D5" w:rsidRPr="00193780" w:rsidRDefault="00A332D5" w:rsidP="00A332D5">
      <w:pPr>
        <w:jc w:val="center"/>
        <w:rPr>
          <w:rFonts w:ascii="Century Gothic" w:hAnsi="Century Gothic"/>
          <w:b/>
          <w:color w:val="392B13"/>
          <w:sz w:val="20"/>
          <w:szCs w:val="20"/>
        </w:rPr>
      </w:pPr>
      <w:r w:rsidRPr="004035D9">
        <w:rPr>
          <w:noProof/>
          <w:color w:val="002453"/>
        </w:rPr>
        <w:drawing>
          <wp:anchor distT="0" distB="0" distL="114300" distR="114300" simplePos="0" relativeHeight="251659264" behindDoc="0" locked="0" layoutInCell="0" allowOverlap="0" wp14:anchorId="1867EC20" wp14:editId="56A0E0AB">
            <wp:simplePos x="0" y="0"/>
            <wp:positionH relativeFrom="page">
              <wp:posOffset>1760220</wp:posOffset>
            </wp:positionH>
            <wp:positionV relativeFrom="page">
              <wp:posOffset>236220</wp:posOffset>
            </wp:positionV>
            <wp:extent cx="4244340" cy="1414780"/>
            <wp:effectExtent l="0" t="0" r="3810" b="0"/>
            <wp:wrapSquare wrapText="bothSides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41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CC960" w14:textId="77777777" w:rsidR="00A332D5" w:rsidRDefault="00A332D5" w:rsidP="00A332D5">
      <w:pPr>
        <w:jc w:val="center"/>
        <w:rPr>
          <w:rFonts w:ascii="Century Gothic" w:hAnsi="Century Gothic"/>
          <w:b/>
          <w:color w:val="002453"/>
          <w:sz w:val="28"/>
          <w:szCs w:val="28"/>
        </w:rPr>
      </w:pPr>
    </w:p>
    <w:p w14:paraId="370611D6" w14:textId="77777777" w:rsidR="00A332D5" w:rsidRDefault="00A332D5" w:rsidP="00A332D5">
      <w:pPr>
        <w:jc w:val="center"/>
        <w:rPr>
          <w:rFonts w:ascii="Century Gothic" w:hAnsi="Century Gothic"/>
          <w:b/>
          <w:color w:val="002453"/>
          <w:sz w:val="28"/>
          <w:szCs w:val="28"/>
        </w:rPr>
      </w:pPr>
    </w:p>
    <w:p w14:paraId="7EE70DCA" w14:textId="77777777" w:rsidR="00A332D5" w:rsidRDefault="00A332D5" w:rsidP="00A332D5">
      <w:pPr>
        <w:jc w:val="center"/>
        <w:rPr>
          <w:rFonts w:ascii="Century Gothic" w:hAnsi="Century Gothic"/>
          <w:b/>
          <w:color w:val="002453"/>
          <w:sz w:val="28"/>
          <w:szCs w:val="28"/>
        </w:rPr>
      </w:pPr>
    </w:p>
    <w:p w14:paraId="0108FED0" w14:textId="77777777" w:rsidR="00A332D5" w:rsidRDefault="00A332D5" w:rsidP="00A332D5">
      <w:pPr>
        <w:jc w:val="center"/>
        <w:rPr>
          <w:rFonts w:ascii="Century Gothic" w:hAnsi="Century Gothic"/>
          <w:b/>
          <w:color w:val="002453"/>
          <w:sz w:val="28"/>
          <w:szCs w:val="28"/>
        </w:rPr>
      </w:pPr>
    </w:p>
    <w:p w14:paraId="512431ED" w14:textId="77777777" w:rsidR="00A332D5" w:rsidRPr="00E0058D" w:rsidRDefault="00A332D5" w:rsidP="00A332D5">
      <w:pPr>
        <w:jc w:val="center"/>
        <w:rPr>
          <w:rFonts w:ascii="Century Gothic" w:hAnsi="Century Gothic"/>
          <w:b/>
          <w:color w:val="002453"/>
          <w:sz w:val="24"/>
          <w:szCs w:val="24"/>
        </w:rPr>
      </w:pPr>
    </w:p>
    <w:p w14:paraId="69FC7034" w14:textId="4B4FABB2" w:rsidR="00DC1CB2" w:rsidRDefault="005C0884" w:rsidP="00DC1CB2">
      <w:pPr>
        <w:jc w:val="center"/>
        <w:rPr>
          <w:rFonts w:ascii="Century Gothic" w:hAnsi="Century Gothic"/>
          <w:b/>
          <w:color w:val="002453"/>
          <w:sz w:val="32"/>
          <w:szCs w:val="32"/>
        </w:rPr>
      </w:pPr>
      <w:r w:rsidRPr="005C0884">
        <w:rPr>
          <w:rFonts w:ascii="Century Gothic" w:hAnsi="Century Gothic"/>
          <w:b/>
          <w:color w:val="002453"/>
          <w:sz w:val="32"/>
          <w:szCs w:val="32"/>
        </w:rPr>
        <w:t>D</w:t>
      </w:r>
      <w:r w:rsidR="00DC1CB2">
        <w:rPr>
          <w:rFonts w:ascii="Century Gothic" w:hAnsi="Century Gothic"/>
          <w:b/>
          <w:color w:val="002453"/>
          <w:sz w:val="32"/>
          <w:szCs w:val="32"/>
        </w:rPr>
        <w:t>iversity, Equity, and Inclusion Legal Strategies (DEILS) Practice Group</w:t>
      </w:r>
    </w:p>
    <w:p w14:paraId="26533463" w14:textId="64D6BA5B" w:rsidR="00A332D5" w:rsidRPr="004F0691" w:rsidRDefault="005C0884" w:rsidP="00A332D5">
      <w:pPr>
        <w:jc w:val="center"/>
        <w:rPr>
          <w:rFonts w:ascii="Century Gothic" w:hAnsi="Century Gothic"/>
          <w:b/>
          <w:color w:val="A4BCC2"/>
          <w:sz w:val="32"/>
          <w:szCs w:val="32"/>
        </w:rPr>
      </w:pPr>
      <w:r w:rsidRPr="005C0884">
        <w:rPr>
          <w:rFonts w:ascii="Century Gothic" w:hAnsi="Century Gothic"/>
          <w:b/>
          <w:color w:val="002453"/>
          <w:sz w:val="32"/>
          <w:szCs w:val="32"/>
        </w:rPr>
        <w:t xml:space="preserve"> </w:t>
      </w:r>
      <w:r w:rsidRPr="00DC1CB2">
        <w:rPr>
          <w:rFonts w:ascii="Century Gothic" w:hAnsi="Century Gothic"/>
          <w:b/>
          <w:color w:val="A4BCC2"/>
          <w:sz w:val="32"/>
          <w:szCs w:val="32"/>
        </w:rPr>
        <w:t xml:space="preserve">Executive </w:t>
      </w:r>
      <w:r w:rsidR="00A332D5" w:rsidRPr="00DC1CB2">
        <w:rPr>
          <w:rFonts w:ascii="Century Gothic" w:hAnsi="Century Gothic"/>
          <w:b/>
          <w:color w:val="A4BCC2"/>
          <w:sz w:val="32"/>
          <w:szCs w:val="32"/>
        </w:rPr>
        <w:t>Training</w:t>
      </w:r>
    </w:p>
    <w:p w14:paraId="5C294E57" w14:textId="77777777" w:rsidR="00A332D5" w:rsidRDefault="00A332D5" w:rsidP="00A332D5">
      <w:pPr>
        <w:pBdr>
          <w:bottom w:val="single" w:sz="12" w:space="1" w:color="71C5E8"/>
        </w:pBdr>
        <w:rPr>
          <w:rFonts w:ascii="Century Gothic" w:hAnsi="Century Gothic"/>
          <w:b/>
          <w:color w:val="002453"/>
          <w:sz w:val="28"/>
          <w:szCs w:val="28"/>
        </w:rPr>
      </w:pPr>
    </w:p>
    <w:p w14:paraId="37AF4DFA" w14:textId="77777777" w:rsidR="00A332D5" w:rsidRPr="00586B7F" w:rsidRDefault="00A332D5" w:rsidP="004B7DAD">
      <w:pPr>
        <w:pBdr>
          <w:bottom w:val="single" w:sz="12" w:space="1" w:color="71C5E8"/>
        </w:pBdr>
        <w:jc w:val="both"/>
        <w:rPr>
          <w:rFonts w:ascii="Century Gothic" w:hAnsi="Century Gothic"/>
          <w:b/>
          <w:color w:val="002453"/>
          <w:sz w:val="28"/>
          <w:szCs w:val="28"/>
        </w:rPr>
      </w:pPr>
      <w:r w:rsidRPr="00586B7F">
        <w:rPr>
          <w:rFonts w:ascii="Century Gothic" w:hAnsi="Century Gothic"/>
          <w:b/>
          <w:color w:val="002453"/>
          <w:sz w:val="28"/>
          <w:szCs w:val="28"/>
        </w:rPr>
        <w:t>OVERVIEW</w:t>
      </w:r>
    </w:p>
    <w:p w14:paraId="5B4F38A6" w14:textId="77777777" w:rsidR="00A332D5" w:rsidRPr="004035D9" w:rsidRDefault="00A332D5" w:rsidP="004B7DAD">
      <w:pPr>
        <w:jc w:val="both"/>
        <w:rPr>
          <w:rFonts w:ascii="Century Gothic" w:hAnsi="Century Gothic"/>
          <w:b/>
          <w:color w:val="002453"/>
        </w:rPr>
      </w:pPr>
    </w:p>
    <w:p w14:paraId="093D276D" w14:textId="77777777" w:rsidR="00A332D5" w:rsidRPr="001F3811" w:rsidRDefault="00A332D5" w:rsidP="004B7DAD">
      <w:pPr>
        <w:jc w:val="both"/>
        <w:rPr>
          <w:rFonts w:ascii="Century Gothic" w:hAnsi="Century Gothic"/>
          <w:b/>
          <w:color w:val="002453"/>
          <w:sz w:val="28"/>
          <w:szCs w:val="28"/>
        </w:rPr>
      </w:pPr>
      <w:r w:rsidRPr="001F3811">
        <w:rPr>
          <w:rFonts w:ascii="Century Gothic" w:hAnsi="Century Gothic"/>
          <w:b/>
          <w:color w:val="002453"/>
          <w:sz w:val="28"/>
          <w:szCs w:val="28"/>
        </w:rPr>
        <w:t>NFC’s Dynamic Instructor Led Training Makes a Difference</w:t>
      </w:r>
    </w:p>
    <w:p w14:paraId="0A1E4263" w14:textId="77777777" w:rsidR="00A332D5" w:rsidRPr="003F319E" w:rsidRDefault="00A332D5" w:rsidP="004B7DAD">
      <w:pPr>
        <w:jc w:val="both"/>
        <w:rPr>
          <w:rFonts w:ascii="Century Gothic" w:hAnsi="Century Gothic"/>
          <w:b/>
          <w:color w:val="002453"/>
          <w:sz w:val="20"/>
          <w:szCs w:val="20"/>
        </w:rPr>
      </w:pPr>
    </w:p>
    <w:p w14:paraId="2576A1E7" w14:textId="644CCC66" w:rsidR="00A332D5" w:rsidRPr="003F319E" w:rsidRDefault="00A332D5" w:rsidP="004B7DAD">
      <w:pPr>
        <w:jc w:val="both"/>
        <w:rPr>
          <w:rFonts w:ascii="Century Gothic" w:hAnsi="Century Gothic"/>
          <w:color w:val="002453"/>
          <w:sz w:val="20"/>
          <w:szCs w:val="20"/>
        </w:rPr>
      </w:pPr>
      <w:r w:rsidRPr="003F319E">
        <w:rPr>
          <w:rFonts w:ascii="Century Gothic" w:hAnsi="Century Gothic"/>
          <w:color w:val="002453"/>
          <w:sz w:val="20"/>
          <w:szCs w:val="20"/>
        </w:rPr>
        <w:t xml:space="preserve">Nukk-Freeman &amp; Cerra, P.C. (“NFC”) has designed and delivered hundreds of Training Programs to thousands of executives, managers, HR teams, and non-supervisory employees across a wide range of industries including large institutional organizations, small to mid-size private sector companies, non-profit entities, and government clients. </w:t>
      </w:r>
    </w:p>
    <w:p w14:paraId="13B377E9" w14:textId="77777777" w:rsidR="00A332D5" w:rsidRPr="003F319E" w:rsidRDefault="00A332D5" w:rsidP="004B7DAD">
      <w:pPr>
        <w:jc w:val="both"/>
        <w:rPr>
          <w:rFonts w:ascii="Century Gothic" w:hAnsi="Century Gothic"/>
          <w:color w:val="002453"/>
          <w:sz w:val="20"/>
          <w:szCs w:val="20"/>
        </w:rPr>
      </w:pPr>
    </w:p>
    <w:p w14:paraId="4FD126B0" w14:textId="363844B0" w:rsidR="00A332D5" w:rsidRPr="003F319E" w:rsidRDefault="00A332D5" w:rsidP="004B7DAD">
      <w:pPr>
        <w:jc w:val="both"/>
        <w:rPr>
          <w:rFonts w:ascii="Century Gothic" w:hAnsi="Century Gothic"/>
          <w:color w:val="002453"/>
          <w:sz w:val="20"/>
          <w:szCs w:val="20"/>
        </w:rPr>
      </w:pPr>
      <w:r w:rsidRPr="003F319E">
        <w:rPr>
          <w:rFonts w:ascii="Century Gothic" w:hAnsi="Century Gothic"/>
          <w:color w:val="002453"/>
          <w:sz w:val="20"/>
          <w:szCs w:val="20"/>
        </w:rPr>
        <w:t xml:space="preserve">With NFC’s highly knowledgeable employment lawyers as facilitators, your team will get the benefits of decades of experience from a professional who can answer any question and will encourage discussion of important points in an engaging way. Our trainers are experienced litigators and dynamic instructors who use state-of-the art, interactive materials designed to engage attendees and develop their knowledge and skill set by teaching critical strategies that </w:t>
      </w:r>
      <w:r w:rsidR="00083F61">
        <w:rPr>
          <w:rFonts w:ascii="Century Gothic" w:hAnsi="Century Gothic"/>
          <w:color w:val="002453"/>
          <w:sz w:val="20"/>
          <w:szCs w:val="20"/>
        </w:rPr>
        <w:t xml:space="preserve">mitigate legal risk and provide effective strategies to create an </w:t>
      </w:r>
      <w:r w:rsidRPr="003F319E">
        <w:rPr>
          <w:rFonts w:ascii="Century Gothic" w:hAnsi="Century Gothic"/>
          <w:color w:val="002453"/>
          <w:sz w:val="20"/>
          <w:szCs w:val="20"/>
        </w:rPr>
        <w:t>inclusive and respectful work environment.  We not only provide a legal explanation of these important issues, but our Training Programs also include “real world” examples.</w:t>
      </w:r>
    </w:p>
    <w:p w14:paraId="6892B15D" w14:textId="77777777" w:rsidR="00A332D5" w:rsidRDefault="00A332D5" w:rsidP="004B7DAD">
      <w:pPr>
        <w:jc w:val="both"/>
        <w:rPr>
          <w:rFonts w:ascii="Century Gothic" w:hAnsi="Century Gothic"/>
          <w:color w:val="002453"/>
        </w:rPr>
      </w:pPr>
    </w:p>
    <w:p w14:paraId="25C609BA" w14:textId="32D87A13" w:rsidR="00A332D5" w:rsidRPr="00586B7F" w:rsidRDefault="00A332D5" w:rsidP="004B7DAD">
      <w:pPr>
        <w:pBdr>
          <w:bottom w:val="single" w:sz="12" w:space="1" w:color="71C5E8"/>
        </w:pBdr>
        <w:jc w:val="both"/>
        <w:rPr>
          <w:rFonts w:ascii="Century Gothic" w:hAnsi="Century Gothic"/>
          <w:b/>
          <w:color w:val="002453"/>
          <w:sz w:val="28"/>
          <w:szCs w:val="28"/>
        </w:rPr>
      </w:pPr>
      <w:r w:rsidRPr="00586B7F">
        <w:rPr>
          <w:rFonts w:ascii="Century Gothic" w:hAnsi="Century Gothic"/>
          <w:b/>
          <w:color w:val="002453"/>
          <w:sz w:val="28"/>
          <w:szCs w:val="28"/>
        </w:rPr>
        <w:t>DESCRIPTION OF TRAINING SESSION</w:t>
      </w:r>
    </w:p>
    <w:p w14:paraId="396FEB9A" w14:textId="77777777" w:rsidR="00A332D5" w:rsidRDefault="00A332D5" w:rsidP="004B7DAD">
      <w:pPr>
        <w:jc w:val="both"/>
        <w:rPr>
          <w:rFonts w:ascii="Century Gothic" w:hAnsi="Century Gothic"/>
          <w:b/>
          <w:color w:val="002453"/>
        </w:rPr>
      </w:pPr>
    </w:p>
    <w:p w14:paraId="05ED124B" w14:textId="20E2AB75" w:rsidR="001B6B45" w:rsidRDefault="005C0884" w:rsidP="00DC1CB2">
      <w:pPr>
        <w:rPr>
          <w:rFonts w:ascii="Century Gothic" w:hAnsi="Century Gothic"/>
          <w:b/>
          <w:color w:val="002453"/>
          <w:sz w:val="28"/>
          <w:szCs w:val="28"/>
        </w:rPr>
      </w:pPr>
      <w:r w:rsidRPr="005C0884">
        <w:rPr>
          <w:rFonts w:ascii="Century Gothic" w:hAnsi="Century Gothic"/>
          <w:b/>
          <w:color w:val="002453"/>
          <w:sz w:val="28"/>
          <w:szCs w:val="28"/>
        </w:rPr>
        <w:t>The Evolving Legal Landscape of DEI Initiatives</w:t>
      </w:r>
      <w:r>
        <w:rPr>
          <w:rFonts w:ascii="Century Gothic" w:hAnsi="Century Gothic"/>
          <w:b/>
          <w:color w:val="002453"/>
          <w:sz w:val="28"/>
          <w:szCs w:val="28"/>
        </w:rPr>
        <w:t xml:space="preserve"> </w:t>
      </w:r>
      <w:r w:rsidR="00DC1CB2">
        <w:rPr>
          <w:rFonts w:ascii="Century Gothic" w:hAnsi="Century Gothic"/>
          <w:b/>
          <w:color w:val="002453"/>
          <w:sz w:val="28"/>
          <w:szCs w:val="28"/>
        </w:rPr>
        <w:t xml:space="preserve">-- </w:t>
      </w:r>
      <w:r w:rsidRPr="005C0884">
        <w:rPr>
          <w:rFonts w:ascii="Century Gothic" w:hAnsi="Century Gothic"/>
          <w:b/>
          <w:color w:val="002453"/>
          <w:sz w:val="28"/>
          <w:szCs w:val="28"/>
        </w:rPr>
        <w:t>Strategic Oversight, Governance, and Management in a Time of Change</w:t>
      </w:r>
    </w:p>
    <w:p w14:paraId="30771A57" w14:textId="77777777" w:rsidR="005C0884" w:rsidRPr="003F319E" w:rsidRDefault="005C0884" w:rsidP="004B7DAD">
      <w:pPr>
        <w:jc w:val="both"/>
        <w:rPr>
          <w:rFonts w:ascii="Century Gothic" w:hAnsi="Century Gothic"/>
          <w:b/>
          <w:color w:val="002453"/>
          <w:sz w:val="20"/>
          <w:szCs w:val="20"/>
        </w:rPr>
      </w:pPr>
    </w:p>
    <w:p w14:paraId="7F4944F1" w14:textId="77777777" w:rsidR="005C0884" w:rsidRPr="003F319E" w:rsidRDefault="00A332D5" w:rsidP="005C0884">
      <w:pPr>
        <w:jc w:val="both"/>
        <w:rPr>
          <w:rFonts w:ascii="Century Gothic" w:eastAsia="Calibri" w:hAnsi="Century Gothic" w:cs="Times New Roman"/>
          <w:color w:val="002453"/>
          <w:sz w:val="20"/>
          <w:szCs w:val="20"/>
        </w:rPr>
      </w:pPr>
      <w:r w:rsidRPr="003A1A4E">
        <w:rPr>
          <w:rFonts w:ascii="Century Gothic" w:eastAsia="Calibri" w:hAnsi="Century Gothic" w:cs="Times New Roman"/>
          <w:b/>
          <w:color w:val="002453"/>
          <w:sz w:val="20"/>
          <w:szCs w:val="20"/>
        </w:rPr>
        <w:t>Summary:</w:t>
      </w:r>
      <w:r w:rsidRPr="003F319E">
        <w:rPr>
          <w:rFonts w:ascii="Century Gothic" w:eastAsia="Calibri" w:hAnsi="Century Gothic" w:cs="Times New Roman"/>
          <w:color w:val="002453"/>
          <w:sz w:val="20"/>
          <w:szCs w:val="20"/>
        </w:rPr>
        <w:t xml:space="preserve"> </w:t>
      </w:r>
      <w:r w:rsidR="005C0884" w:rsidRPr="003F319E">
        <w:rPr>
          <w:rFonts w:ascii="Century Gothic" w:eastAsia="Calibri" w:hAnsi="Century Gothic" w:cs="Times New Roman"/>
          <w:color w:val="002453"/>
          <w:sz w:val="20"/>
          <w:szCs w:val="20"/>
        </w:rPr>
        <w:t>With the legal and regulatory environment surrounding Diversity, Equity &amp; Inclusion (DEI) initiatives shifting rapidly, Boards of Directors, Executives, and Senior Managers face new challenges in providing strategic leadership and sound governance. This two-hour, partner-led interactive session is designed to empower executives to make informed, compliant, and values-aligned decisions regarding the organization’s DEI commitments, public statements, and accountability structures.</w:t>
      </w:r>
    </w:p>
    <w:p w14:paraId="38E6D50D" w14:textId="77777777" w:rsidR="005C0884" w:rsidRPr="003F319E" w:rsidRDefault="005C0884" w:rsidP="005C0884">
      <w:pPr>
        <w:jc w:val="both"/>
        <w:rPr>
          <w:rFonts w:ascii="Century Gothic" w:eastAsia="Calibri" w:hAnsi="Century Gothic" w:cs="Times New Roman"/>
          <w:color w:val="002453"/>
          <w:sz w:val="20"/>
          <w:szCs w:val="20"/>
        </w:rPr>
      </w:pPr>
    </w:p>
    <w:p w14:paraId="18FFF4FD" w14:textId="27AFD9D9" w:rsidR="00D643C1" w:rsidRPr="003F319E" w:rsidRDefault="005C0884" w:rsidP="005C0884">
      <w:pPr>
        <w:jc w:val="both"/>
        <w:rPr>
          <w:rFonts w:ascii="Century Gothic" w:eastAsia="Calibri" w:hAnsi="Century Gothic" w:cs="Times New Roman"/>
          <w:color w:val="002453"/>
          <w:sz w:val="20"/>
          <w:szCs w:val="20"/>
        </w:rPr>
      </w:pPr>
      <w:r w:rsidRPr="003F319E">
        <w:rPr>
          <w:rFonts w:ascii="Century Gothic" w:eastAsia="Calibri" w:hAnsi="Century Gothic" w:cs="Times New Roman"/>
          <w:color w:val="002453"/>
          <w:sz w:val="20"/>
          <w:szCs w:val="20"/>
        </w:rPr>
        <w:t>Through a blend of legal analysis and practical discussion, participants will explore how to sustain meaningful DEI progress while mitigating litigation and reputational risk in a post-</w:t>
      </w:r>
      <w:r w:rsidRPr="003A1A4E">
        <w:rPr>
          <w:rFonts w:ascii="Century Gothic" w:eastAsia="Calibri" w:hAnsi="Century Gothic" w:cs="Times New Roman"/>
          <w:i/>
          <w:iCs/>
          <w:color w:val="002453"/>
          <w:sz w:val="20"/>
          <w:szCs w:val="20"/>
        </w:rPr>
        <w:t>S</w:t>
      </w:r>
      <w:r w:rsidR="00083F61" w:rsidRPr="003A1A4E">
        <w:rPr>
          <w:rFonts w:ascii="Century Gothic" w:eastAsia="Calibri" w:hAnsi="Century Gothic" w:cs="Times New Roman"/>
          <w:i/>
          <w:iCs/>
          <w:color w:val="002453"/>
          <w:sz w:val="20"/>
          <w:szCs w:val="20"/>
        </w:rPr>
        <w:t xml:space="preserve">tudents for </w:t>
      </w:r>
      <w:r w:rsidRPr="003A1A4E">
        <w:rPr>
          <w:rFonts w:ascii="Century Gothic" w:eastAsia="Calibri" w:hAnsi="Century Gothic" w:cs="Times New Roman"/>
          <w:i/>
          <w:iCs/>
          <w:color w:val="002453"/>
          <w:sz w:val="20"/>
          <w:szCs w:val="20"/>
        </w:rPr>
        <w:t>F</w:t>
      </w:r>
      <w:r w:rsidR="00083F61" w:rsidRPr="003A1A4E">
        <w:rPr>
          <w:rFonts w:ascii="Century Gothic" w:eastAsia="Calibri" w:hAnsi="Century Gothic" w:cs="Times New Roman"/>
          <w:i/>
          <w:iCs/>
          <w:color w:val="002453"/>
          <w:sz w:val="20"/>
          <w:szCs w:val="20"/>
        </w:rPr>
        <w:t xml:space="preserve">air </w:t>
      </w:r>
      <w:r w:rsidRPr="003A1A4E">
        <w:rPr>
          <w:rFonts w:ascii="Century Gothic" w:eastAsia="Calibri" w:hAnsi="Century Gothic" w:cs="Times New Roman"/>
          <w:i/>
          <w:iCs/>
          <w:color w:val="002453"/>
          <w:sz w:val="20"/>
          <w:szCs w:val="20"/>
        </w:rPr>
        <w:t>A</w:t>
      </w:r>
      <w:r w:rsidR="00083F61" w:rsidRPr="003A1A4E">
        <w:rPr>
          <w:rFonts w:ascii="Century Gothic" w:eastAsia="Calibri" w:hAnsi="Century Gothic" w:cs="Times New Roman"/>
          <w:i/>
          <w:iCs/>
          <w:color w:val="002453"/>
          <w:sz w:val="20"/>
          <w:szCs w:val="20"/>
        </w:rPr>
        <w:t>dmissions</w:t>
      </w:r>
      <w:r w:rsidRPr="003F319E">
        <w:rPr>
          <w:rFonts w:ascii="Century Gothic" w:eastAsia="Calibri" w:hAnsi="Century Gothic" w:cs="Times New Roman"/>
          <w:color w:val="002453"/>
          <w:sz w:val="20"/>
          <w:szCs w:val="20"/>
        </w:rPr>
        <w:t xml:space="preserve"> era.</w:t>
      </w:r>
    </w:p>
    <w:p w14:paraId="54D798C1" w14:textId="10354ACD" w:rsidR="00A332D5" w:rsidRDefault="00A332D5" w:rsidP="004B7DAD">
      <w:pPr>
        <w:numPr>
          <w:ilvl w:val="0"/>
          <w:numId w:val="1"/>
        </w:numPr>
        <w:contextualSpacing/>
        <w:jc w:val="both"/>
        <w:rPr>
          <w:rFonts w:ascii="Century Gothic" w:eastAsia="Calibri" w:hAnsi="Century Gothic" w:cs="Times New Roman"/>
          <w:color w:val="002453"/>
          <w:sz w:val="20"/>
          <w:szCs w:val="20"/>
        </w:rPr>
      </w:pPr>
      <w:r w:rsidRPr="003A1A4E">
        <w:rPr>
          <w:rFonts w:ascii="Century Gothic" w:eastAsia="Calibri" w:hAnsi="Century Gothic" w:cs="Times New Roman"/>
          <w:b/>
          <w:color w:val="002453"/>
          <w:sz w:val="20"/>
          <w:szCs w:val="20"/>
        </w:rPr>
        <w:t>Target Audience:</w:t>
      </w:r>
      <w:r w:rsidR="005C0884">
        <w:rPr>
          <w:rFonts w:ascii="Century Gothic" w:eastAsia="Calibri" w:hAnsi="Century Gothic" w:cs="Times New Roman"/>
          <w:color w:val="002453"/>
          <w:sz w:val="20"/>
          <w:szCs w:val="20"/>
        </w:rPr>
        <w:t xml:space="preserve"> </w:t>
      </w:r>
      <w:r w:rsidR="00DC1CB2">
        <w:rPr>
          <w:rFonts w:ascii="Century Gothic" w:eastAsia="Calibri" w:hAnsi="Century Gothic" w:cs="Times New Roman"/>
          <w:color w:val="002453"/>
          <w:sz w:val="20"/>
          <w:szCs w:val="20"/>
        </w:rPr>
        <w:t>Boards of Directors and Senior Leadership</w:t>
      </w:r>
    </w:p>
    <w:p w14:paraId="6E0C17CD" w14:textId="77777777" w:rsidR="00A332D5" w:rsidRPr="003A1A4E" w:rsidRDefault="00A332D5" w:rsidP="004B7DAD">
      <w:pPr>
        <w:keepNext/>
        <w:numPr>
          <w:ilvl w:val="0"/>
          <w:numId w:val="1"/>
        </w:numPr>
        <w:contextualSpacing/>
        <w:jc w:val="both"/>
        <w:rPr>
          <w:rFonts w:ascii="Century Gothic" w:eastAsia="Calibri" w:hAnsi="Century Gothic" w:cs="Times New Roman"/>
          <w:color w:val="002453"/>
          <w:sz w:val="20"/>
          <w:szCs w:val="20"/>
        </w:rPr>
      </w:pPr>
      <w:r w:rsidRPr="003A1A4E">
        <w:rPr>
          <w:rFonts w:ascii="Century Gothic" w:eastAsia="Calibri" w:hAnsi="Century Gothic" w:cs="Times New Roman"/>
          <w:b/>
          <w:color w:val="002453"/>
          <w:sz w:val="20"/>
          <w:szCs w:val="20"/>
        </w:rPr>
        <w:t>Learning Objectives</w:t>
      </w:r>
      <w:r w:rsidRPr="003A1A4E">
        <w:rPr>
          <w:rFonts w:ascii="Century Gothic" w:eastAsia="Calibri" w:hAnsi="Century Gothic" w:cs="Times New Roman"/>
          <w:color w:val="002453"/>
          <w:sz w:val="20"/>
          <w:szCs w:val="20"/>
        </w:rPr>
        <w:t>:</w:t>
      </w:r>
    </w:p>
    <w:p w14:paraId="7AAE41F3" w14:textId="77777777" w:rsidR="003F319E" w:rsidRPr="00B00A30" w:rsidRDefault="003F319E" w:rsidP="003F319E">
      <w:pPr>
        <w:keepNext/>
        <w:ind w:left="720"/>
        <w:contextualSpacing/>
        <w:jc w:val="both"/>
        <w:rPr>
          <w:rFonts w:ascii="Century Gothic" w:eastAsia="Calibri" w:hAnsi="Century Gothic" w:cs="Times New Roman"/>
          <w:color w:val="002453"/>
          <w:sz w:val="20"/>
          <w:szCs w:val="20"/>
          <w:u w:val="single"/>
        </w:rPr>
      </w:pPr>
    </w:p>
    <w:p w14:paraId="00CF8559" w14:textId="77777777" w:rsidR="005C0884" w:rsidRPr="003F319E" w:rsidRDefault="005C0884" w:rsidP="003F319E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Gain a strategic understanding of recent legal and regulatory developments shaping corporate DEI initiatives.</w:t>
      </w:r>
    </w:p>
    <w:p w14:paraId="343B4E25" w14:textId="77777777" w:rsidR="005C0884" w:rsidRPr="003F319E" w:rsidRDefault="005C0884" w:rsidP="003F319E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Learn how metrics, goals, and public statements can create both opportunity and exposure under current law.</w:t>
      </w:r>
    </w:p>
    <w:p w14:paraId="6231BEBA" w14:textId="76595FC0" w:rsidR="005C0884" w:rsidRPr="003F319E" w:rsidRDefault="005C0884" w:rsidP="003F319E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Understand executives’ oversight role in monitoring implementation, auditing compliance, and evaluating the effectiveness of inclusion initiatives.</w:t>
      </w:r>
    </w:p>
    <w:p w14:paraId="301969BE" w14:textId="43B9095C" w:rsidR="005C0884" w:rsidRPr="003F319E" w:rsidRDefault="005C0884" w:rsidP="003F319E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Develop a framework for risk-balanced governance that aligns DEI strategy with organizational purpose.</w:t>
      </w:r>
    </w:p>
    <w:p w14:paraId="79366949" w14:textId="335252FE" w:rsidR="00A332D5" w:rsidRPr="005C0884" w:rsidRDefault="005C0884" w:rsidP="005C0884">
      <w:pPr>
        <w:pBdr>
          <w:bottom w:val="single" w:sz="12" w:space="1" w:color="71C5E8"/>
        </w:pBdr>
        <w:ind w:left="360"/>
        <w:rPr>
          <w:rFonts w:ascii="Century Gothic" w:hAnsi="Century Gothic"/>
          <w:b/>
          <w:color w:val="002453"/>
          <w:sz w:val="28"/>
          <w:szCs w:val="28"/>
        </w:rPr>
      </w:pPr>
      <w:r>
        <w:rPr>
          <w:rFonts w:ascii="Century Gothic" w:hAnsi="Century Gothic"/>
          <w:b/>
          <w:color w:val="002453"/>
          <w:sz w:val="28"/>
          <w:szCs w:val="28"/>
        </w:rPr>
        <w:lastRenderedPageBreak/>
        <w:t>PROGRAM COMPONENTS</w:t>
      </w:r>
    </w:p>
    <w:p w14:paraId="639A54D5" w14:textId="77777777" w:rsidR="005C0884" w:rsidRDefault="005C0884" w:rsidP="005C0884">
      <w:pPr>
        <w:ind w:left="360"/>
        <w:rPr>
          <w:rFonts w:ascii="Century Gothic" w:hAnsi="Century Gothic"/>
          <w:color w:val="002060"/>
          <w:sz w:val="20"/>
          <w:szCs w:val="20"/>
        </w:rPr>
      </w:pPr>
    </w:p>
    <w:p w14:paraId="50A246B7" w14:textId="5191DB63" w:rsidR="005C0884" w:rsidRDefault="005C0884" w:rsidP="005C0884">
      <w:pPr>
        <w:pStyle w:val="ListParagraph"/>
        <w:numPr>
          <w:ilvl w:val="0"/>
          <w:numId w:val="9"/>
        </w:numPr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Legal Landmarks Reshaping DEI Governance</w:t>
      </w:r>
    </w:p>
    <w:p w14:paraId="7742D895" w14:textId="77777777" w:rsidR="005C0884" w:rsidRPr="005C0884" w:rsidRDefault="005C0884" w:rsidP="005C0884">
      <w:pPr>
        <w:pStyle w:val="ListParagraph"/>
        <w:ind w:left="1080"/>
        <w:rPr>
          <w:rFonts w:ascii="Century Gothic" w:hAnsi="Century Gothic"/>
          <w:color w:val="002060"/>
          <w:sz w:val="20"/>
          <w:szCs w:val="20"/>
        </w:rPr>
      </w:pPr>
    </w:p>
    <w:p w14:paraId="1479CFD8" w14:textId="298F50AA" w:rsidR="00A332D5" w:rsidRPr="005C0884" w:rsidRDefault="005C0884" w:rsidP="005C0884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A strategic overview of the leading cases influencing Board and management decision-making:</w:t>
      </w:r>
    </w:p>
    <w:p w14:paraId="4390E8F3" w14:textId="77777777" w:rsidR="005C0884" w:rsidRPr="002734A5" w:rsidRDefault="005C0884" w:rsidP="005C0884">
      <w:pPr>
        <w:pStyle w:val="ListParagraph"/>
        <w:jc w:val="both"/>
        <w:rPr>
          <w:rFonts w:ascii="Century Gothic" w:eastAsia="Calibri" w:hAnsi="Century Gothic" w:cs="Times New Roman"/>
          <w:color w:val="002060"/>
          <w:sz w:val="20"/>
          <w:szCs w:val="20"/>
        </w:rPr>
      </w:pPr>
    </w:p>
    <w:p w14:paraId="014A2F32" w14:textId="20451F5E" w:rsidR="005C0884" w:rsidRPr="005C0884" w:rsidRDefault="005C0884" w:rsidP="005C0884">
      <w:pPr>
        <w:pStyle w:val="ListParagraph"/>
        <w:numPr>
          <w:ilvl w:val="1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3A1A4E">
        <w:rPr>
          <w:rFonts w:ascii="Century Gothic" w:hAnsi="Century Gothic"/>
          <w:i/>
          <w:iCs/>
          <w:color w:val="002060"/>
          <w:sz w:val="20"/>
          <w:szCs w:val="20"/>
        </w:rPr>
        <w:t>Students for Fair Admissions v. Harvard/UNC (SFFA)—</w:t>
      </w:r>
      <w:r w:rsidRPr="005C0884">
        <w:rPr>
          <w:rFonts w:ascii="Century Gothic" w:hAnsi="Century Gothic"/>
          <w:color w:val="002060"/>
          <w:sz w:val="20"/>
          <w:szCs w:val="20"/>
        </w:rPr>
        <w:t xml:space="preserve"> The ripple effects on corporate DEI metrics, aspirational targets, and pipeline programs.</w:t>
      </w:r>
    </w:p>
    <w:p w14:paraId="16015461" w14:textId="77777777" w:rsidR="005C0884" w:rsidRPr="005C0884" w:rsidRDefault="005C0884" w:rsidP="005C0884">
      <w:pPr>
        <w:pStyle w:val="ListParagraph"/>
        <w:numPr>
          <w:ilvl w:val="1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3A1A4E">
        <w:rPr>
          <w:rFonts w:ascii="Century Gothic" w:hAnsi="Century Gothic"/>
          <w:i/>
          <w:iCs/>
          <w:color w:val="002060"/>
          <w:sz w:val="20"/>
          <w:szCs w:val="20"/>
        </w:rPr>
        <w:t>Muldrow v. City of St. Louis</w:t>
      </w:r>
      <w:r w:rsidRPr="005C0884">
        <w:rPr>
          <w:rFonts w:ascii="Century Gothic" w:hAnsi="Century Gothic"/>
          <w:color w:val="002060"/>
          <w:sz w:val="20"/>
          <w:szCs w:val="20"/>
        </w:rPr>
        <w:t xml:space="preserve"> — Expanded scope of Title VII and its implications for DEI-driven employment decisions.</w:t>
      </w:r>
    </w:p>
    <w:p w14:paraId="4C0EBE18" w14:textId="77777777" w:rsidR="005C0884" w:rsidRDefault="005C0884" w:rsidP="005C0884">
      <w:pPr>
        <w:pStyle w:val="ListParagraph"/>
        <w:numPr>
          <w:ilvl w:val="1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3A1A4E">
        <w:rPr>
          <w:rFonts w:ascii="Century Gothic" w:hAnsi="Century Gothic"/>
          <w:i/>
          <w:iCs/>
          <w:color w:val="002060"/>
          <w:sz w:val="20"/>
          <w:szCs w:val="20"/>
        </w:rPr>
        <w:t>Ames v. Ohio Dept. of Youth Services</w:t>
      </w:r>
      <w:r w:rsidRPr="005C0884">
        <w:rPr>
          <w:rFonts w:ascii="Century Gothic" w:hAnsi="Century Gothic"/>
          <w:color w:val="002060"/>
          <w:sz w:val="20"/>
          <w:szCs w:val="20"/>
        </w:rPr>
        <w:t xml:space="preserve"> — Guidance on ensuring fair, consistent, and legally defensible DEI practices.</w:t>
      </w:r>
    </w:p>
    <w:p w14:paraId="3D57E126" w14:textId="77777777" w:rsidR="005C0884" w:rsidRDefault="005C0884" w:rsidP="005C0884">
      <w:pPr>
        <w:pStyle w:val="ListParagraph"/>
        <w:tabs>
          <w:tab w:val="left" w:pos="2604"/>
        </w:tabs>
        <w:spacing w:line="259" w:lineRule="auto"/>
        <w:ind w:left="2160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4F038720" w14:textId="10B1E095" w:rsidR="005C0884" w:rsidRPr="005C0884" w:rsidRDefault="005C0884" w:rsidP="005C0884">
      <w:pPr>
        <w:pStyle w:val="ListParagraph"/>
        <w:numPr>
          <w:ilvl w:val="0"/>
          <w:numId w:val="9"/>
        </w:numPr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Executive Orders &amp; Federal Policy Direction</w:t>
      </w:r>
    </w:p>
    <w:p w14:paraId="6BAB4CD7" w14:textId="77777777" w:rsidR="005C0884" w:rsidRDefault="005C0884" w:rsidP="005C0884">
      <w:p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0BFBEA0B" w14:textId="778B54FB" w:rsidR="005C0884" w:rsidRDefault="005C0884" w:rsidP="005C0884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Review of evolving Executive Orders and agency initiatives governing DEI in the federal and private sectors, including the tension between federal encouragement of inclusive practices and emerging state-level restrictions. Discussion will focus on how these shifts influence corporate strategy, reporting, and stakeholder engagement.</w:t>
      </w:r>
    </w:p>
    <w:p w14:paraId="4CE69001" w14:textId="77777777" w:rsidR="003F319E" w:rsidRDefault="003F319E" w:rsidP="003F319E">
      <w:pPr>
        <w:pStyle w:val="ListParagraph"/>
        <w:ind w:left="1440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62E8619B" w14:textId="77777777" w:rsidR="003F319E" w:rsidRDefault="003F319E" w:rsidP="003F319E">
      <w:pPr>
        <w:pStyle w:val="ListParagraph"/>
        <w:numPr>
          <w:ilvl w:val="0"/>
          <w:numId w:val="9"/>
        </w:numPr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EEOC &amp; DOJ Guidance on “Illegal DEI”</w:t>
      </w:r>
    </w:p>
    <w:p w14:paraId="462172BC" w14:textId="77777777" w:rsidR="003F319E" w:rsidRPr="003F319E" w:rsidRDefault="003F319E" w:rsidP="003F319E">
      <w:pPr>
        <w:pStyle w:val="ListParagraph"/>
        <w:ind w:left="1080"/>
        <w:rPr>
          <w:rFonts w:ascii="Century Gothic" w:hAnsi="Century Gothic"/>
          <w:color w:val="002060"/>
          <w:sz w:val="20"/>
          <w:szCs w:val="20"/>
        </w:rPr>
      </w:pPr>
    </w:p>
    <w:p w14:paraId="2CC11E07" w14:textId="07F54FF4" w:rsidR="003F319E" w:rsidRPr="003F319E" w:rsidRDefault="003F319E" w:rsidP="003F319E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Examination of current EEOC and DOJ enforcement trends, including their scrutiny of 'reverse discrimination' and 'quota-based' approaches. Analysis will address conflicts between agency guidance and court rulings, and what this means for corporate DEI statements, accountability metrics, and risk assessments.</w:t>
      </w:r>
    </w:p>
    <w:p w14:paraId="5CE8BC2E" w14:textId="77777777" w:rsidR="005C0884" w:rsidRDefault="005C0884" w:rsidP="005C0884">
      <w:p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1582CB5F" w14:textId="5CA4AE4C" w:rsidR="005C0884" w:rsidRDefault="005C0884" w:rsidP="005C0884">
      <w:pPr>
        <w:pStyle w:val="ListParagraph"/>
        <w:numPr>
          <w:ilvl w:val="0"/>
          <w:numId w:val="9"/>
        </w:numPr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Strategic Oversight and Practical Governance</w:t>
      </w:r>
    </w:p>
    <w:p w14:paraId="668AD010" w14:textId="77777777" w:rsidR="005C0884" w:rsidRPr="003F319E" w:rsidRDefault="005C0884" w:rsidP="003F319E">
      <w:pPr>
        <w:ind w:left="720"/>
        <w:rPr>
          <w:rFonts w:ascii="Century Gothic" w:hAnsi="Century Gothic"/>
          <w:color w:val="002060"/>
          <w:sz w:val="20"/>
          <w:szCs w:val="20"/>
        </w:rPr>
      </w:pPr>
    </w:p>
    <w:p w14:paraId="55C0B295" w14:textId="318E7F80" w:rsidR="005C0884" w:rsidRPr="005C0884" w:rsidRDefault="005C0884" w:rsidP="005C0884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Facilitated discussion on how executives can navigate these developments across:</w:t>
      </w:r>
    </w:p>
    <w:p w14:paraId="5C8FEB5F" w14:textId="77777777" w:rsidR="005C0884" w:rsidRPr="005C0884" w:rsidRDefault="005C0884" w:rsidP="003A1A4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ind w:left="1800"/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Public Statements &amp; Reporting: Ensuring external communications and ESG disclosures align with evolving legal standards.</w:t>
      </w:r>
    </w:p>
    <w:p w14:paraId="18459546" w14:textId="123015B3" w:rsidR="005C0884" w:rsidRPr="005C0884" w:rsidRDefault="005C0884" w:rsidP="003A1A4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ind w:left="1800"/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Metrics &amp; Measurement: Evaluating the use of diversity data, benchmarks, and accountability frameworks without crossing compliance lines.</w:t>
      </w:r>
    </w:p>
    <w:p w14:paraId="407C5846" w14:textId="4742A150" w:rsidR="005C0884" w:rsidRPr="005C0884" w:rsidRDefault="005C0884" w:rsidP="003A1A4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ind w:left="1800"/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Management Oversight: Defining clear responsibilities for implementing, auditing, and monitoring DEI initiatives.</w:t>
      </w:r>
    </w:p>
    <w:p w14:paraId="0A8E08D7" w14:textId="66B09061" w:rsidR="005C0884" w:rsidRDefault="005C0884" w:rsidP="003A1A4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ind w:left="1800"/>
        <w:jc w:val="both"/>
        <w:rPr>
          <w:rFonts w:ascii="Century Gothic" w:hAnsi="Century Gothic"/>
          <w:color w:val="002060"/>
          <w:sz w:val="20"/>
          <w:szCs w:val="20"/>
        </w:rPr>
      </w:pPr>
      <w:r w:rsidRPr="005C0884">
        <w:rPr>
          <w:rFonts w:ascii="Century Gothic" w:hAnsi="Century Gothic"/>
          <w:color w:val="002060"/>
          <w:sz w:val="20"/>
          <w:szCs w:val="20"/>
        </w:rPr>
        <w:t>Governance Integration: Embedding DEI oversight within risk, audit, and compensation committees to ensure enterprise-wide alignment.</w:t>
      </w:r>
    </w:p>
    <w:p w14:paraId="734865C1" w14:textId="77777777" w:rsidR="003F319E" w:rsidRDefault="003F319E" w:rsidP="003A1A4E">
      <w:pPr>
        <w:pStyle w:val="ListParagraph"/>
        <w:tabs>
          <w:tab w:val="left" w:pos="2604"/>
        </w:tabs>
        <w:spacing w:line="259" w:lineRule="auto"/>
        <w:ind w:left="1800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697E1997" w14:textId="4C293991" w:rsidR="003F319E" w:rsidRPr="003F319E" w:rsidRDefault="003F319E" w:rsidP="003F319E">
      <w:pPr>
        <w:pBdr>
          <w:bottom w:val="single" w:sz="12" w:space="1" w:color="71C5E8"/>
        </w:pBdr>
        <w:ind w:left="360"/>
        <w:rPr>
          <w:rFonts w:ascii="Century Gothic" w:hAnsi="Century Gothic"/>
          <w:b/>
          <w:color w:val="002453"/>
          <w:sz w:val="28"/>
          <w:szCs w:val="28"/>
        </w:rPr>
      </w:pPr>
      <w:r>
        <w:rPr>
          <w:rFonts w:ascii="Century Gothic" w:hAnsi="Century Gothic"/>
          <w:b/>
          <w:color w:val="002453"/>
          <w:sz w:val="28"/>
          <w:szCs w:val="28"/>
        </w:rPr>
        <w:t>FORMAT &amp; DELIVERY</w:t>
      </w:r>
    </w:p>
    <w:p w14:paraId="25A8B755" w14:textId="77777777" w:rsidR="003F319E" w:rsidRPr="003F319E" w:rsidRDefault="003F319E" w:rsidP="003F319E">
      <w:pPr>
        <w:pStyle w:val="ListParagraph"/>
        <w:ind w:left="1440"/>
        <w:rPr>
          <w:rFonts w:ascii="Century Gothic" w:hAnsi="Century Gothic"/>
          <w:color w:val="002060"/>
          <w:sz w:val="20"/>
          <w:szCs w:val="20"/>
        </w:rPr>
      </w:pPr>
    </w:p>
    <w:p w14:paraId="4645FCA5" w14:textId="7B85BC3B" w:rsidR="003F319E" w:rsidRPr="003F319E" w:rsidRDefault="003F319E" w:rsidP="003F319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Duration: 2 hours</w:t>
      </w:r>
    </w:p>
    <w:p w14:paraId="05FA300B" w14:textId="2ACB218C" w:rsidR="003F319E" w:rsidRPr="003F319E" w:rsidRDefault="003F319E" w:rsidP="003F319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Format: Partner-led, interactive discussion with case analysis and executive-level scenarios</w:t>
      </w:r>
    </w:p>
    <w:p w14:paraId="488FC787" w14:textId="353E12F9" w:rsidR="003F319E" w:rsidRPr="003F319E" w:rsidRDefault="003F319E" w:rsidP="003F319E">
      <w:pPr>
        <w:pStyle w:val="ListParagraph"/>
        <w:numPr>
          <w:ilvl w:val="0"/>
          <w:numId w:val="10"/>
        </w:num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3F319E">
        <w:rPr>
          <w:rFonts w:ascii="Century Gothic" w:hAnsi="Century Gothic"/>
          <w:color w:val="002060"/>
          <w:sz w:val="20"/>
          <w:szCs w:val="20"/>
        </w:rPr>
        <w:t>Outcome: Executives will leave equipped to guide their organizations through a rapidly changing DEI landscape—balancing legal compliance, stakeholder expectations, and long-term organizational integrity.</w:t>
      </w:r>
    </w:p>
    <w:p w14:paraId="4397833B" w14:textId="77777777" w:rsidR="005C0884" w:rsidRDefault="005C0884" w:rsidP="005C0884">
      <w:p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5524F484" w14:textId="77777777" w:rsidR="005C0884" w:rsidRDefault="005C0884" w:rsidP="005C0884">
      <w:p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7B279905" w14:textId="77777777" w:rsidR="005C0884" w:rsidRDefault="005C0884" w:rsidP="005C0884">
      <w:pPr>
        <w:tabs>
          <w:tab w:val="left" w:pos="2604"/>
        </w:tabs>
        <w:spacing w:line="259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sectPr w:rsidR="005C0884" w:rsidSect="00CC3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9D9C" w14:textId="77777777" w:rsidR="003E4DC2" w:rsidRDefault="003E4DC2" w:rsidP="00A332D5">
      <w:r>
        <w:separator/>
      </w:r>
    </w:p>
  </w:endnote>
  <w:endnote w:type="continuationSeparator" w:id="0">
    <w:p w14:paraId="1DA22040" w14:textId="77777777" w:rsidR="003E4DC2" w:rsidRDefault="003E4DC2" w:rsidP="00A3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ld">
    <w:altName w:val="Gotham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608A" w14:textId="77777777" w:rsidR="00A332D5" w:rsidRDefault="00A33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A332D5" w:rsidRPr="00125D89" w14:paraId="37CB98DB" w14:textId="77777777" w:rsidTr="00611B23">
      <w:tc>
        <w:tcPr>
          <w:tcW w:w="4500" w:type="pct"/>
          <w:tcBorders>
            <w:top w:val="single" w:sz="4" w:space="0" w:color="000000" w:themeColor="text1"/>
          </w:tcBorders>
        </w:tcPr>
        <w:p w14:paraId="504D9275" w14:textId="77777777" w:rsidR="00A332D5" w:rsidRPr="00125D89" w:rsidRDefault="00A332D5" w:rsidP="00125D89">
          <w:pPr>
            <w:pStyle w:val="Footer"/>
            <w:rPr>
              <w:rFonts w:ascii="Century Gothic" w:hAnsi="Century Gothic"/>
              <w:b/>
              <w:color w:val="392B13"/>
              <w:sz w:val="18"/>
              <w:szCs w:val="18"/>
            </w:rPr>
          </w:pPr>
        </w:p>
      </w:tc>
      <w:tc>
        <w:tcPr>
          <w:tcW w:w="500" w:type="pct"/>
          <w:tcBorders>
            <w:top w:val="single" w:sz="4" w:space="0" w:color="E97132" w:themeColor="accent2"/>
          </w:tcBorders>
          <w:shd w:val="clear" w:color="auto" w:fill="C3D1D3"/>
        </w:tcPr>
        <w:p w14:paraId="4AF86F1D" w14:textId="77777777" w:rsidR="00A332D5" w:rsidRPr="00125D89" w:rsidRDefault="00A332D5">
          <w:pPr>
            <w:pStyle w:val="Header"/>
            <w:rPr>
              <w:rFonts w:ascii="Century Gothic" w:hAnsi="Century Gothic"/>
              <w:b/>
              <w:color w:val="392B13"/>
            </w:rPr>
          </w:pPr>
          <w:r w:rsidRPr="00125D89">
            <w:rPr>
              <w:rFonts w:ascii="Century Gothic" w:hAnsi="Century Gothic"/>
              <w:b/>
              <w:color w:val="392B13"/>
            </w:rPr>
            <w:fldChar w:fldCharType="begin"/>
          </w:r>
          <w:r w:rsidRPr="00125D89">
            <w:rPr>
              <w:rFonts w:ascii="Century Gothic" w:hAnsi="Century Gothic"/>
              <w:b/>
              <w:color w:val="392B13"/>
            </w:rPr>
            <w:instrText xml:space="preserve"> PAGE   \* MERGEFORMAT </w:instrText>
          </w:r>
          <w:r w:rsidRPr="00125D89">
            <w:rPr>
              <w:rFonts w:ascii="Century Gothic" w:hAnsi="Century Gothic"/>
              <w:b/>
              <w:color w:val="392B13"/>
            </w:rPr>
            <w:fldChar w:fldCharType="separate"/>
          </w:r>
          <w:r>
            <w:rPr>
              <w:rFonts w:ascii="Century Gothic" w:hAnsi="Century Gothic"/>
              <w:b/>
              <w:noProof/>
              <w:color w:val="392B13"/>
            </w:rPr>
            <w:t>2</w:t>
          </w:r>
          <w:r w:rsidRPr="00125D89">
            <w:rPr>
              <w:rFonts w:ascii="Century Gothic" w:hAnsi="Century Gothic"/>
              <w:b/>
              <w:noProof/>
              <w:color w:val="392B13"/>
            </w:rPr>
            <w:fldChar w:fldCharType="end"/>
          </w:r>
        </w:p>
      </w:tc>
    </w:tr>
  </w:tbl>
  <w:p w14:paraId="483BB0D2" w14:textId="561139D6" w:rsidR="00A332D5" w:rsidRDefault="00A332D5" w:rsidP="00E60E58">
    <w:pPr>
      <w:pStyle w:val="Footer"/>
      <w:spacing w:line="180" w:lineRule="exact"/>
    </w:pPr>
  </w:p>
  <w:p w14:paraId="4C8F49CB" w14:textId="07AB4FA9" w:rsidR="00A332D5" w:rsidRDefault="00A332D5" w:rsidP="00A332D5">
    <w:pPr>
      <w:pStyle w:val="Footer"/>
      <w:spacing w:line="180" w:lineRule="exact"/>
    </w:pPr>
  </w:p>
  <w:p w14:paraId="73BC1697" w14:textId="701A028C" w:rsidR="00CC35E8" w:rsidRPr="00125D89" w:rsidRDefault="00CC35E8" w:rsidP="00CC35E8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3A1A4E">
      <w:rPr>
        <w:rFonts w:ascii="Arial" w:hAnsi="Arial" w:cs="Arial"/>
        <w:sz w:val="16"/>
      </w:rPr>
      <w:t>4900-2126-0419,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529" w14:textId="77777777" w:rsidR="00A332D5" w:rsidRDefault="00A33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6C7A" w14:textId="77777777" w:rsidR="003E4DC2" w:rsidRDefault="003E4DC2" w:rsidP="00A332D5">
      <w:r>
        <w:separator/>
      </w:r>
    </w:p>
  </w:footnote>
  <w:footnote w:type="continuationSeparator" w:id="0">
    <w:p w14:paraId="44F4EEEE" w14:textId="77777777" w:rsidR="003E4DC2" w:rsidRDefault="003E4DC2" w:rsidP="00A3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FE37" w14:textId="77777777" w:rsidR="00A332D5" w:rsidRDefault="00A33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A123" w14:textId="77777777" w:rsidR="00A332D5" w:rsidRDefault="00A33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5B5B" w14:textId="77777777" w:rsidR="00A332D5" w:rsidRDefault="00A33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C0D2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996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D2D3F"/>
    <w:multiLevelType w:val="hybridMultilevel"/>
    <w:tmpl w:val="F6362222"/>
    <w:lvl w:ilvl="0" w:tplc="ACCEFD00">
      <w:start w:val="1"/>
      <w:numFmt w:val="bullet"/>
      <w:lvlText w:val="›"/>
      <w:lvlJc w:val="left"/>
      <w:pPr>
        <w:ind w:left="720" w:hanging="360"/>
      </w:pPr>
      <w:rPr>
        <w:rFonts w:ascii="Gotham Bold" w:hAnsi="Gotham Bold" w:hint="default"/>
        <w:b/>
        <w:i w:val="0"/>
        <w:color w:val="71C5E8"/>
        <w:sz w:val="4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36C20E">
      <w:start w:val="2"/>
      <w:numFmt w:val="bullet"/>
      <w:lvlText w:val="-"/>
      <w:lvlJc w:val="left"/>
      <w:pPr>
        <w:ind w:left="2160" w:hanging="360"/>
      </w:pPr>
      <w:rPr>
        <w:rFonts w:ascii="Aptos Narrow" w:eastAsia="Times New Roman" w:hAnsi="Aptos Narrow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1AF7"/>
    <w:multiLevelType w:val="hybridMultilevel"/>
    <w:tmpl w:val="74C0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4255"/>
    <w:multiLevelType w:val="hybridMultilevel"/>
    <w:tmpl w:val="28802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225E10"/>
    <w:multiLevelType w:val="hybridMultilevel"/>
    <w:tmpl w:val="03088B52"/>
    <w:lvl w:ilvl="0" w:tplc="AD0658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D159D"/>
    <w:multiLevelType w:val="hybridMultilevel"/>
    <w:tmpl w:val="DD4E9E20"/>
    <w:lvl w:ilvl="0" w:tplc="ACCEFD00">
      <w:start w:val="1"/>
      <w:numFmt w:val="bullet"/>
      <w:lvlText w:val="›"/>
      <w:lvlJc w:val="left"/>
      <w:pPr>
        <w:ind w:left="720" w:hanging="360"/>
      </w:pPr>
      <w:rPr>
        <w:rFonts w:ascii="Gotham Bold" w:hAnsi="Gotham Bold" w:hint="default"/>
        <w:b/>
        <w:i w:val="0"/>
        <w:color w:val="71C5E8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770E"/>
    <w:multiLevelType w:val="hybridMultilevel"/>
    <w:tmpl w:val="68027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310D4"/>
    <w:multiLevelType w:val="hybridMultilevel"/>
    <w:tmpl w:val="B364870A"/>
    <w:lvl w:ilvl="0" w:tplc="ACCEFD00">
      <w:start w:val="1"/>
      <w:numFmt w:val="bullet"/>
      <w:lvlText w:val="›"/>
      <w:lvlJc w:val="left"/>
      <w:pPr>
        <w:ind w:left="720" w:hanging="360"/>
      </w:pPr>
      <w:rPr>
        <w:rFonts w:ascii="Gotham Bold" w:hAnsi="Gotham Bold" w:hint="default"/>
        <w:b/>
        <w:i w:val="0"/>
        <w:color w:val="71C5E8"/>
        <w:sz w:val="4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60756"/>
    <w:multiLevelType w:val="hybridMultilevel"/>
    <w:tmpl w:val="1EB8B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C9195B"/>
    <w:multiLevelType w:val="hybridMultilevel"/>
    <w:tmpl w:val="E5A0CA8C"/>
    <w:lvl w:ilvl="0" w:tplc="ACCEFD00">
      <w:start w:val="1"/>
      <w:numFmt w:val="bullet"/>
      <w:lvlText w:val="›"/>
      <w:lvlJc w:val="left"/>
      <w:pPr>
        <w:ind w:left="720" w:hanging="360"/>
      </w:pPr>
      <w:rPr>
        <w:rFonts w:ascii="Gotham Bold" w:hAnsi="Gotham Bold" w:hint="default"/>
        <w:b/>
        <w:i w:val="0"/>
        <w:color w:val="71C5E8"/>
        <w:sz w:val="4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19278">
    <w:abstractNumId w:val="6"/>
  </w:num>
  <w:num w:numId="2" w16cid:durableId="2078823802">
    <w:abstractNumId w:val="2"/>
  </w:num>
  <w:num w:numId="3" w16cid:durableId="826288588">
    <w:abstractNumId w:val="10"/>
  </w:num>
  <w:num w:numId="4" w16cid:durableId="1209028948">
    <w:abstractNumId w:val="8"/>
  </w:num>
  <w:num w:numId="5" w16cid:durableId="154956722">
    <w:abstractNumId w:val="0"/>
  </w:num>
  <w:num w:numId="6" w16cid:durableId="1291012713">
    <w:abstractNumId w:val="1"/>
  </w:num>
  <w:num w:numId="7" w16cid:durableId="2078942505">
    <w:abstractNumId w:val="5"/>
  </w:num>
  <w:num w:numId="8" w16cid:durableId="687146548">
    <w:abstractNumId w:val="3"/>
  </w:num>
  <w:num w:numId="9" w16cid:durableId="1588998326">
    <w:abstractNumId w:val="9"/>
  </w:num>
  <w:num w:numId="10" w16cid:durableId="327439579">
    <w:abstractNumId w:val="4"/>
  </w:num>
  <w:num w:numId="11" w16cid:durableId="1279800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00-2126-0419, v. 1"/>
    <w:docVar w:name="ndGeneratedStampLocation" w:val="ExceptFirst"/>
  </w:docVars>
  <w:rsids>
    <w:rsidRoot w:val="00A332D5"/>
    <w:rsid w:val="00083F61"/>
    <w:rsid w:val="000D256F"/>
    <w:rsid w:val="0010722B"/>
    <w:rsid w:val="00181901"/>
    <w:rsid w:val="00193DF0"/>
    <w:rsid w:val="001B6B45"/>
    <w:rsid w:val="00324FF9"/>
    <w:rsid w:val="00352FC8"/>
    <w:rsid w:val="003A1A4E"/>
    <w:rsid w:val="003D0C94"/>
    <w:rsid w:val="003E4DC2"/>
    <w:rsid w:val="003F319E"/>
    <w:rsid w:val="00413952"/>
    <w:rsid w:val="00484ED4"/>
    <w:rsid w:val="004B7DAD"/>
    <w:rsid w:val="004E6C85"/>
    <w:rsid w:val="0052349C"/>
    <w:rsid w:val="005C0884"/>
    <w:rsid w:val="007B2AEB"/>
    <w:rsid w:val="00846AC2"/>
    <w:rsid w:val="00897862"/>
    <w:rsid w:val="0094439A"/>
    <w:rsid w:val="0097755D"/>
    <w:rsid w:val="00984C52"/>
    <w:rsid w:val="00A324D1"/>
    <w:rsid w:val="00A332D5"/>
    <w:rsid w:val="00AE0F12"/>
    <w:rsid w:val="00AF737A"/>
    <w:rsid w:val="00B14B94"/>
    <w:rsid w:val="00BE30C2"/>
    <w:rsid w:val="00C02B02"/>
    <w:rsid w:val="00CA5EFA"/>
    <w:rsid w:val="00CC2B27"/>
    <w:rsid w:val="00CC35E8"/>
    <w:rsid w:val="00D643C1"/>
    <w:rsid w:val="00D70EB1"/>
    <w:rsid w:val="00D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8EC0"/>
  <w15:chartTrackingRefBased/>
  <w15:docId w15:val="{5AC9BCF2-F338-43F8-BDC5-8D3006F9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D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D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D5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083F6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Glenn</dc:creator>
  <cp:keywords/>
  <dc:description/>
  <cp:lastModifiedBy>Trisha Layden</cp:lastModifiedBy>
  <cp:revision>2</cp:revision>
  <cp:lastPrinted>2025-10-16T20:36:00Z</cp:lastPrinted>
  <dcterms:created xsi:type="dcterms:W3CDTF">2025-12-18T17:50:00Z</dcterms:created>
  <dcterms:modified xsi:type="dcterms:W3CDTF">2025-12-18T17:50:00Z</dcterms:modified>
</cp:coreProperties>
</file>