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EAD7" w14:textId="36E773A0" w:rsidR="00C53A80" w:rsidRPr="00C53A80" w:rsidRDefault="00C53A80" w:rsidP="00C53A80">
      <w:pPr>
        <w:jc w:val="center"/>
        <w:rPr>
          <w:rFonts w:ascii="Century Gothic" w:hAnsi="Century Gothic"/>
          <w:b/>
          <w:color w:val="002453"/>
          <w:sz w:val="28"/>
          <w:szCs w:val="28"/>
        </w:rPr>
      </w:pPr>
      <w:r>
        <w:rPr>
          <w:rFonts w:ascii="Century Gothic" w:hAnsi="Century Gothic"/>
          <w:b/>
          <w:noProof/>
          <w:color w:val="002453"/>
          <w:sz w:val="28"/>
          <w:szCs w:val="28"/>
          <w14:ligatures w14:val="standardContextual"/>
        </w:rPr>
        <w:drawing>
          <wp:inline distT="0" distB="0" distL="0" distR="0" wp14:anchorId="684B9844" wp14:editId="16D368BD">
            <wp:extent cx="3631117" cy="1287780"/>
            <wp:effectExtent l="0" t="0" r="7620" b="7620"/>
            <wp:docPr id="1608066641"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66641" name="Picture 2" descr="A logo for a company&#10;&#10;AI-generated content may be incorrect."/>
                    <pic:cNvPicPr/>
                  </pic:nvPicPr>
                  <pic:blipFill rotWithShape="1">
                    <a:blip r:embed="rId7">
                      <a:extLst>
                        <a:ext uri="{28A0092B-C50C-407E-A947-70E740481C1C}">
                          <a14:useLocalDpi xmlns:a14="http://schemas.microsoft.com/office/drawing/2010/main" val="0"/>
                        </a:ext>
                      </a:extLst>
                    </a:blip>
                    <a:srcRect l="19840" t="28640" r="25120" b="51840"/>
                    <a:stretch>
                      <a:fillRect/>
                    </a:stretch>
                  </pic:blipFill>
                  <pic:spPr bwMode="auto">
                    <a:xfrm>
                      <a:off x="0" y="0"/>
                      <a:ext cx="3639704" cy="1290826"/>
                    </a:xfrm>
                    <a:prstGeom prst="rect">
                      <a:avLst/>
                    </a:prstGeom>
                    <a:ln>
                      <a:noFill/>
                    </a:ln>
                    <a:extLst>
                      <a:ext uri="{53640926-AAD7-44D8-BBD7-CCE9431645EC}">
                        <a14:shadowObscured xmlns:a14="http://schemas.microsoft.com/office/drawing/2010/main"/>
                      </a:ext>
                    </a:extLst>
                  </pic:spPr>
                </pic:pic>
              </a:graphicData>
            </a:graphic>
          </wp:inline>
        </w:drawing>
      </w:r>
    </w:p>
    <w:p w14:paraId="512431ED" w14:textId="77777777" w:rsidR="00A332D5" w:rsidRPr="00E0058D" w:rsidRDefault="00A332D5" w:rsidP="00A332D5">
      <w:pPr>
        <w:jc w:val="center"/>
        <w:rPr>
          <w:rFonts w:ascii="Century Gothic" w:hAnsi="Century Gothic"/>
          <w:b/>
          <w:color w:val="002453"/>
          <w:sz w:val="24"/>
          <w:szCs w:val="24"/>
        </w:rPr>
      </w:pPr>
    </w:p>
    <w:p w14:paraId="617B497A" w14:textId="231C9400" w:rsidR="0008790B" w:rsidRDefault="00D22EA1" w:rsidP="00A332D5">
      <w:pPr>
        <w:jc w:val="center"/>
        <w:rPr>
          <w:rFonts w:ascii="Century Gothic" w:hAnsi="Century Gothic"/>
          <w:b/>
          <w:color w:val="002453"/>
          <w:sz w:val="32"/>
          <w:szCs w:val="32"/>
        </w:rPr>
      </w:pPr>
      <w:bookmarkStart w:id="0" w:name="_Hlk216881158"/>
      <w:r w:rsidRPr="005C0884">
        <w:rPr>
          <w:rFonts w:ascii="Century Gothic" w:hAnsi="Century Gothic"/>
          <w:b/>
          <w:color w:val="002453"/>
          <w:sz w:val="32"/>
          <w:szCs w:val="32"/>
        </w:rPr>
        <w:t>D</w:t>
      </w:r>
      <w:r>
        <w:rPr>
          <w:rFonts w:ascii="Century Gothic" w:hAnsi="Century Gothic"/>
          <w:b/>
          <w:color w:val="002453"/>
          <w:sz w:val="32"/>
          <w:szCs w:val="32"/>
        </w:rPr>
        <w:t>iversity, Equity, and Inclusion Legal Strategies (</w:t>
      </w:r>
      <w:r w:rsidR="0008790B" w:rsidRPr="0008790B">
        <w:rPr>
          <w:rFonts w:ascii="Century Gothic" w:hAnsi="Century Gothic"/>
          <w:b/>
          <w:color w:val="002453"/>
          <w:sz w:val="32"/>
          <w:szCs w:val="32"/>
        </w:rPr>
        <w:t>DEILS</w:t>
      </w:r>
      <w:r>
        <w:rPr>
          <w:rFonts w:ascii="Century Gothic" w:hAnsi="Century Gothic"/>
          <w:b/>
          <w:color w:val="002453"/>
          <w:sz w:val="32"/>
          <w:szCs w:val="32"/>
        </w:rPr>
        <w:t>)</w:t>
      </w:r>
      <w:r w:rsidR="0008790B" w:rsidRPr="0008790B">
        <w:rPr>
          <w:rFonts w:ascii="Century Gothic" w:hAnsi="Century Gothic"/>
          <w:b/>
          <w:color w:val="002453"/>
          <w:sz w:val="32"/>
          <w:szCs w:val="32"/>
        </w:rPr>
        <w:t xml:space="preserve">: </w:t>
      </w:r>
      <w:r>
        <w:rPr>
          <w:rFonts w:ascii="Century Gothic" w:hAnsi="Century Gothic"/>
          <w:b/>
          <w:color w:val="002453"/>
          <w:sz w:val="32"/>
          <w:szCs w:val="32"/>
        </w:rPr>
        <w:br/>
      </w:r>
      <w:r w:rsidR="0008790B" w:rsidRPr="0008790B">
        <w:rPr>
          <w:rFonts w:ascii="Century Gothic" w:hAnsi="Century Gothic"/>
          <w:b/>
          <w:color w:val="002453"/>
          <w:sz w:val="32"/>
          <w:szCs w:val="32"/>
        </w:rPr>
        <w:t>Legal Risk Audit</w:t>
      </w:r>
      <w:r w:rsidR="00274FC7">
        <w:rPr>
          <w:rFonts w:ascii="Century Gothic" w:hAnsi="Century Gothic"/>
          <w:b/>
          <w:color w:val="002453"/>
          <w:sz w:val="32"/>
          <w:szCs w:val="32"/>
        </w:rPr>
        <w:t>s</w:t>
      </w:r>
      <w:bookmarkEnd w:id="0"/>
    </w:p>
    <w:p w14:paraId="5C294E57" w14:textId="77777777" w:rsidR="00A332D5" w:rsidRDefault="00A332D5" w:rsidP="00A332D5">
      <w:pPr>
        <w:pBdr>
          <w:bottom w:val="single" w:sz="12" w:space="1" w:color="71C5E8"/>
        </w:pBdr>
        <w:rPr>
          <w:rFonts w:ascii="Century Gothic" w:hAnsi="Century Gothic"/>
          <w:b/>
          <w:color w:val="002453"/>
          <w:sz w:val="28"/>
          <w:szCs w:val="28"/>
        </w:rPr>
      </w:pPr>
    </w:p>
    <w:p w14:paraId="37AF4DFA" w14:textId="77777777" w:rsidR="00A332D5" w:rsidRPr="00586B7F" w:rsidRDefault="00A332D5" w:rsidP="004B7DAD">
      <w:pPr>
        <w:pBdr>
          <w:bottom w:val="single" w:sz="12" w:space="1" w:color="71C5E8"/>
        </w:pBdr>
        <w:jc w:val="both"/>
        <w:rPr>
          <w:rFonts w:ascii="Century Gothic" w:hAnsi="Century Gothic"/>
          <w:b/>
          <w:color w:val="002453"/>
          <w:sz w:val="28"/>
          <w:szCs w:val="28"/>
        </w:rPr>
      </w:pPr>
      <w:r w:rsidRPr="00586B7F">
        <w:rPr>
          <w:rFonts w:ascii="Century Gothic" w:hAnsi="Century Gothic"/>
          <w:b/>
          <w:color w:val="002453"/>
          <w:sz w:val="28"/>
          <w:szCs w:val="28"/>
        </w:rPr>
        <w:t>OVERVIEW</w:t>
      </w:r>
    </w:p>
    <w:p w14:paraId="5B4F38A6" w14:textId="77777777" w:rsidR="00A332D5" w:rsidRPr="004035D9" w:rsidRDefault="00A332D5" w:rsidP="004B7DAD">
      <w:pPr>
        <w:jc w:val="both"/>
        <w:rPr>
          <w:rFonts w:ascii="Century Gothic" w:hAnsi="Century Gothic"/>
          <w:b/>
          <w:color w:val="002453"/>
        </w:rPr>
      </w:pPr>
    </w:p>
    <w:p w14:paraId="4C76DCD3" w14:textId="580108A0" w:rsidR="00274FC7" w:rsidRPr="001F3811" w:rsidRDefault="00274FC7" w:rsidP="004B7DAD">
      <w:pPr>
        <w:jc w:val="both"/>
        <w:rPr>
          <w:rFonts w:ascii="Century Gothic" w:hAnsi="Century Gothic"/>
          <w:b/>
          <w:color w:val="002453"/>
          <w:sz w:val="28"/>
          <w:szCs w:val="28"/>
        </w:rPr>
      </w:pPr>
      <w:r w:rsidRPr="00C65056">
        <w:rPr>
          <w:rFonts w:ascii="Century Gothic" w:eastAsia="Calibri" w:hAnsi="Century Gothic" w:cs="Times New Roman"/>
          <w:color w:val="002453"/>
          <w:sz w:val="20"/>
          <w:szCs w:val="20"/>
        </w:rPr>
        <w:t>As corporations face increased scrutiny from regulators, shareholders, employees and the public, conducting a proactive DEI Legal Risk Audit provides critical insight into compliance exposure</w:t>
      </w:r>
      <w:r>
        <w:rPr>
          <w:rFonts w:ascii="Century Gothic" w:eastAsia="Calibri" w:hAnsi="Century Gothic" w:cs="Times New Roman"/>
          <w:color w:val="002453"/>
          <w:sz w:val="20"/>
          <w:szCs w:val="20"/>
        </w:rPr>
        <w:t xml:space="preserve"> and</w:t>
      </w:r>
      <w:r w:rsidRPr="00C65056">
        <w:rPr>
          <w:rFonts w:ascii="Century Gothic" w:eastAsia="Calibri" w:hAnsi="Century Gothic" w:cs="Times New Roman"/>
          <w:color w:val="002453"/>
          <w:sz w:val="20"/>
          <w:szCs w:val="20"/>
        </w:rPr>
        <w:t xml:space="preserve"> organizational culture across the employment lifecycle. NFC’s DEILS Practice Group will assess existing policies, practices, and outcomes to identify potential legal vulnerabilities and provide actionable recommendations to mitigate risk.</w:t>
      </w:r>
    </w:p>
    <w:p w14:paraId="6892B15D" w14:textId="77777777" w:rsidR="00A332D5" w:rsidRDefault="00A332D5" w:rsidP="004B7DAD">
      <w:pPr>
        <w:jc w:val="both"/>
        <w:rPr>
          <w:rFonts w:ascii="Century Gothic" w:hAnsi="Century Gothic"/>
          <w:color w:val="002453"/>
        </w:rPr>
      </w:pPr>
    </w:p>
    <w:p w14:paraId="25C609BA" w14:textId="5A449C08" w:rsidR="00A332D5" w:rsidRPr="00586B7F" w:rsidRDefault="00274FC7" w:rsidP="004B7DAD">
      <w:pPr>
        <w:pBdr>
          <w:bottom w:val="single" w:sz="12" w:space="1" w:color="71C5E8"/>
        </w:pBdr>
        <w:jc w:val="both"/>
        <w:rPr>
          <w:rFonts w:ascii="Century Gothic" w:hAnsi="Century Gothic"/>
          <w:b/>
          <w:color w:val="002453"/>
          <w:sz w:val="28"/>
          <w:szCs w:val="28"/>
        </w:rPr>
      </w:pPr>
      <w:r>
        <w:rPr>
          <w:rFonts w:ascii="Century Gothic" w:hAnsi="Century Gothic"/>
          <w:b/>
          <w:color w:val="002453"/>
          <w:sz w:val="28"/>
          <w:szCs w:val="28"/>
        </w:rPr>
        <w:t xml:space="preserve">OBJECTIVES </w:t>
      </w:r>
    </w:p>
    <w:p w14:paraId="7AAE41F3" w14:textId="77777777" w:rsidR="003F319E" w:rsidRPr="00B00A30" w:rsidRDefault="003F319E" w:rsidP="003F319E">
      <w:pPr>
        <w:keepNext/>
        <w:ind w:left="720"/>
        <w:contextualSpacing/>
        <w:jc w:val="both"/>
        <w:rPr>
          <w:rFonts w:ascii="Century Gothic" w:eastAsia="Calibri" w:hAnsi="Century Gothic" w:cs="Times New Roman"/>
          <w:color w:val="002453"/>
          <w:sz w:val="20"/>
          <w:szCs w:val="20"/>
          <w:u w:val="single"/>
        </w:rPr>
      </w:pPr>
    </w:p>
    <w:p w14:paraId="28E88A61" w14:textId="094EAB82" w:rsidR="00C65056" w:rsidRPr="00C65056" w:rsidRDefault="00C65056" w:rsidP="00C65056">
      <w:pPr>
        <w:pStyle w:val="ListParagraph"/>
        <w:numPr>
          <w:ilvl w:val="0"/>
          <w:numId w:val="13"/>
        </w:numPr>
        <w:rPr>
          <w:rFonts w:ascii="Century Gothic" w:hAnsi="Century Gothic"/>
          <w:color w:val="002060"/>
          <w:sz w:val="20"/>
          <w:szCs w:val="20"/>
        </w:rPr>
      </w:pPr>
      <w:r w:rsidRPr="00C65056">
        <w:rPr>
          <w:rFonts w:ascii="Century Gothic" w:hAnsi="Century Gothic"/>
          <w:color w:val="002060"/>
          <w:sz w:val="20"/>
          <w:szCs w:val="20"/>
        </w:rPr>
        <w:t>Evaluate DEI-related legal compliance issues across recruitment, hiring, promotion, compensation, and termination.</w:t>
      </w:r>
    </w:p>
    <w:p w14:paraId="7C1181B4" w14:textId="77777777" w:rsidR="00C65056" w:rsidRPr="00C65056" w:rsidRDefault="00C65056" w:rsidP="00C65056">
      <w:pPr>
        <w:pStyle w:val="ListParagraph"/>
        <w:numPr>
          <w:ilvl w:val="0"/>
          <w:numId w:val="13"/>
        </w:numPr>
        <w:rPr>
          <w:rFonts w:ascii="Century Gothic" w:hAnsi="Century Gothic"/>
          <w:color w:val="002060"/>
          <w:sz w:val="20"/>
          <w:szCs w:val="20"/>
        </w:rPr>
      </w:pPr>
      <w:r w:rsidRPr="00C65056">
        <w:rPr>
          <w:rFonts w:ascii="Century Gothic" w:hAnsi="Century Gothic"/>
          <w:color w:val="002060"/>
          <w:sz w:val="20"/>
          <w:szCs w:val="20"/>
        </w:rPr>
        <w:t>Identify potential areas of legal exposure under federal, state, and local anti-discrimination laws.</w:t>
      </w:r>
    </w:p>
    <w:p w14:paraId="46A9C7C2" w14:textId="77777777" w:rsidR="00C65056" w:rsidRPr="00C65056" w:rsidRDefault="00C65056" w:rsidP="00C65056">
      <w:pPr>
        <w:pStyle w:val="ListParagraph"/>
        <w:numPr>
          <w:ilvl w:val="0"/>
          <w:numId w:val="13"/>
        </w:numPr>
        <w:rPr>
          <w:rFonts w:ascii="Century Gothic" w:hAnsi="Century Gothic"/>
          <w:color w:val="002060"/>
          <w:sz w:val="20"/>
          <w:szCs w:val="20"/>
        </w:rPr>
      </w:pPr>
      <w:r w:rsidRPr="00C65056">
        <w:rPr>
          <w:rFonts w:ascii="Century Gothic" w:hAnsi="Century Gothic"/>
          <w:color w:val="002060"/>
          <w:sz w:val="20"/>
          <w:szCs w:val="20"/>
        </w:rPr>
        <w:t>Provide strategic recommendations to reduce risk and increase inclusion.</w:t>
      </w:r>
    </w:p>
    <w:p w14:paraId="7A613092" w14:textId="77777777" w:rsidR="00C65056" w:rsidRPr="00C65056" w:rsidRDefault="00C65056" w:rsidP="00C65056">
      <w:pPr>
        <w:pStyle w:val="ListParagraph"/>
        <w:numPr>
          <w:ilvl w:val="0"/>
          <w:numId w:val="13"/>
        </w:numPr>
        <w:rPr>
          <w:rFonts w:ascii="Century Gothic" w:hAnsi="Century Gothic"/>
          <w:color w:val="002060"/>
          <w:sz w:val="20"/>
          <w:szCs w:val="20"/>
        </w:rPr>
      </w:pPr>
      <w:r w:rsidRPr="00C65056">
        <w:rPr>
          <w:rFonts w:ascii="Century Gothic" w:hAnsi="Century Gothic"/>
          <w:color w:val="002060"/>
          <w:sz w:val="20"/>
          <w:szCs w:val="20"/>
        </w:rPr>
        <w:t>Support senior leadership and board-level oversight through training and education on evolving DEI legal landscape.</w:t>
      </w:r>
    </w:p>
    <w:p w14:paraId="734865C1" w14:textId="77777777" w:rsidR="003F319E" w:rsidRDefault="003F319E" w:rsidP="003A1A4E">
      <w:pPr>
        <w:pStyle w:val="ListParagraph"/>
        <w:tabs>
          <w:tab w:val="left" w:pos="2604"/>
        </w:tabs>
        <w:spacing w:line="259" w:lineRule="auto"/>
        <w:ind w:left="1800"/>
        <w:jc w:val="both"/>
        <w:rPr>
          <w:rFonts w:ascii="Century Gothic" w:hAnsi="Century Gothic"/>
          <w:color w:val="002060"/>
          <w:sz w:val="20"/>
          <w:szCs w:val="20"/>
        </w:rPr>
      </w:pPr>
    </w:p>
    <w:p w14:paraId="27BE3307" w14:textId="77777777" w:rsidR="00C65056" w:rsidRDefault="00C65056" w:rsidP="003A1A4E">
      <w:pPr>
        <w:pStyle w:val="ListParagraph"/>
        <w:tabs>
          <w:tab w:val="left" w:pos="2604"/>
        </w:tabs>
        <w:spacing w:line="259" w:lineRule="auto"/>
        <w:ind w:left="1800"/>
        <w:jc w:val="both"/>
        <w:rPr>
          <w:rFonts w:ascii="Century Gothic" w:hAnsi="Century Gothic"/>
          <w:color w:val="002060"/>
          <w:sz w:val="20"/>
          <w:szCs w:val="20"/>
        </w:rPr>
      </w:pPr>
    </w:p>
    <w:p w14:paraId="697E1997" w14:textId="2A16587E" w:rsidR="003F319E" w:rsidRPr="003F319E" w:rsidRDefault="00274FC7" w:rsidP="00D22EA1">
      <w:pPr>
        <w:pBdr>
          <w:bottom w:val="single" w:sz="12" w:space="1" w:color="71C5E8"/>
        </w:pBdr>
        <w:ind w:left="360" w:hanging="360"/>
        <w:rPr>
          <w:rFonts w:ascii="Century Gothic" w:hAnsi="Century Gothic"/>
          <w:b/>
          <w:color w:val="002453"/>
          <w:sz w:val="28"/>
          <w:szCs w:val="28"/>
        </w:rPr>
      </w:pPr>
      <w:r>
        <w:rPr>
          <w:rFonts w:ascii="Century Gothic" w:hAnsi="Century Gothic"/>
          <w:b/>
          <w:color w:val="002453"/>
          <w:sz w:val="28"/>
          <w:szCs w:val="28"/>
        </w:rPr>
        <w:t>DELIVERABLE</w:t>
      </w:r>
      <w:r w:rsidR="009426B6">
        <w:rPr>
          <w:rFonts w:ascii="Century Gothic" w:hAnsi="Century Gothic"/>
          <w:b/>
          <w:color w:val="002453"/>
          <w:sz w:val="28"/>
          <w:szCs w:val="28"/>
        </w:rPr>
        <w:t>S</w:t>
      </w:r>
    </w:p>
    <w:p w14:paraId="5E946E9C" w14:textId="77777777" w:rsidR="00D22EA1" w:rsidRDefault="00D22EA1" w:rsidP="00D22EA1">
      <w:pPr>
        <w:keepNext/>
        <w:ind w:left="720"/>
        <w:contextualSpacing/>
        <w:jc w:val="both"/>
        <w:rPr>
          <w:rFonts w:ascii="Century Gothic" w:hAnsi="Century Gothic"/>
          <w:color w:val="002060"/>
          <w:sz w:val="20"/>
          <w:szCs w:val="20"/>
        </w:rPr>
      </w:pPr>
    </w:p>
    <w:p w14:paraId="5BFDCB27" w14:textId="5D9D0375" w:rsidR="00C65056" w:rsidRPr="00C65056" w:rsidRDefault="00C65056" w:rsidP="00C65056">
      <w:pPr>
        <w:pStyle w:val="ListParagraph"/>
        <w:numPr>
          <w:ilvl w:val="0"/>
          <w:numId w:val="13"/>
        </w:numPr>
        <w:rPr>
          <w:rFonts w:ascii="Century Gothic" w:hAnsi="Century Gothic"/>
          <w:color w:val="002060"/>
          <w:sz w:val="20"/>
          <w:szCs w:val="20"/>
        </w:rPr>
      </w:pPr>
      <w:r w:rsidRPr="00C53A80">
        <w:rPr>
          <w:rFonts w:ascii="Century Gothic" w:hAnsi="Century Gothic"/>
          <w:b/>
          <w:bCs/>
          <w:color w:val="002060"/>
          <w:sz w:val="20"/>
          <w:szCs w:val="20"/>
        </w:rPr>
        <w:t>Legal Exposure Memorandum</w:t>
      </w:r>
      <w:r w:rsidR="009426B6">
        <w:rPr>
          <w:rFonts w:ascii="Century Gothic" w:hAnsi="Century Gothic"/>
          <w:color w:val="002060"/>
          <w:sz w:val="20"/>
          <w:szCs w:val="20"/>
        </w:rPr>
        <w:t>:</w:t>
      </w:r>
      <w:r w:rsidRPr="00C65056">
        <w:rPr>
          <w:rFonts w:ascii="Century Gothic" w:hAnsi="Century Gothic"/>
          <w:color w:val="002060"/>
          <w:sz w:val="20"/>
          <w:szCs w:val="20"/>
        </w:rPr>
        <w:t xml:space="preserve"> Identification of potential risks and exposure by employment phase.</w:t>
      </w:r>
    </w:p>
    <w:p w14:paraId="32677D12" w14:textId="6B9A7D50" w:rsidR="00C65056" w:rsidRPr="00C65056" w:rsidRDefault="00C65056" w:rsidP="00C65056">
      <w:pPr>
        <w:pStyle w:val="ListParagraph"/>
        <w:numPr>
          <w:ilvl w:val="0"/>
          <w:numId w:val="13"/>
        </w:numPr>
        <w:rPr>
          <w:rFonts w:ascii="Century Gothic" w:hAnsi="Century Gothic"/>
          <w:color w:val="002060"/>
          <w:sz w:val="20"/>
          <w:szCs w:val="20"/>
        </w:rPr>
      </w:pPr>
      <w:r w:rsidRPr="00C53A80">
        <w:rPr>
          <w:rFonts w:ascii="Century Gothic" w:hAnsi="Century Gothic"/>
          <w:b/>
          <w:bCs/>
          <w:color w:val="002060"/>
          <w:sz w:val="20"/>
          <w:szCs w:val="20"/>
        </w:rPr>
        <w:t>Recommendations Report</w:t>
      </w:r>
      <w:r w:rsidR="009426B6">
        <w:rPr>
          <w:rFonts w:ascii="Century Gothic" w:hAnsi="Century Gothic"/>
          <w:color w:val="002060"/>
          <w:sz w:val="20"/>
          <w:szCs w:val="20"/>
        </w:rPr>
        <w:t>:</w:t>
      </w:r>
      <w:r w:rsidRPr="00C65056">
        <w:rPr>
          <w:rFonts w:ascii="Century Gothic" w:hAnsi="Century Gothic"/>
          <w:color w:val="002060"/>
          <w:sz w:val="20"/>
          <w:szCs w:val="20"/>
        </w:rPr>
        <w:t xml:space="preserve"> Tailored mitigation strategies and compliance roadmap.</w:t>
      </w:r>
    </w:p>
    <w:p w14:paraId="4735F694" w14:textId="72EFB73F" w:rsidR="00C65056" w:rsidRPr="00C65056" w:rsidRDefault="00C65056" w:rsidP="00C65056">
      <w:pPr>
        <w:pStyle w:val="ListParagraph"/>
        <w:numPr>
          <w:ilvl w:val="0"/>
          <w:numId w:val="13"/>
        </w:numPr>
        <w:rPr>
          <w:rFonts w:ascii="Century Gothic" w:hAnsi="Century Gothic"/>
          <w:color w:val="002060"/>
          <w:sz w:val="20"/>
          <w:szCs w:val="20"/>
        </w:rPr>
      </w:pPr>
      <w:r w:rsidRPr="00C53A80">
        <w:rPr>
          <w:rFonts w:ascii="Century Gothic" w:hAnsi="Century Gothic"/>
          <w:b/>
          <w:bCs/>
          <w:color w:val="002060"/>
          <w:sz w:val="20"/>
          <w:szCs w:val="20"/>
        </w:rPr>
        <w:t>DEI Climate Survey &amp; Investigation Report</w:t>
      </w:r>
      <w:r w:rsidR="009426B6">
        <w:rPr>
          <w:rFonts w:ascii="Century Gothic" w:hAnsi="Century Gothic"/>
          <w:color w:val="002060"/>
          <w:sz w:val="20"/>
          <w:szCs w:val="20"/>
        </w:rPr>
        <w:t xml:space="preserve">: </w:t>
      </w:r>
      <w:r w:rsidRPr="00C65056">
        <w:rPr>
          <w:rFonts w:ascii="Century Gothic" w:hAnsi="Century Gothic"/>
          <w:color w:val="002060"/>
          <w:sz w:val="20"/>
          <w:szCs w:val="20"/>
        </w:rPr>
        <w:t>Quantitative and qualitative assessment of employee sentiment.</w:t>
      </w:r>
    </w:p>
    <w:p w14:paraId="7C4159D6" w14:textId="7155D4EF" w:rsidR="00C65056" w:rsidRPr="00C65056" w:rsidRDefault="00C65056" w:rsidP="00C65056">
      <w:pPr>
        <w:pStyle w:val="ListParagraph"/>
        <w:numPr>
          <w:ilvl w:val="0"/>
          <w:numId w:val="13"/>
        </w:numPr>
        <w:rPr>
          <w:rFonts w:ascii="Century Gothic" w:hAnsi="Century Gothic"/>
          <w:color w:val="002060"/>
          <w:sz w:val="20"/>
          <w:szCs w:val="20"/>
        </w:rPr>
      </w:pPr>
      <w:r w:rsidRPr="00C53A80">
        <w:rPr>
          <w:rFonts w:ascii="Century Gothic" w:hAnsi="Century Gothic"/>
          <w:b/>
          <w:bCs/>
          <w:color w:val="002060"/>
          <w:sz w:val="20"/>
          <w:szCs w:val="20"/>
        </w:rPr>
        <w:t>Disparate Impact Analysis</w:t>
      </w:r>
      <w:r w:rsidR="009426B6">
        <w:rPr>
          <w:rFonts w:ascii="Century Gothic" w:hAnsi="Century Gothic"/>
          <w:color w:val="002060"/>
          <w:sz w:val="20"/>
          <w:szCs w:val="20"/>
        </w:rPr>
        <w:t xml:space="preserve">: </w:t>
      </w:r>
      <w:r w:rsidRPr="00C65056">
        <w:rPr>
          <w:rFonts w:ascii="Century Gothic" w:hAnsi="Century Gothic"/>
          <w:color w:val="002060"/>
          <w:sz w:val="20"/>
          <w:szCs w:val="20"/>
        </w:rPr>
        <w:t>Statistical analysis across employment phases.</w:t>
      </w:r>
    </w:p>
    <w:p w14:paraId="72207148" w14:textId="04D6C825" w:rsidR="00C65056" w:rsidRPr="00C65056" w:rsidRDefault="00C65056" w:rsidP="00C65056">
      <w:pPr>
        <w:pStyle w:val="ListParagraph"/>
        <w:numPr>
          <w:ilvl w:val="0"/>
          <w:numId w:val="13"/>
        </w:numPr>
        <w:rPr>
          <w:rFonts w:ascii="Century Gothic" w:hAnsi="Century Gothic"/>
          <w:color w:val="002060"/>
          <w:sz w:val="20"/>
          <w:szCs w:val="20"/>
        </w:rPr>
      </w:pPr>
      <w:r w:rsidRPr="00C53A80">
        <w:rPr>
          <w:rFonts w:ascii="Century Gothic" w:hAnsi="Century Gothic"/>
          <w:b/>
          <w:bCs/>
          <w:color w:val="002060"/>
          <w:sz w:val="20"/>
          <w:szCs w:val="20"/>
        </w:rPr>
        <w:t>Governance &amp; Policy Assessment</w:t>
      </w:r>
      <w:r w:rsidR="009426B6">
        <w:rPr>
          <w:rFonts w:ascii="Century Gothic" w:hAnsi="Century Gothic"/>
          <w:color w:val="002060"/>
          <w:sz w:val="20"/>
          <w:szCs w:val="20"/>
        </w:rPr>
        <w:t>:</w:t>
      </w:r>
      <w:r w:rsidRPr="00C65056">
        <w:rPr>
          <w:rFonts w:ascii="Century Gothic" w:hAnsi="Century Gothic"/>
          <w:color w:val="002060"/>
          <w:sz w:val="20"/>
          <w:szCs w:val="20"/>
        </w:rPr>
        <w:t xml:space="preserve"> Review of internal DEI structures and accountability mechanisms.</w:t>
      </w:r>
    </w:p>
    <w:p w14:paraId="61A6D1D0" w14:textId="3EC8D589" w:rsidR="00C65056" w:rsidRPr="00C65056" w:rsidRDefault="00C65056" w:rsidP="00C65056">
      <w:pPr>
        <w:pStyle w:val="ListParagraph"/>
        <w:numPr>
          <w:ilvl w:val="0"/>
          <w:numId w:val="13"/>
        </w:numPr>
        <w:rPr>
          <w:rFonts w:ascii="Century Gothic" w:hAnsi="Century Gothic"/>
          <w:color w:val="002060"/>
          <w:sz w:val="20"/>
          <w:szCs w:val="20"/>
        </w:rPr>
      </w:pPr>
      <w:r w:rsidRPr="00C53A80">
        <w:rPr>
          <w:rFonts w:ascii="Century Gothic" w:hAnsi="Century Gothic"/>
          <w:b/>
          <w:bCs/>
          <w:color w:val="002060"/>
          <w:sz w:val="20"/>
          <w:szCs w:val="20"/>
        </w:rPr>
        <w:t>Executive &amp; Board Training</w:t>
      </w:r>
      <w:r w:rsidR="009426B6">
        <w:rPr>
          <w:rFonts w:ascii="Century Gothic" w:hAnsi="Century Gothic"/>
          <w:color w:val="002060"/>
          <w:sz w:val="20"/>
          <w:szCs w:val="20"/>
        </w:rPr>
        <w:t>:</w:t>
      </w:r>
      <w:r w:rsidRPr="00C65056">
        <w:rPr>
          <w:rFonts w:ascii="Century Gothic" w:hAnsi="Century Gothic"/>
          <w:color w:val="002060"/>
          <w:sz w:val="20"/>
          <w:szCs w:val="20"/>
        </w:rPr>
        <w:t xml:space="preserve"> Live or virtual training sessions on evolving DEI legal landscape and best practices for governance. </w:t>
      </w:r>
    </w:p>
    <w:p w14:paraId="57CBFFBD" w14:textId="5CB704B5" w:rsidR="00C65056" w:rsidRPr="00C65056" w:rsidRDefault="00C65056" w:rsidP="00C65056">
      <w:pPr>
        <w:pStyle w:val="ListParagraph"/>
        <w:numPr>
          <w:ilvl w:val="0"/>
          <w:numId w:val="13"/>
        </w:numPr>
        <w:rPr>
          <w:rFonts w:ascii="Century Gothic" w:hAnsi="Century Gothic"/>
          <w:color w:val="002060"/>
          <w:sz w:val="20"/>
          <w:szCs w:val="20"/>
        </w:rPr>
      </w:pPr>
      <w:r w:rsidRPr="00C53A80">
        <w:rPr>
          <w:rFonts w:ascii="Century Gothic" w:hAnsi="Century Gothic"/>
          <w:b/>
          <w:bCs/>
          <w:color w:val="002060"/>
          <w:sz w:val="20"/>
          <w:szCs w:val="20"/>
        </w:rPr>
        <w:t>Annual Monitoring Framework</w:t>
      </w:r>
      <w:r w:rsidR="00474EF4">
        <w:rPr>
          <w:rFonts w:ascii="Century Gothic" w:hAnsi="Century Gothic"/>
          <w:color w:val="002060"/>
          <w:sz w:val="20"/>
          <w:szCs w:val="20"/>
        </w:rPr>
        <w:t>:</w:t>
      </w:r>
      <w:r w:rsidRPr="00C65056">
        <w:rPr>
          <w:rFonts w:ascii="Century Gothic" w:hAnsi="Century Gothic"/>
          <w:color w:val="002060"/>
          <w:sz w:val="20"/>
          <w:szCs w:val="20"/>
        </w:rPr>
        <w:t xml:space="preserve"> Tools for ongoing DEI risk and compliance monitoring.</w:t>
      </w:r>
    </w:p>
    <w:p w14:paraId="5524F484" w14:textId="77777777" w:rsidR="005C0884" w:rsidRDefault="005C0884" w:rsidP="005C0884">
      <w:pPr>
        <w:tabs>
          <w:tab w:val="left" w:pos="2604"/>
        </w:tabs>
        <w:spacing w:line="259" w:lineRule="auto"/>
        <w:jc w:val="both"/>
        <w:rPr>
          <w:rFonts w:ascii="Century Gothic" w:hAnsi="Century Gothic"/>
          <w:color w:val="002060"/>
          <w:sz w:val="20"/>
          <w:szCs w:val="20"/>
        </w:rPr>
      </w:pPr>
    </w:p>
    <w:p w14:paraId="1ECB960E" w14:textId="752D0010" w:rsidR="00D22EA1" w:rsidRDefault="00D22EA1" w:rsidP="00D22EA1">
      <w:pPr>
        <w:pBdr>
          <w:bottom w:val="single" w:sz="12" w:space="1" w:color="71C5E8"/>
        </w:pBdr>
        <w:ind w:left="360" w:hanging="360"/>
        <w:rPr>
          <w:rFonts w:ascii="Century Gothic" w:hAnsi="Century Gothic"/>
          <w:b/>
          <w:color w:val="002453"/>
          <w:sz w:val="28"/>
          <w:szCs w:val="28"/>
        </w:rPr>
      </w:pPr>
      <w:r>
        <w:rPr>
          <w:rFonts w:ascii="Century Gothic" w:hAnsi="Century Gothic"/>
          <w:b/>
          <w:color w:val="002453"/>
          <w:sz w:val="28"/>
          <w:szCs w:val="28"/>
        </w:rPr>
        <w:t>CONCLUSION</w:t>
      </w:r>
    </w:p>
    <w:p w14:paraId="5886F4E2" w14:textId="77777777" w:rsidR="00C65056" w:rsidRDefault="00C65056" w:rsidP="005C0884">
      <w:pPr>
        <w:tabs>
          <w:tab w:val="left" w:pos="2604"/>
        </w:tabs>
        <w:spacing w:line="259" w:lineRule="auto"/>
        <w:jc w:val="both"/>
        <w:rPr>
          <w:rFonts w:ascii="Century Gothic" w:hAnsi="Century Gothic"/>
          <w:color w:val="002060"/>
          <w:sz w:val="20"/>
          <w:szCs w:val="20"/>
        </w:rPr>
      </w:pPr>
    </w:p>
    <w:p w14:paraId="3E7BAA0E" w14:textId="5BDC629A" w:rsidR="00D22EA1" w:rsidRDefault="00D22EA1" w:rsidP="005C0884">
      <w:pPr>
        <w:tabs>
          <w:tab w:val="left" w:pos="2604"/>
        </w:tabs>
        <w:spacing w:line="259" w:lineRule="auto"/>
        <w:jc w:val="both"/>
        <w:rPr>
          <w:rFonts w:ascii="Century Gothic" w:hAnsi="Century Gothic"/>
          <w:color w:val="002060"/>
          <w:sz w:val="20"/>
          <w:szCs w:val="20"/>
        </w:rPr>
      </w:pPr>
      <w:r w:rsidRPr="00D22EA1">
        <w:rPr>
          <w:rFonts w:ascii="Century Gothic" w:hAnsi="Century Gothic"/>
          <w:color w:val="002060"/>
          <w:sz w:val="20"/>
          <w:szCs w:val="20"/>
        </w:rPr>
        <w:t xml:space="preserve">By conducting this Legal Risk Audit, your organization will uncover areas of potential legal exposure and receive concrete, actionable guidance for reducing risk and promoting inclusion. DEILS PG brings deep experience at the intersection of employment law and DEI legal </w:t>
      </w:r>
      <w:r w:rsidR="00C53A80" w:rsidRPr="00D22EA1">
        <w:rPr>
          <w:rFonts w:ascii="Century Gothic" w:hAnsi="Century Gothic"/>
          <w:color w:val="002060"/>
          <w:sz w:val="20"/>
          <w:szCs w:val="20"/>
        </w:rPr>
        <w:t xml:space="preserve">strategy, </w:t>
      </w:r>
      <w:r w:rsidRPr="00D22EA1">
        <w:rPr>
          <w:rFonts w:ascii="Century Gothic" w:hAnsi="Century Gothic"/>
          <w:color w:val="002060"/>
          <w:sz w:val="20"/>
          <w:szCs w:val="20"/>
        </w:rPr>
        <w:t>positioning us to deliver</w:t>
      </w:r>
      <w:r w:rsidR="00274FC7">
        <w:rPr>
          <w:rFonts w:ascii="Century Gothic" w:hAnsi="Century Gothic"/>
          <w:color w:val="002060"/>
          <w:sz w:val="20"/>
          <w:szCs w:val="20"/>
        </w:rPr>
        <w:t xml:space="preserve"> guidance on achieving</w:t>
      </w:r>
      <w:r w:rsidRPr="00D22EA1">
        <w:rPr>
          <w:rFonts w:ascii="Century Gothic" w:hAnsi="Century Gothic"/>
          <w:color w:val="002060"/>
          <w:sz w:val="20"/>
          <w:szCs w:val="20"/>
        </w:rPr>
        <w:t xml:space="preserve"> not only compliance but effective measures to promote inclusion within your workforce.</w:t>
      </w:r>
    </w:p>
    <w:sectPr w:rsidR="00D22EA1" w:rsidSect="00C53A80">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A2D8" w14:textId="77777777" w:rsidR="005C5349" w:rsidRDefault="005C5349" w:rsidP="00A332D5">
      <w:r>
        <w:separator/>
      </w:r>
    </w:p>
  </w:endnote>
  <w:endnote w:type="continuationSeparator" w:id="0">
    <w:p w14:paraId="5BE11135" w14:textId="77777777" w:rsidR="005C5349" w:rsidRDefault="005C5349" w:rsidP="00A3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altName w:val="Gotham"/>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08A" w14:textId="77777777" w:rsidR="00A332D5" w:rsidRDefault="00A33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720"/>
      <w:gridCol w:w="1080"/>
    </w:tblGrid>
    <w:tr w:rsidR="00A332D5" w:rsidRPr="00125D89" w14:paraId="37CB98DB" w14:textId="77777777" w:rsidTr="00611B23">
      <w:tc>
        <w:tcPr>
          <w:tcW w:w="4500" w:type="pct"/>
          <w:tcBorders>
            <w:top w:val="single" w:sz="4" w:space="0" w:color="000000" w:themeColor="text1"/>
          </w:tcBorders>
        </w:tcPr>
        <w:p w14:paraId="504D9275" w14:textId="77777777" w:rsidR="00A332D5" w:rsidRPr="00125D89" w:rsidRDefault="00A332D5" w:rsidP="00125D89">
          <w:pPr>
            <w:pStyle w:val="Footer"/>
            <w:rPr>
              <w:rFonts w:ascii="Century Gothic" w:hAnsi="Century Gothic"/>
              <w:b/>
              <w:color w:val="392B13"/>
              <w:sz w:val="18"/>
              <w:szCs w:val="18"/>
            </w:rPr>
          </w:pPr>
        </w:p>
      </w:tc>
      <w:tc>
        <w:tcPr>
          <w:tcW w:w="500" w:type="pct"/>
          <w:tcBorders>
            <w:top w:val="single" w:sz="4" w:space="0" w:color="E97132" w:themeColor="accent2"/>
          </w:tcBorders>
          <w:shd w:val="clear" w:color="auto" w:fill="C3D1D3"/>
        </w:tcPr>
        <w:p w14:paraId="4AF86F1D" w14:textId="77777777" w:rsidR="00A332D5" w:rsidRPr="00125D89" w:rsidRDefault="00A332D5">
          <w:pPr>
            <w:pStyle w:val="Header"/>
            <w:rPr>
              <w:rFonts w:ascii="Century Gothic" w:hAnsi="Century Gothic"/>
              <w:b/>
              <w:color w:val="392B13"/>
            </w:rPr>
          </w:pPr>
          <w:r w:rsidRPr="00125D89">
            <w:rPr>
              <w:rFonts w:ascii="Century Gothic" w:hAnsi="Century Gothic"/>
              <w:b/>
              <w:color w:val="392B13"/>
            </w:rPr>
            <w:fldChar w:fldCharType="begin"/>
          </w:r>
          <w:r w:rsidRPr="00125D89">
            <w:rPr>
              <w:rFonts w:ascii="Century Gothic" w:hAnsi="Century Gothic"/>
              <w:b/>
              <w:color w:val="392B13"/>
            </w:rPr>
            <w:instrText xml:space="preserve"> PAGE   \* MERGEFORMAT </w:instrText>
          </w:r>
          <w:r w:rsidRPr="00125D89">
            <w:rPr>
              <w:rFonts w:ascii="Century Gothic" w:hAnsi="Century Gothic"/>
              <w:b/>
              <w:color w:val="392B13"/>
            </w:rPr>
            <w:fldChar w:fldCharType="separate"/>
          </w:r>
          <w:r>
            <w:rPr>
              <w:rFonts w:ascii="Century Gothic" w:hAnsi="Century Gothic"/>
              <w:b/>
              <w:noProof/>
              <w:color w:val="392B13"/>
            </w:rPr>
            <w:t>2</w:t>
          </w:r>
          <w:r w:rsidRPr="00125D89">
            <w:rPr>
              <w:rFonts w:ascii="Century Gothic" w:hAnsi="Century Gothic"/>
              <w:b/>
              <w:noProof/>
              <w:color w:val="392B13"/>
            </w:rPr>
            <w:fldChar w:fldCharType="end"/>
          </w:r>
        </w:p>
      </w:tc>
    </w:tr>
  </w:tbl>
  <w:p w14:paraId="483BB0D2" w14:textId="561139D6" w:rsidR="00A332D5" w:rsidRDefault="00A332D5" w:rsidP="00E60E58">
    <w:pPr>
      <w:pStyle w:val="Footer"/>
      <w:spacing w:line="180" w:lineRule="exact"/>
    </w:pPr>
  </w:p>
  <w:p w14:paraId="4C8F49CB" w14:textId="07AB4FA9" w:rsidR="00A332D5" w:rsidRDefault="00A332D5" w:rsidP="00A332D5">
    <w:pPr>
      <w:pStyle w:val="Footer"/>
      <w:spacing w:line="180" w:lineRule="exact"/>
    </w:pPr>
  </w:p>
  <w:p w14:paraId="73BC1697" w14:textId="52109AAB" w:rsidR="00CC35E8" w:rsidRPr="00125D89" w:rsidRDefault="00CC35E8" w:rsidP="00CC35E8">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74EF4">
      <w:rPr>
        <w:rFonts w:ascii="Arial" w:hAnsi="Arial" w:cs="Arial"/>
        <w:sz w:val="16"/>
      </w:rPr>
      <w:t>4933-0972-7875,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529" w14:textId="77777777" w:rsidR="00A332D5" w:rsidRDefault="00A33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11D8" w14:textId="77777777" w:rsidR="005C5349" w:rsidRDefault="005C5349" w:rsidP="00A332D5">
      <w:r>
        <w:separator/>
      </w:r>
    </w:p>
  </w:footnote>
  <w:footnote w:type="continuationSeparator" w:id="0">
    <w:p w14:paraId="4B65A1F6" w14:textId="77777777" w:rsidR="005C5349" w:rsidRDefault="005C5349" w:rsidP="00A3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FE37" w14:textId="77777777" w:rsidR="00A332D5" w:rsidRDefault="00A33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123" w14:textId="77777777" w:rsidR="00A332D5" w:rsidRDefault="00A33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B5B" w14:textId="77777777" w:rsidR="00A332D5" w:rsidRDefault="00A33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C0D2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5996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1D2D3F"/>
    <w:multiLevelType w:val="hybridMultilevel"/>
    <w:tmpl w:val="F6362222"/>
    <w:lvl w:ilvl="0" w:tplc="ACCEFD00">
      <w:start w:val="1"/>
      <w:numFmt w:val="bullet"/>
      <w:lvlText w:val="›"/>
      <w:lvlJc w:val="left"/>
      <w:pPr>
        <w:ind w:left="720" w:hanging="360"/>
      </w:pPr>
      <w:rPr>
        <w:rFonts w:ascii="Gotham Bold" w:hAnsi="Gotham Bold" w:hint="default"/>
        <w:b/>
        <w:i w:val="0"/>
        <w:color w:val="71C5E8"/>
        <w:sz w:val="40"/>
      </w:rPr>
    </w:lvl>
    <w:lvl w:ilvl="1" w:tplc="04090001">
      <w:start w:val="1"/>
      <w:numFmt w:val="bullet"/>
      <w:lvlText w:val=""/>
      <w:lvlJc w:val="left"/>
      <w:pPr>
        <w:ind w:left="1440" w:hanging="360"/>
      </w:pPr>
      <w:rPr>
        <w:rFonts w:ascii="Symbol" w:hAnsi="Symbol" w:hint="default"/>
      </w:rPr>
    </w:lvl>
    <w:lvl w:ilvl="2" w:tplc="E736C20E">
      <w:start w:val="2"/>
      <w:numFmt w:val="bullet"/>
      <w:lvlText w:val="-"/>
      <w:lvlJc w:val="left"/>
      <w:pPr>
        <w:ind w:left="2160" w:hanging="360"/>
      </w:pPr>
      <w:rPr>
        <w:rFonts w:ascii="Aptos Narrow" w:eastAsia="Times New Roman" w:hAnsi="Aptos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1AF7"/>
    <w:multiLevelType w:val="hybridMultilevel"/>
    <w:tmpl w:val="74C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B5EAC"/>
    <w:multiLevelType w:val="hybridMultilevel"/>
    <w:tmpl w:val="622C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44255"/>
    <w:multiLevelType w:val="hybridMultilevel"/>
    <w:tmpl w:val="28802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225E10"/>
    <w:multiLevelType w:val="hybridMultilevel"/>
    <w:tmpl w:val="03088B52"/>
    <w:lvl w:ilvl="0" w:tplc="AD06586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33FB1"/>
    <w:multiLevelType w:val="hybridMultilevel"/>
    <w:tmpl w:val="D9DC6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A069FE"/>
    <w:multiLevelType w:val="hybridMultilevel"/>
    <w:tmpl w:val="18FCBE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ED159D"/>
    <w:multiLevelType w:val="hybridMultilevel"/>
    <w:tmpl w:val="DD4E9E20"/>
    <w:lvl w:ilvl="0" w:tplc="ACCEFD00">
      <w:start w:val="1"/>
      <w:numFmt w:val="bullet"/>
      <w:lvlText w:val="›"/>
      <w:lvlJc w:val="left"/>
      <w:pPr>
        <w:ind w:left="720" w:hanging="360"/>
      </w:pPr>
      <w:rPr>
        <w:rFonts w:ascii="Gotham Bold" w:hAnsi="Gotham Bold" w:hint="default"/>
        <w:b/>
        <w:i w:val="0"/>
        <w:color w:val="71C5E8"/>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3770E"/>
    <w:multiLevelType w:val="hybridMultilevel"/>
    <w:tmpl w:val="68027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2310D4"/>
    <w:multiLevelType w:val="hybridMultilevel"/>
    <w:tmpl w:val="B364870A"/>
    <w:lvl w:ilvl="0" w:tplc="ACCEFD00">
      <w:start w:val="1"/>
      <w:numFmt w:val="bullet"/>
      <w:lvlText w:val="›"/>
      <w:lvlJc w:val="left"/>
      <w:pPr>
        <w:ind w:left="720" w:hanging="360"/>
      </w:pPr>
      <w:rPr>
        <w:rFonts w:ascii="Gotham Bold" w:hAnsi="Gotham Bold" w:hint="default"/>
        <w:b/>
        <w:i w:val="0"/>
        <w:color w:val="71C5E8"/>
        <w:sz w:val="4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60756"/>
    <w:multiLevelType w:val="hybridMultilevel"/>
    <w:tmpl w:val="1EB8B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C9195B"/>
    <w:multiLevelType w:val="hybridMultilevel"/>
    <w:tmpl w:val="E5A0CA8C"/>
    <w:lvl w:ilvl="0" w:tplc="ACCEFD00">
      <w:start w:val="1"/>
      <w:numFmt w:val="bullet"/>
      <w:lvlText w:val="›"/>
      <w:lvlJc w:val="left"/>
      <w:pPr>
        <w:ind w:left="720" w:hanging="360"/>
      </w:pPr>
      <w:rPr>
        <w:rFonts w:ascii="Gotham Bold" w:hAnsi="Gotham Bold" w:hint="default"/>
        <w:b/>
        <w:i w:val="0"/>
        <w:color w:val="71C5E8"/>
        <w:sz w:val="4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419278">
    <w:abstractNumId w:val="9"/>
  </w:num>
  <w:num w:numId="2" w16cid:durableId="2078823802">
    <w:abstractNumId w:val="2"/>
  </w:num>
  <w:num w:numId="3" w16cid:durableId="826288588">
    <w:abstractNumId w:val="13"/>
  </w:num>
  <w:num w:numId="4" w16cid:durableId="1209028948">
    <w:abstractNumId w:val="11"/>
  </w:num>
  <w:num w:numId="5" w16cid:durableId="154956722">
    <w:abstractNumId w:val="0"/>
  </w:num>
  <w:num w:numId="6" w16cid:durableId="1291012713">
    <w:abstractNumId w:val="1"/>
  </w:num>
  <w:num w:numId="7" w16cid:durableId="2078942505">
    <w:abstractNumId w:val="6"/>
  </w:num>
  <w:num w:numId="8" w16cid:durableId="687146548">
    <w:abstractNumId w:val="3"/>
  </w:num>
  <w:num w:numId="9" w16cid:durableId="1588998326">
    <w:abstractNumId w:val="12"/>
  </w:num>
  <w:num w:numId="10" w16cid:durableId="327439579">
    <w:abstractNumId w:val="5"/>
  </w:num>
  <w:num w:numId="11" w16cid:durableId="1279800101">
    <w:abstractNumId w:val="10"/>
  </w:num>
  <w:num w:numId="12" w16cid:durableId="876045750">
    <w:abstractNumId w:val="8"/>
  </w:num>
  <w:num w:numId="13" w16cid:durableId="563183318">
    <w:abstractNumId w:val="7"/>
  </w:num>
  <w:num w:numId="14" w16cid:durableId="2076855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3-0972-7875, v. 2"/>
    <w:docVar w:name="ndGeneratedStampLocation" w:val="ExceptFirst"/>
  </w:docVars>
  <w:rsids>
    <w:rsidRoot w:val="00A332D5"/>
    <w:rsid w:val="00083F61"/>
    <w:rsid w:val="0008790B"/>
    <w:rsid w:val="000D256F"/>
    <w:rsid w:val="0010722B"/>
    <w:rsid w:val="00181901"/>
    <w:rsid w:val="00193DF0"/>
    <w:rsid w:val="001B6B45"/>
    <w:rsid w:val="00274FC7"/>
    <w:rsid w:val="002A7D2E"/>
    <w:rsid w:val="00324FF9"/>
    <w:rsid w:val="00352FC8"/>
    <w:rsid w:val="003A1A4E"/>
    <w:rsid w:val="003F319E"/>
    <w:rsid w:val="00413952"/>
    <w:rsid w:val="00474EF4"/>
    <w:rsid w:val="00484ED4"/>
    <w:rsid w:val="004B7DAD"/>
    <w:rsid w:val="004E6C85"/>
    <w:rsid w:val="0052349C"/>
    <w:rsid w:val="00533F4B"/>
    <w:rsid w:val="005C0884"/>
    <w:rsid w:val="005C5349"/>
    <w:rsid w:val="007B2AEB"/>
    <w:rsid w:val="00846AC2"/>
    <w:rsid w:val="00897862"/>
    <w:rsid w:val="009426B6"/>
    <w:rsid w:val="0094439A"/>
    <w:rsid w:val="0097755D"/>
    <w:rsid w:val="00984C52"/>
    <w:rsid w:val="00A324D1"/>
    <w:rsid w:val="00A332D5"/>
    <w:rsid w:val="00AE0F12"/>
    <w:rsid w:val="00AF737A"/>
    <w:rsid w:val="00B14B94"/>
    <w:rsid w:val="00C02B02"/>
    <w:rsid w:val="00C10721"/>
    <w:rsid w:val="00C231B0"/>
    <w:rsid w:val="00C26B70"/>
    <w:rsid w:val="00C53A80"/>
    <w:rsid w:val="00C65056"/>
    <w:rsid w:val="00CA5EFA"/>
    <w:rsid w:val="00CC2B27"/>
    <w:rsid w:val="00CC35E8"/>
    <w:rsid w:val="00D22EA1"/>
    <w:rsid w:val="00D643C1"/>
    <w:rsid w:val="00D70EB1"/>
    <w:rsid w:val="00DC1CB2"/>
    <w:rsid w:val="00E91104"/>
    <w:rsid w:val="00FE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8EC0"/>
  <w15:chartTrackingRefBased/>
  <w15:docId w15:val="{5AC9BCF2-F338-43F8-BDC5-8D3006F9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D5"/>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33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2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2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2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2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2D5"/>
    <w:rPr>
      <w:rFonts w:eastAsiaTheme="majorEastAsia" w:cstheme="majorBidi"/>
      <w:color w:val="272727" w:themeColor="text1" w:themeTint="D8"/>
    </w:rPr>
  </w:style>
  <w:style w:type="paragraph" w:styleId="Title">
    <w:name w:val="Title"/>
    <w:basedOn w:val="Normal"/>
    <w:next w:val="Normal"/>
    <w:link w:val="TitleChar"/>
    <w:uiPriority w:val="10"/>
    <w:qFormat/>
    <w:rsid w:val="00A332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2D5"/>
    <w:pPr>
      <w:spacing w:before="160"/>
      <w:jc w:val="center"/>
    </w:pPr>
    <w:rPr>
      <w:i/>
      <w:iCs/>
      <w:color w:val="404040" w:themeColor="text1" w:themeTint="BF"/>
    </w:rPr>
  </w:style>
  <w:style w:type="character" w:customStyle="1" w:styleId="QuoteChar">
    <w:name w:val="Quote Char"/>
    <w:basedOn w:val="DefaultParagraphFont"/>
    <w:link w:val="Quote"/>
    <w:uiPriority w:val="29"/>
    <w:rsid w:val="00A332D5"/>
    <w:rPr>
      <w:i/>
      <w:iCs/>
      <w:color w:val="404040" w:themeColor="text1" w:themeTint="BF"/>
    </w:rPr>
  </w:style>
  <w:style w:type="paragraph" w:styleId="ListParagraph">
    <w:name w:val="List Paragraph"/>
    <w:basedOn w:val="Normal"/>
    <w:uiPriority w:val="34"/>
    <w:qFormat/>
    <w:rsid w:val="00A332D5"/>
    <w:pPr>
      <w:ind w:left="720"/>
      <w:contextualSpacing/>
    </w:pPr>
  </w:style>
  <w:style w:type="character" w:styleId="IntenseEmphasis">
    <w:name w:val="Intense Emphasis"/>
    <w:basedOn w:val="DefaultParagraphFont"/>
    <w:uiPriority w:val="21"/>
    <w:qFormat/>
    <w:rsid w:val="00A332D5"/>
    <w:rPr>
      <w:i/>
      <w:iCs/>
      <w:color w:val="0F4761" w:themeColor="accent1" w:themeShade="BF"/>
    </w:rPr>
  </w:style>
  <w:style w:type="paragraph" w:styleId="IntenseQuote">
    <w:name w:val="Intense Quote"/>
    <w:basedOn w:val="Normal"/>
    <w:next w:val="Normal"/>
    <w:link w:val="IntenseQuoteChar"/>
    <w:uiPriority w:val="30"/>
    <w:qFormat/>
    <w:rsid w:val="00A33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2D5"/>
    <w:rPr>
      <w:i/>
      <w:iCs/>
      <w:color w:val="0F4761" w:themeColor="accent1" w:themeShade="BF"/>
    </w:rPr>
  </w:style>
  <w:style w:type="character" w:styleId="IntenseReference">
    <w:name w:val="Intense Reference"/>
    <w:basedOn w:val="DefaultParagraphFont"/>
    <w:uiPriority w:val="32"/>
    <w:qFormat/>
    <w:rsid w:val="00A332D5"/>
    <w:rPr>
      <w:b/>
      <w:bCs/>
      <w:smallCaps/>
      <w:color w:val="0F4761" w:themeColor="accent1" w:themeShade="BF"/>
      <w:spacing w:val="5"/>
    </w:rPr>
  </w:style>
  <w:style w:type="paragraph" w:styleId="Header">
    <w:name w:val="header"/>
    <w:basedOn w:val="Normal"/>
    <w:link w:val="HeaderChar"/>
    <w:uiPriority w:val="99"/>
    <w:unhideWhenUsed/>
    <w:rsid w:val="00A332D5"/>
    <w:pPr>
      <w:tabs>
        <w:tab w:val="center" w:pos="4680"/>
        <w:tab w:val="right" w:pos="9360"/>
      </w:tabs>
    </w:pPr>
  </w:style>
  <w:style w:type="character" w:customStyle="1" w:styleId="HeaderChar">
    <w:name w:val="Header Char"/>
    <w:basedOn w:val="DefaultParagraphFont"/>
    <w:link w:val="Header"/>
    <w:uiPriority w:val="99"/>
    <w:rsid w:val="00A332D5"/>
    <w:rPr>
      <w:kern w:val="0"/>
      <w:sz w:val="22"/>
      <w:szCs w:val="22"/>
      <w14:ligatures w14:val="none"/>
    </w:rPr>
  </w:style>
  <w:style w:type="paragraph" w:styleId="Footer">
    <w:name w:val="footer"/>
    <w:basedOn w:val="Normal"/>
    <w:link w:val="FooterChar"/>
    <w:uiPriority w:val="99"/>
    <w:unhideWhenUsed/>
    <w:rsid w:val="00A332D5"/>
    <w:pPr>
      <w:tabs>
        <w:tab w:val="center" w:pos="4680"/>
        <w:tab w:val="right" w:pos="9360"/>
      </w:tabs>
    </w:pPr>
  </w:style>
  <w:style w:type="character" w:customStyle="1" w:styleId="FooterChar">
    <w:name w:val="Footer Char"/>
    <w:basedOn w:val="DefaultParagraphFont"/>
    <w:link w:val="Footer"/>
    <w:uiPriority w:val="99"/>
    <w:rsid w:val="00A332D5"/>
    <w:rPr>
      <w:kern w:val="0"/>
      <w:sz w:val="22"/>
      <w:szCs w:val="22"/>
      <w14:ligatures w14:val="none"/>
    </w:rPr>
  </w:style>
  <w:style w:type="paragraph" w:styleId="Revision">
    <w:name w:val="Revision"/>
    <w:hidden/>
    <w:uiPriority w:val="99"/>
    <w:semiHidden/>
    <w:rsid w:val="00083F6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Glenn</dc:creator>
  <cp:keywords/>
  <dc:description/>
  <cp:lastModifiedBy>Trisha Layden</cp:lastModifiedBy>
  <cp:revision>2</cp:revision>
  <cp:lastPrinted>2025-10-16T20:36:00Z</cp:lastPrinted>
  <dcterms:created xsi:type="dcterms:W3CDTF">2025-12-18T19:47:00Z</dcterms:created>
  <dcterms:modified xsi:type="dcterms:W3CDTF">2025-12-18T19:47:00Z</dcterms:modified>
</cp:coreProperties>
</file>