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90DD" w14:textId="7E05FF28" w:rsidR="00C55263" w:rsidRPr="00C55263" w:rsidRDefault="00C55263">
      <w:pPr>
        <w:rPr>
          <w:b/>
          <w:bCs/>
        </w:rPr>
      </w:pPr>
      <w:r w:rsidRPr="00C55263">
        <w:rPr>
          <w:b/>
          <w:bCs/>
        </w:rPr>
        <w:t xml:space="preserve">Version </w:t>
      </w:r>
      <w:r w:rsidR="00E3138E">
        <w:rPr>
          <w:b/>
          <w:bCs/>
        </w:rPr>
        <w:t>1</w:t>
      </w:r>
      <w:r w:rsidR="00C713CF">
        <w:rPr>
          <w:b/>
          <w:bCs/>
        </w:rPr>
        <w:t>0.</w:t>
      </w:r>
      <w:r w:rsidR="000B0A71">
        <w:rPr>
          <w:b/>
          <w:bCs/>
        </w:rPr>
        <w:t>2</w:t>
      </w:r>
      <w:r w:rsidRPr="00C55263">
        <w:rPr>
          <w:b/>
          <w:bCs/>
        </w:rPr>
        <w:t xml:space="preserve">: I/A in </w:t>
      </w:r>
      <w:r w:rsidR="00881AC9" w:rsidRPr="00B75219">
        <w:rPr>
          <w:b/>
          <w:bCs/>
        </w:rPr>
        <w:t>most</w:t>
      </w:r>
      <w:r w:rsidR="00881AC9">
        <w:rPr>
          <w:b/>
          <w:bCs/>
        </w:rPr>
        <w:t xml:space="preserve"> </w:t>
      </w:r>
      <w:r w:rsidR="00A35BD9">
        <w:rPr>
          <w:b/>
          <w:bCs/>
        </w:rPr>
        <w:t>of Falmouth</w:t>
      </w:r>
      <w:r w:rsidR="00E3138E">
        <w:rPr>
          <w:b/>
          <w:bCs/>
        </w:rPr>
        <w:t xml:space="preserve"> for new construction only</w:t>
      </w:r>
    </w:p>
    <w:p w14:paraId="4B62FEB7" w14:textId="77777777" w:rsidR="00C55263" w:rsidRDefault="00C55263"/>
    <w:p w14:paraId="2CDEBDB5" w14:textId="69A789E9" w:rsidR="006E2F91" w:rsidRDefault="002A4FFC">
      <w:r>
        <w:t xml:space="preserve">FHR </w:t>
      </w:r>
      <w:r w:rsidR="00C55263">
        <w:t>15.15 REQUIREMENT</w:t>
      </w:r>
      <w:r w:rsidR="00EA1C26">
        <w:t xml:space="preserve"> TO INSTALL ALTERNATIVE ONSITE SEPTIC SYSTEM </w:t>
      </w:r>
      <w:r w:rsidR="00701DC8">
        <w:t>IN NITROGEN SENSITIVE AREAS</w:t>
      </w:r>
    </w:p>
    <w:p w14:paraId="484DFBA8" w14:textId="4F3F5AEF" w:rsidR="003D0068" w:rsidRDefault="0023105F">
      <w:r>
        <w:t>Purpose</w:t>
      </w:r>
      <w:r w:rsidR="002A4FFC">
        <w:t xml:space="preserve">: </w:t>
      </w:r>
      <w:r w:rsidR="003D0068">
        <w:t xml:space="preserve">The purpose of this regulation is to protect the </w:t>
      </w:r>
      <w:r w:rsidR="003D0068" w:rsidRPr="003D0068">
        <w:t>public health, safety, welfare and the environment</w:t>
      </w:r>
      <w:r w:rsidR="003D0068">
        <w:t xml:space="preserve"> in all of Falmouth by regulating the introduction of new sources of nitrogen pollution from on-site sewage disposal systems. </w:t>
      </w:r>
      <w:r w:rsidR="000B0A71">
        <w:t>Regulations promulgated by the Commonwealth of Massachusetts pursuant to t</w:t>
      </w:r>
      <w:r w:rsidR="000B0A71" w:rsidRPr="000B0A71">
        <w:t>he Massachusetts Clean Waters Act, M.G.L. c. 21, §§ 26 through 53</w:t>
      </w:r>
      <w:r w:rsidR="000B0A71">
        <w:t xml:space="preserve">  require the Town of Falmouth to improve the water quality of our ponds and </w:t>
      </w:r>
      <w:proofErr w:type="spellStart"/>
      <w:r w:rsidR="000B0A71">
        <w:t>embayments</w:t>
      </w:r>
      <w:proofErr w:type="spellEnd"/>
      <w:r w:rsidR="000B0A71">
        <w:t xml:space="preserve">. </w:t>
      </w:r>
      <w:r w:rsidR="004C163E">
        <w:t xml:space="preserve">Regulations from the Commonwealth of Massachusetts, including 310 CMR 15.00, 314 CMR 21.00, and 314 CMR 4.0 provide the authority to promulgate these </w:t>
      </w:r>
      <w:r w:rsidR="000C7F3D">
        <w:t xml:space="preserve">local </w:t>
      </w:r>
      <w:r w:rsidR="004C163E">
        <w:t>regulations</w:t>
      </w:r>
      <w:r w:rsidR="000B0A71">
        <w:t xml:space="preserve">. </w:t>
      </w:r>
    </w:p>
    <w:p w14:paraId="74DA33EE" w14:textId="26C374A0" w:rsidR="004C163E" w:rsidRDefault="000866D8" w:rsidP="00B75219">
      <w:pPr>
        <w:pStyle w:val="ListParagraph"/>
        <w:numPr>
          <w:ilvl w:val="0"/>
          <w:numId w:val="1"/>
        </w:numPr>
        <w:ind w:left="360"/>
      </w:pPr>
      <w:r>
        <w:t>Definitions</w:t>
      </w:r>
    </w:p>
    <w:p w14:paraId="39584C86" w14:textId="032220C1" w:rsidR="000866D8" w:rsidRDefault="000866D8" w:rsidP="001D50BD">
      <w:pPr>
        <w:pStyle w:val="ListParagraph"/>
        <w:numPr>
          <w:ilvl w:val="0"/>
          <w:numId w:val="8"/>
        </w:numPr>
      </w:pPr>
      <w:r>
        <w:t xml:space="preserve">Best Available Nitrogen Reducing Technology: </w:t>
      </w:r>
      <w:proofErr w:type="gramStart"/>
      <w:r w:rsidR="00C713CF">
        <w:t>For the purpose of</w:t>
      </w:r>
      <w:proofErr w:type="gramEnd"/>
      <w:r w:rsidR="00C713CF">
        <w:t xml:space="preserve"> this section, a</w:t>
      </w:r>
      <w:r w:rsidRPr="000866D8">
        <w:t xml:space="preserve">n alternative system(s) </w:t>
      </w:r>
      <w:r w:rsidR="00DE7492">
        <w:t xml:space="preserve">under full, conditional, or piloting approval </w:t>
      </w:r>
      <w:r w:rsidR="00C713CF">
        <w:t xml:space="preserve">from the Massachusetts Department of Environmental Protection (MADEP) </w:t>
      </w:r>
      <w:r w:rsidRPr="000866D8">
        <w:t>which has a Total Nitrogen effluent performance value of 10 mg/L or less</w:t>
      </w:r>
      <w:r w:rsidR="00242650">
        <w:t xml:space="preserve"> total nitrogen</w:t>
      </w:r>
      <w:r>
        <w:t>, as defined in 310 CMR 15.002. Regardless of approval status, for this regulation an approved alternative system must meet an effluent performance value of 10 mg/L or less for the lifetime of the system.</w:t>
      </w:r>
    </w:p>
    <w:p w14:paraId="18EEF312" w14:textId="77777777" w:rsidR="001D50BD" w:rsidRDefault="001D50BD" w:rsidP="001D50BD">
      <w:pPr>
        <w:pStyle w:val="ListParagraph"/>
      </w:pPr>
    </w:p>
    <w:p w14:paraId="2371EFFC" w14:textId="6CE80117" w:rsidR="00C713CF" w:rsidRPr="00C713CF" w:rsidRDefault="00ED7123" w:rsidP="00C713CF">
      <w:pPr>
        <w:pStyle w:val="ListParagraph"/>
        <w:numPr>
          <w:ilvl w:val="0"/>
          <w:numId w:val="8"/>
        </w:numPr>
        <w:rPr>
          <w:strike/>
        </w:rPr>
      </w:pPr>
      <w:r w:rsidRPr="006074D5">
        <w:t xml:space="preserve">Nitrogen Sensitive Area: </w:t>
      </w:r>
      <w:r w:rsidR="00242650">
        <w:t xml:space="preserve">For the purpose of this </w:t>
      </w:r>
      <w:r w:rsidR="00C713CF">
        <w:t>section</w:t>
      </w:r>
      <w:r w:rsidR="00242650">
        <w:t>, a</w:t>
      </w:r>
      <w:r w:rsidRPr="006074D5">
        <w:t>ny of the following areas in Falmouth</w:t>
      </w:r>
      <w:r w:rsidR="008309F6" w:rsidRPr="006074D5">
        <w:t xml:space="preserve"> sensitive to the discharge of nitrogen pollution</w:t>
      </w:r>
      <w:r w:rsidRPr="006074D5">
        <w:t xml:space="preserve">: those defined in 310 CMR 15.214 as either public and private water supply protection areas or natural resource protection areas; those </w:t>
      </w:r>
      <w:r w:rsidR="008309F6" w:rsidRPr="006074D5">
        <w:t>designated</w:t>
      </w:r>
      <w:r w:rsidRPr="006074D5">
        <w:t xml:space="preserve"> </w:t>
      </w:r>
      <w:r w:rsidR="008309F6" w:rsidRPr="006074D5">
        <w:t>as</w:t>
      </w:r>
      <w:r w:rsidRPr="006074D5">
        <w:t xml:space="preserve"> </w:t>
      </w:r>
      <w:r w:rsidR="008309F6" w:rsidRPr="006074D5">
        <w:t>Districts of Critical Planning Concern by Barnstable County</w:t>
      </w:r>
      <w:r w:rsidR="00701DC8">
        <w:t xml:space="preserve"> under Barnstable County Ordinance 96-1</w:t>
      </w:r>
      <w:r w:rsidR="006074D5">
        <w:t>; and watersheds determined by the Commonwealth of Massachusetts to be nitrogen impaired and listed in the</w:t>
      </w:r>
      <w:r w:rsidR="00B75219">
        <w:t xml:space="preserve"> most recent Clean Water Act Section</w:t>
      </w:r>
      <w:r w:rsidR="006074D5">
        <w:t xml:space="preserve"> </w:t>
      </w:r>
      <w:r w:rsidR="00B75219">
        <w:t>303d Integrated Report</w:t>
      </w:r>
      <w:r w:rsidR="006074D5">
        <w:t>, whether or not a Total Maximum Daily Load (TMDL) is available</w:t>
      </w:r>
      <w:r w:rsidR="00A52AC7">
        <w:t>.</w:t>
      </w:r>
      <w:r w:rsidR="00F63808">
        <w:t xml:space="preserve"> The Health Department will prepare</w:t>
      </w:r>
      <w:r w:rsidR="00F63808" w:rsidRPr="00F63808">
        <w:t xml:space="preserve"> and make available on the </w:t>
      </w:r>
      <w:r w:rsidR="00F63808">
        <w:t>Town’</w:t>
      </w:r>
      <w:r w:rsidR="00F63808" w:rsidRPr="00F63808">
        <w:t>s website maps portraying designated Nitrogen Sensitive Areas within the</w:t>
      </w:r>
      <w:r w:rsidR="00F63808">
        <w:t xml:space="preserve"> Town of Falmouth.</w:t>
      </w:r>
    </w:p>
    <w:p w14:paraId="71A0BF33" w14:textId="77777777" w:rsidR="00C713CF" w:rsidRPr="00C713CF" w:rsidRDefault="00C713CF" w:rsidP="00C713CF">
      <w:pPr>
        <w:pStyle w:val="ListParagraph"/>
        <w:rPr>
          <w:strike/>
        </w:rPr>
      </w:pPr>
    </w:p>
    <w:p w14:paraId="694405D6" w14:textId="27986231" w:rsidR="00C713CF" w:rsidRPr="00C713CF" w:rsidRDefault="00C713CF" w:rsidP="00C713CF">
      <w:pPr>
        <w:pStyle w:val="ListParagraph"/>
        <w:numPr>
          <w:ilvl w:val="0"/>
          <w:numId w:val="8"/>
        </w:numPr>
        <w:rPr>
          <w:strike/>
        </w:rPr>
      </w:pPr>
      <w:r>
        <w:t xml:space="preserve">New Construction: </w:t>
      </w:r>
      <w:r w:rsidR="00512643">
        <w:t xml:space="preserve">For the purposes of this section, New Construction shall be as defined in 310 CMR 15.002, with the exception that New Construction shall include the voluntary </w:t>
      </w:r>
      <w:r w:rsidR="001C16E6">
        <w:t>demolishing</w:t>
      </w:r>
      <w:r w:rsidR="00512643">
        <w:t xml:space="preserve"> and reconstruction of a building in existence prior to March 31, 1995.</w:t>
      </w:r>
    </w:p>
    <w:p w14:paraId="0A6F0CF2" w14:textId="77777777" w:rsidR="001D50BD" w:rsidRPr="001D50BD" w:rsidRDefault="001D50BD" w:rsidP="001D50BD">
      <w:pPr>
        <w:pStyle w:val="ListParagraph"/>
        <w:rPr>
          <w:strike/>
        </w:rPr>
      </w:pPr>
    </w:p>
    <w:p w14:paraId="7594298B" w14:textId="723F07C8" w:rsidR="002A4FFC" w:rsidRDefault="002A4FFC" w:rsidP="002A4FFC">
      <w:pPr>
        <w:pStyle w:val="ListParagraph"/>
        <w:numPr>
          <w:ilvl w:val="0"/>
          <w:numId w:val="1"/>
        </w:numPr>
        <w:ind w:left="360"/>
      </w:pPr>
      <w:r>
        <w:t xml:space="preserve">Requirement for enhanced nitrogen removal for systems serving new construction </w:t>
      </w:r>
    </w:p>
    <w:p w14:paraId="4EC00690" w14:textId="77777777" w:rsidR="00A35BD9" w:rsidRDefault="00A35BD9" w:rsidP="00A35BD9">
      <w:pPr>
        <w:pStyle w:val="ListParagraph"/>
        <w:ind w:left="360"/>
      </w:pPr>
    </w:p>
    <w:p w14:paraId="37E13203" w14:textId="2614AF64" w:rsidR="00701DC8" w:rsidRDefault="002A4FFC" w:rsidP="00E3138E">
      <w:pPr>
        <w:pStyle w:val="ListParagraph"/>
        <w:numPr>
          <w:ilvl w:val="0"/>
          <w:numId w:val="7"/>
        </w:numPr>
      </w:pPr>
      <w:r>
        <w:t xml:space="preserve">All </w:t>
      </w:r>
      <w:r w:rsidR="00512643">
        <w:t>N</w:t>
      </w:r>
      <w:r>
        <w:t xml:space="preserve">ew </w:t>
      </w:r>
      <w:r w:rsidR="00512643">
        <w:t>C</w:t>
      </w:r>
      <w:r>
        <w:t xml:space="preserve">onstruction </w:t>
      </w:r>
      <w:r w:rsidR="002650BA">
        <w:t xml:space="preserve">located in a </w:t>
      </w:r>
      <w:r w:rsidR="002650BA" w:rsidRPr="006074D5">
        <w:t>Nitrogen Sensitive Area</w:t>
      </w:r>
      <w:r w:rsidR="00881AC9" w:rsidRPr="006074D5">
        <w:t xml:space="preserve"> </w:t>
      </w:r>
      <w:r w:rsidR="00741DF6" w:rsidRPr="006074D5">
        <w:t>shall</w:t>
      </w:r>
      <w:r w:rsidR="00741DF6">
        <w:t xml:space="preserve"> incorporate </w:t>
      </w:r>
      <w:proofErr w:type="gramStart"/>
      <w:r w:rsidR="00741DF6">
        <w:t>Bes</w:t>
      </w:r>
      <w:r w:rsidR="00A663AF">
        <w:t>t</w:t>
      </w:r>
      <w:proofErr w:type="gramEnd"/>
      <w:r w:rsidR="00A663AF">
        <w:t xml:space="preserve"> </w:t>
      </w:r>
      <w:r w:rsidR="00741DF6">
        <w:t>Available Nitrogen Reducing Technology</w:t>
      </w:r>
      <w:r w:rsidR="000866D8">
        <w:t>.</w:t>
      </w:r>
    </w:p>
    <w:p w14:paraId="7E25046A" w14:textId="77777777" w:rsidR="00E3138E" w:rsidRDefault="00E3138E" w:rsidP="00E3138E">
      <w:pPr>
        <w:pStyle w:val="ListParagraph"/>
      </w:pPr>
    </w:p>
    <w:p w14:paraId="52EFED67" w14:textId="65204529" w:rsidR="00BD6AF3" w:rsidRDefault="00BD6AF3" w:rsidP="00BD6AF3">
      <w:pPr>
        <w:pStyle w:val="ListParagraph"/>
        <w:numPr>
          <w:ilvl w:val="0"/>
          <w:numId w:val="1"/>
        </w:numPr>
        <w:ind w:left="360"/>
      </w:pPr>
      <w:r>
        <w:t>New construction in a future sewer service area.</w:t>
      </w:r>
    </w:p>
    <w:p w14:paraId="7F96D108" w14:textId="77777777" w:rsidR="00BD6AF3" w:rsidRDefault="00BD6AF3" w:rsidP="00BD6AF3">
      <w:pPr>
        <w:pStyle w:val="ListParagraph"/>
        <w:ind w:left="360"/>
      </w:pPr>
    </w:p>
    <w:p w14:paraId="2E5443A6" w14:textId="0F1D51AE" w:rsidR="00BD6AF3" w:rsidRDefault="00BD6AF3" w:rsidP="001D50BD">
      <w:pPr>
        <w:pStyle w:val="ListParagraph"/>
        <w:numPr>
          <w:ilvl w:val="0"/>
          <w:numId w:val="3"/>
        </w:numPr>
      </w:pPr>
      <w:r>
        <w:lastRenderedPageBreak/>
        <w:t xml:space="preserve">New construction in a future sewer service area </w:t>
      </w:r>
      <w:r w:rsidR="00C42BDE">
        <w:t>shall</w:t>
      </w:r>
      <w:r>
        <w:t xml:space="preserve"> not be required to incorporate Best Available Nitrogen Reducing Technology if </w:t>
      </w:r>
      <w:r w:rsidR="006074D5">
        <w:t>the design for a</w:t>
      </w:r>
      <w:r>
        <w:t xml:space="preserve"> sewer service connection </w:t>
      </w:r>
      <w:r w:rsidR="00512643">
        <w:t xml:space="preserve">for the property </w:t>
      </w:r>
      <w:r w:rsidR="000866D8">
        <w:t>has been funded by an Article in Town Meeting</w:t>
      </w:r>
      <w:r w:rsidR="00512643">
        <w:t>.</w:t>
      </w:r>
    </w:p>
    <w:p w14:paraId="14DC7C57" w14:textId="77777777" w:rsidR="00C61E89" w:rsidRDefault="00C61E89" w:rsidP="00BD6AF3">
      <w:pPr>
        <w:pStyle w:val="ListParagraph"/>
        <w:ind w:left="360"/>
      </w:pPr>
    </w:p>
    <w:p w14:paraId="60B70145" w14:textId="1D104D9F" w:rsidR="001159FE" w:rsidRDefault="001159FE" w:rsidP="000C7F3D">
      <w:pPr>
        <w:pStyle w:val="ListParagraph"/>
        <w:numPr>
          <w:ilvl w:val="0"/>
          <w:numId w:val="1"/>
        </w:numPr>
        <w:ind w:left="360"/>
      </w:pPr>
      <w:r>
        <w:t>Credit for installation of the Best Available Nitrogen Reducing Technology</w:t>
      </w:r>
      <w:r w:rsidR="00701DC8">
        <w:t xml:space="preserve"> in sewered areas</w:t>
      </w:r>
    </w:p>
    <w:p w14:paraId="2FA0F657" w14:textId="77777777" w:rsidR="001D50BD" w:rsidRDefault="001D50BD" w:rsidP="001D50BD">
      <w:pPr>
        <w:pStyle w:val="ListParagraph"/>
        <w:ind w:left="360"/>
      </w:pPr>
    </w:p>
    <w:p w14:paraId="67B8AFD9" w14:textId="710E34EB" w:rsidR="001159FE" w:rsidRDefault="001159FE" w:rsidP="001D50BD">
      <w:pPr>
        <w:pStyle w:val="ListParagraph"/>
        <w:numPr>
          <w:ilvl w:val="0"/>
          <w:numId w:val="4"/>
        </w:numPr>
      </w:pPr>
      <w:r>
        <w:t xml:space="preserve">Structures that have incorporated the Best Available Nitrogen Reducing Technology in their subsurface sewage disposal system shall not be required to connect to </w:t>
      </w:r>
      <w:r w:rsidR="00701DC8">
        <w:t>the</w:t>
      </w:r>
      <w:r>
        <w:t xml:space="preserve"> sewer for a period of 15 years after the</w:t>
      </w:r>
      <w:r w:rsidR="00701DC8">
        <w:t xml:space="preserve"> sewer project has been completed</w:t>
      </w:r>
      <w:r w:rsidR="00512643">
        <w:t>, or 20 years after a Nitrogen Reducing System has been installed, whichever is shorter</w:t>
      </w:r>
      <w:r>
        <w:t>.</w:t>
      </w:r>
      <w:r w:rsidR="006074D5">
        <w:t xml:space="preserve"> This</w:t>
      </w:r>
      <w:r w:rsidR="00B75219">
        <w:t xml:space="preserve"> time</w:t>
      </w:r>
      <w:r w:rsidR="006074D5">
        <w:t xml:space="preserve"> credit does not exempt an owner from any sewer betterment charges</w:t>
      </w:r>
      <w:r w:rsidR="00DF0F50">
        <w:t xml:space="preserve"> assigned to the property</w:t>
      </w:r>
      <w:r w:rsidR="006074D5">
        <w:t>.</w:t>
      </w:r>
    </w:p>
    <w:p w14:paraId="4C6EA4B0" w14:textId="1C45F780" w:rsidR="00DE7492" w:rsidRDefault="00DE7492" w:rsidP="001D50BD">
      <w:pPr>
        <w:pStyle w:val="ListParagraph"/>
        <w:numPr>
          <w:ilvl w:val="0"/>
          <w:numId w:val="4"/>
        </w:numPr>
      </w:pPr>
      <w:r>
        <w:t>If the subsurface sewage disposal system fails, or fails to operate as approved, the structure must connect to the sewer</w:t>
      </w:r>
      <w:r w:rsidR="00512643">
        <w:t xml:space="preserve"> on a schedule determined by the Board of Health, but not less than 2 years following failure.</w:t>
      </w:r>
    </w:p>
    <w:p w14:paraId="4FEC9C20" w14:textId="6D27446D" w:rsidR="00D956CB" w:rsidRDefault="00D956CB" w:rsidP="00E3138E"/>
    <w:sectPr w:rsidR="00D956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4434A" w14:textId="77777777" w:rsidR="000C126E" w:rsidRDefault="000C126E" w:rsidP="00C55263">
      <w:pPr>
        <w:spacing w:after="0" w:line="240" w:lineRule="auto"/>
      </w:pPr>
      <w:r>
        <w:separator/>
      </w:r>
    </w:p>
  </w:endnote>
  <w:endnote w:type="continuationSeparator" w:id="0">
    <w:p w14:paraId="6F099308" w14:textId="77777777" w:rsidR="000C126E" w:rsidRDefault="000C126E" w:rsidP="00C5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6F3A" w14:textId="77777777" w:rsidR="000C126E" w:rsidRDefault="000C126E" w:rsidP="00C55263">
      <w:pPr>
        <w:spacing w:after="0" w:line="240" w:lineRule="auto"/>
      </w:pPr>
      <w:r>
        <w:separator/>
      </w:r>
    </w:p>
  </w:footnote>
  <w:footnote w:type="continuationSeparator" w:id="0">
    <w:p w14:paraId="16CFBEDA" w14:textId="77777777" w:rsidR="000C126E" w:rsidRDefault="000C126E" w:rsidP="00C5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6BB2" w14:textId="16789D3C" w:rsidR="00C55263" w:rsidRDefault="00C55263">
    <w:pPr>
      <w:pStyle w:val="Header"/>
    </w:pPr>
    <w:r>
      <w:t xml:space="preserve">J Goldstone </w:t>
    </w:r>
    <w:r w:rsidR="004378F2">
      <w:t>3</w:t>
    </w:r>
    <w:r>
      <w:t>/</w:t>
    </w:r>
    <w:r w:rsidR="00C713CF">
      <w:t>2</w:t>
    </w:r>
    <w:r w:rsidR="000B0A71">
      <w:t>8</w:t>
    </w:r>
    <w:r>
      <w:t xml:space="preserve">/25 </w:t>
    </w:r>
  </w:p>
  <w:p w14:paraId="01887C8B" w14:textId="77777777" w:rsidR="00C55263" w:rsidRDefault="00C5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063C0"/>
    <w:multiLevelType w:val="hybridMultilevel"/>
    <w:tmpl w:val="FC9A3BC8"/>
    <w:lvl w:ilvl="0" w:tplc="B9BAC4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C7E2A"/>
    <w:multiLevelType w:val="hybridMultilevel"/>
    <w:tmpl w:val="A884622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A4C14"/>
    <w:multiLevelType w:val="hybridMultilevel"/>
    <w:tmpl w:val="7C868C74"/>
    <w:lvl w:ilvl="0" w:tplc="B92407CE">
      <w:start w:val="1"/>
      <w:numFmt w:val="lowerLetter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659"/>
    <w:multiLevelType w:val="hybridMultilevel"/>
    <w:tmpl w:val="A8846226"/>
    <w:lvl w:ilvl="0" w:tplc="6EE48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56726"/>
    <w:multiLevelType w:val="hybridMultilevel"/>
    <w:tmpl w:val="7756869E"/>
    <w:lvl w:ilvl="0" w:tplc="008A2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7208"/>
    <w:multiLevelType w:val="hybridMultilevel"/>
    <w:tmpl w:val="AA82B33E"/>
    <w:lvl w:ilvl="0" w:tplc="6B46BF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05DA5"/>
    <w:multiLevelType w:val="hybridMultilevel"/>
    <w:tmpl w:val="44F84A14"/>
    <w:lvl w:ilvl="0" w:tplc="EBD85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76E6F"/>
    <w:multiLevelType w:val="hybridMultilevel"/>
    <w:tmpl w:val="03F07C46"/>
    <w:lvl w:ilvl="0" w:tplc="A828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07DC"/>
    <w:multiLevelType w:val="hybridMultilevel"/>
    <w:tmpl w:val="4EBC1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61700">
    <w:abstractNumId w:val="8"/>
  </w:num>
  <w:num w:numId="2" w16cid:durableId="957025895">
    <w:abstractNumId w:val="3"/>
  </w:num>
  <w:num w:numId="3" w16cid:durableId="7606650">
    <w:abstractNumId w:val="5"/>
  </w:num>
  <w:num w:numId="4" w16cid:durableId="1560172155">
    <w:abstractNumId w:val="4"/>
  </w:num>
  <w:num w:numId="5" w16cid:durableId="365764581">
    <w:abstractNumId w:val="7"/>
  </w:num>
  <w:num w:numId="6" w16cid:durableId="900479566">
    <w:abstractNumId w:val="6"/>
  </w:num>
  <w:num w:numId="7" w16cid:durableId="616448319">
    <w:abstractNumId w:val="0"/>
  </w:num>
  <w:num w:numId="8" w16cid:durableId="461046493">
    <w:abstractNumId w:val="2"/>
  </w:num>
  <w:num w:numId="9" w16cid:durableId="151638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26"/>
    <w:rsid w:val="000766B1"/>
    <w:rsid w:val="000866D8"/>
    <w:rsid w:val="000B0A71"/>
    <w:rsid w:val="000B4F05"/>
    <w:rsid w:val="000C126E"/>
    <w:rsid w:val="000C7F3D"/>
    <w:rsid w:val="000D316C"/>
    <w:rsid w:val="000D6215"/>
    <w:rsid w:val="000E7594"/>
    <w:rsid w:val="000F0C92"/>
    <w:rsid w:val="001105EF"/>
    <w:rsid w:val="001159FE"/>
    <w:rsid w:val="00121CBF"/>
    <w:rsid w:val="001C16E6"/>
    <w:rsid w:val="001D50BD"/>
    <w:rsid w:val="00211F61"/>
    <w:rsid w:val="002222B0"/>
    <w:rsid w:val="0023105F"/>
    <w:rsid w:val="00242650"/>
    <w:rsid w:val="002650BA"/>
    <w:rsid w:val="0027480E"/>
    <w:rsid w:val="0028010C"/>
    <w:rsid w:val="002A4FFC"/>
    <w:rsid w:val="002B784D"/>
    <w:rsid w:val="00331048"/>
    <w:rsid w:val="0034417E"/>
    <w:rsid w:val="003464ED"/>
    <w:rsid w:val="00383A80"/>
    <w:rsid w:val="003D0068"/>
    <w:rsid w:val="003D0BDE"/>
    <w:rsid w:val="004150CF"/>
    <w:rsid w:val="00431794"/>
    <w:rsid w:val="004378F2"/>
    <w:rsid w:val="00495116"/>
    <w:rsid w:val="004C163E"/>
    <w:rsid w:val="00512643"/>
    <w:rsid w:val="00547BAD"/>
    <w:rsid w:val="00592CE3"/>
    <w:rsid w:val="005D7916"/>
    <w:rsid w:val="006011E7"/>
    <w:rsid w:val="006074D5"/>
    <w:rsid w:val="0062596E"/>
    <w:rsid w:val="00626886"/>
    <w:rsid w:val="00670641"/>
    <w:rsid w:val="00674275"/>
    <w:rsid w:val="006D41A9"/>
    <w:rsid w:val="006E2F91"/>
    <w:rsid w:val="00701DC8"/>
    <w:rsid w:val="007222F8"/>
    <w:rsid w:val="00741DF6"/>
    <w:rsid w:val="00786800"/>
    <w:rsid w:val="0079488F"/>
    <w:rsid w:val="007E7BC9"/>
    <w:rsid w:val="008309F6"/>
    <w:rsid w:val="00881AC9"/>
    <w:rsid w:val="00957E14"/>
    <w:rsid w:val="009D2567"/>
    <w:rsid w:val="009D5F04"/>
    <w:rsid w:val="009E6303"/>
    <w:rsid w:val="00A35BD9"/>
    <w:rsid w:val="00A52AC7"/>
    <w:rsid w:val="00A663AF"/>
    <w:rsid w:val="00A821F3"/>
    <w:rsid w:val="00AD49AB"/>
    <w:rsid w:val="00B07B39"/>
    <w:rsid w:val="00B42024"/>
    <w:rsid w:val="00B75219"/>
    <w:rsid w:val="00BC5325"/>
    <w:rsid w:val="00BD6AF3"/>
    <w:rsid w:val="00C1779F"/>
    <w:rsid w:val="00C418CD"/>
    <w:rsid w:val="00C42BDE"/>
    <w:rsid w:val="00C44FF2"/>
    <w:rsid w:val="00C55263"/>
    <w:rsid w:val="00C56C54"/>
    <w:rsid w:val="00C61E89"/>
    <w:rsid w:val="00C713CF"/>
    <w:rsid w:val="00CB7063"/>
    <w:rsid w:val="00CD3A92"/>
    <w:rsid w:val="00CD55F3"/>
    <w:rsid w:val="00D24604"/>
    <w:rsid w:val="00D32AE2"/>
    <w:rsid w:val="00D66C56"/>
    <w:rsid w:val="00D761E0"/>
    <w:rsid w:val="00D83928"/>
    <w:rsid w:val="00D956CB"/>
    <w:rsid w:val="00DA00A7"/>
    <w:rsid w:val="00DE4900"/>
    <w:rsid w:val="00DE7492"/>
    <w:rsid w:val="00DF0F50"/>
    <w:rsid w:val="00E0440A"/>
    <w:rsid w:val="00E3138E"/>
    <w:rsid w:val="00E53304"/>
    <w:rsid w:val="00EA1C26"/>
    <w:rsid w:val="00ED7123"/>
    <w:rsid w:val="00F630E2"/>
    <w:rsid w:val="00F63808"/>
    <w:rsid w:val="00FA600B"/>
    <w:rsid w:val="00FB31D7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A18E"/>
  <w15:chartTrackingRefBased/>
  <w15:docId w15:val="{61B9729A-AEAE-4E7D-9D4C-8D61B2C4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C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C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C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C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C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C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C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C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C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C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C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C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C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C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C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C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C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C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C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C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C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C2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A4F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263"/>
  </w:style>
  <w:style w:type="paragraph" w:styleId="Footer">
    <w:name w:val="footer"/>
    <w:basedOn w:val="Normal"/>
    <w:link w:val="FooterChar"/>
    <w:uiPriority w:val="99"/>
    <w:unhideWhenUsed/>
    <w:rsid w:val="00C5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5501-2DCB-4379-B8A0-B57424D7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Heufelder</dc:creator>
  <cp:keywords/>
  <dc:description/>
  <cp:lastModifiedBy>Morgan Cardoso</cp:lastModifiedBy>
  <cp:revision>2</cp:revision>
  <dcterms:created xsi:type="dcterms:W3CDTF">2025-04-30T19:15:00Z</dcterms:created>
  <dcterms:modified xsi:type="dcterms:W3CDTF">2025-04-30T19:15:00Z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8ca930-c773-4612-ba57-7600e9043226_Enabled">
    <vt:lpwstr>true</vt:lpwstr>
  </property>
  <property fmtid="{D5CDD505-2E9C-101B-9397-08002B2CF9AE}" pid="3" name="MSIP_Label_4b8ca930-c773-4612-ba57-7600e9043226_SetDate">
    <vt:lpwstr>2024-11-03T19:23:54Z</vt:lpwstr>
  </property>
  <property fmtid="{D5CDD505-2E9C-101B-9397-08002B2CF9AE}" pid="4" name="MSIP_Label_4b8ca930-c773-4612-ba57-7600e9043226_Method">
    <vt:lpwstr>Standard</vt:lpwstr>
  </property>
  <property fmtid="{D5CDD505-2E9C-101B-9397-08002B2CF9AE}" pid="5" name="MSIP_Label_4b8ca930-c773-4612-ba57-7600e9043226_Name">
    <vt:lpwstr>defa4170-0d19-0005-0004-bc88714345d2</vt:lpwstr>
  </property>
  <property fmtid="{D5CDD505-2E9C-101B-9397-08002B2CF9AE}" pid="6" name="MSIP_Label_4b8ca930-c773-4612-ba57-7600e9043226_SiteId">
    <vt:lpwstr>84475217-b423-48db-b766-ed4bbbea74f1</vt:lpwstr>
  </property>
  <property fmtid="{D5CDD505-2E9C-101B-9397-08002B2CF9AE}" pid="7" name="MSIP_Label_4b8ca930-c773-4612-ba57-7600e9043226_ActionId">
    <vt:lpwstr>ef2e9325-ae34-4f52-834f-eee5e1c27823</vt:lpwstr>
  </property>
  <property fmtid="{D5CDD505-2E9C-101B-9397-08002B2CF9AE}" pid="8" name="MSIP_Label_4b8ca930-c773-4612-ba57-7600e9043226_ContentBits">
    <vt:lpwstr>0</vt:lpwstr>
  </property>
</Properties>
</file>