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B9" w:rsidRDefault="000F72B9" w:rsidP="000F72B9">
      <w:pPr>
        <w:rPr>
          <w:rFonts w:ascii="Helvetica" w:hAnsi="Helvetica" w:cs="Helvetica"/>
          <w:b/>
          <w:bCs/>
          <w:color w:val="254B6D"/>
          <w:sz w:val="28"/>
          <w:szCs w:val="28"/>
        </w:rPr>
      </w:pPr>
      <w:r>
        <w:rPr>
          <w:rFonts w:ascii="Helvetica" w:hAnsi="Helvetica" w:cs="Helvetica"/>
          <w:b/>
          <w:bCs/>
          <w:color w:val="254B6D"/>
          <w:sz w:val="28"/>
          <w:szCs w:val="28"/>
        </w:rPr>
        <w:t>Electric Utility Customers to Receive TCJA Credit </w:t>
      </w:r>
    </w:p>
    <w:p w:rsidR="000F72B9" w:rsidRDefault="000F72B9" w:rsidP="000F72B9">
      <w:pPr>
        <w:rPr>
          <w:rFonts w:ascii="Helvetica" w:hAnsi="Helvetica" w:cs="Helvetica"/>
          <w:b/>
          <w:bCs/>
          <w:color w:val="254B6D"/>
          <w:sz w:val="28"/>
          <w:szCs w:val="28"/>
        </w:rPr>
      </w:pPr>
      <w:r>
        <w:rPr>
          <w:rFonts w:ascii="Helvetica" w:hAnsi="Helvetica" w:cs="Helvetica"/>
          <w:b/>
          <w:bCs/>
          <w:color w:val="254B6D"/>
          <w:sz w:val="28"/>
          <w:szCs w:val="28"/>
        </w:rPr>
        <w:t> </w:t>
      </w:r>
    </w:p>
    <w:p w:rsidR="000F72B9" w:rsidRDefault="000F72B9" w:rsidP="000F72B9">
      <w:pPr>
        <w:rPr>
          <w:rFonts w:ascii="Verdana" w:hAnsi="Verdana"/>
          <w:color w:val="292929"/>
          <w:sz w:val="22"/>
          <w:szCs w:val="22"/>
        </w:rPr>
      </w:pPr>
      <w:r>
        <w:rPr>
          <w:rFonts w:ascii="Verdana" w:hAnsi="Verdana"/>
          <w:color w:val="292929"/>
          <w:sz w:val="22"/>
          <w:szCs w:val="22"/>
        </w:rPr>
        <w:t>There are 15 Investor-Owned Utilities (IOUs) operating in Wisconsin. They are all organized as Chapter C corporations and the federal Tax Cuts and Jobs Act (TCJA) reduced their corporate tax rate from a maximum of 35% to a flat 21% rate for tax years beginning after 2017.</w:t>
      </w:r>
    </w:p>
    <w:p w:rsidR="000F72B9" w:rsidRDefault="000F72B9" w:rsidP="000F72B9">
      <w:pPr>
        <w:rPr>
          <w:rFonts w:ascii="Verdana" w:hAnsi="Verdana"/>
          <w:color w:val="292929"/>
          <w:sz w:val="22"/>
          <w:szCs w:val="22"/>
        </w:rPr>
      </w:pPr>
      <w:r>
        <w:rPr>
          <w:rFonts w:ascii="Verdana" w:hAnsi="Verdana"/>
          <w:color w:val="292929"/>
          <w:sz w:val="22"/>
          <w:szCs w:val="22"/>
        </w:rPr>
        <w:t> </w:t>
      </w:r>
    </w:p>
    <w:p w:rsidR="000F72B9" w:rsidRDefault="000F72B9" w:rsidP="000F72B9">
      <w:pPr>
        <w:rPr>
          <w:rFonts w:ascii="Verdana" w:hAnsi="Verdana"/>
          <w:color w:val="292929"/>
          <w:sz w:val="22"/>
          <w:szCs w:val="22"/>
        </w:rPr>
      </w:pPr>
      <w:r>
        <w:rPr>
          <w:rFonts w:ascii="Verdana" w:hAnsi="Verdana"/>
          <w:color w:val="292929"/>
          <w:sz w:val="22"/>
          <w:szCs w:val="22"/>
        </w:rPr>
        <w:t>Taxes paid by Wisconsin IOUs are considered when the Wisconsin Public Service Commission (PSC) sets electric utility rates. Earlier this year, the PSC directed Wisconsin IOUs to provide information on how they propose to account for this tax reduction. Last Thursday, the PSC issued its final order on this matter. Of note:</w:t>
      </w:r>
    </w:p>
    <w:p w:rsidR="000F72B9" w:rsidRDefault="000F72B9" w:rsidP="000F72B9">
      <w:pPr>
        <w:numPr>
          <w:ilvl w:val="0"/>
          <w:numId w:val="1"/>
        </w:numPr>
        <w:spacing w:before="100" w:beforeAutospacing="1" w:after="100" w:afterAutospacing="1"/>
        <w:rPr>
          <w:rFonts w:ascii="Verdana" w:hAnsi="Verdana"/>
          <w:color w:val="292929"/>
          <w:sz w:val="22"/>
          <w:szCs w:val="22"/>
        </w:rPr>
      </w:pPr>
      <w:r>
        <w:rPr>
          <w:rFonts w:ascii="Verdana" w:hAnsi="Verdana"/>
          <w:color w:val="292929"/>
          <w:sz w:val="22"/>
          <w:szCs w:val="22"/>
        </w:rPr>
        <w:t>The PSC determined Wisconsin IOUs will over-collect from utility customers an estimated $190 million to $198 million annually because the rates customers are currently paying are based on the revenue requirement at the higher federal tax rate. </w:t>
      </w:r>
    </w:p>
    <w:p w:rsidR="000F72B9" w:rsidRDefault="000F72B9" w:rsidP="000F72B9">
      <w:pPr>
        <w:numPr>
          <w:ilvl w:val="0"/>
          <w:numId w:val="2"/>
        </w:numPr>
        <w:spacing w:before="100" w:beforeAutospacing="1" w:after="100" w:afterAutospacing="1"/>
        <w:rPr>
          <w:rFonts w:ascii="Verdana" w:hAnsi="Verdana"/>
          <w:color w:val="292929"/>
          <w:sz w:val="22"/>
          <w:szCs w:val="22"/>
        </w:rPr>
      </w:pPr>
      <w:r>
        <w:rPr>
          <w:rFonts w:ascii="Verdana" w:hAnsi="Verdana"/>
          <w:color w:val="292929"/>
          <w:sz w:val="22"/>
          <w:szCs w:val="22"/>
        </w:rPr>
        <w:t>The PSC directed them to return $140.7 million annually through a bill credit consisting of a one-time lump sum payment for the income statement component that has already been collected from customers, and, thereafter, a monthly on-going bill credit.        </w:t>
      </w:r>
    </w:p>
    <w:p w:rsidR="000F72B9" w:rsidRDefault="000F72B9" w:rsidP="000F72B9">
      <w:pPr>
        <w:rPr>
          <w:rFonts w:ascii="Verdana" w:hAnsi="Verdana"/>
          <w:color w:val="292929"/>
          <w:sz w:val="22"/>
          <w:szCs w:val="22"/>
        </w:rPr>
      </w:pPr>
      <w:r>
        <w:rPr>
          <w:rFonts w:ascii="Verdana" w:hAnsi="Verdana"/>
          <w:color w:val="292929"/>
          <w:sz w:val="22"/>
          <w:szCs w:val="22"/>
        </w:rPr>
        <w:t>        Utility                                                   Estimated</w:t>
      </w:r>
      <w:r>
        <w:rPr>
          <w:rFonts w:ascii="Verdana" w:hAnsi="Verdana"/>
          <w:color w:val="292929"/>
          <w:sz w:val="22"/>
          <w:szCs w:val="22"/>
        </w:rPr>
        <w:t xml:space="preserve"> A</w:t>
      </w:r>
      <w:r>
        <w:rPr>
          <w:rFonts w:ascii="Verdana" w:hAnsi="Verdana"/>
          <w:color w:val="292929"/>
          <w:sz w:val="22"/>
          <w:szCs w:val="22"/>
        </w:rPr>
        <w:t>nnual</w:t>
      </w:r>
      <w:r>
        <w:rPr>
          <w:rFonts w:ascii="Verdana" w:hAnsi="Verdana"/>
          <w:color w:val="292929"/>
          <w:sz w:val="22"/>
          <w:szCs w:val="22"/>
        </w:rPr>
        <w:t xml:space="preserve"> </w:t>
      </w:r>
      <w:bookmarkStart w:id="0" w:name="_GoBack"/>
      <w:bookmarkEnd w:id="0"/>
      <w:r>
        <w:rPr>
          <w:rFonts w:ascii="Verdana" w:hAnsi="Verdana"/>
          <w:color w:val="292929"/>
          <w:sz w:val="22"/>
          <w:szCs w:val="22"/>
        </w:rPr>
        <w:t>Bill Credit</w:t>
      </w:r>
    </w:p>
    <w:p w:rsidR="000F72B9" w:rsidRDefault="000F72B9" w:rsidP="000F72B9">
      <w:pPr>
        <w:rPr>
          <w:rFonts w:ascii="Verdana" w:hAnsi="Verdana"/>
          <w:color w:val="292929"/>
          <w:sz w:val="22"/>
          <w:szCs w:val="22"/>
        </w:rPr>
      </w:pPr>
      <w:r>
        <w:rPr>
          <w:rFonts w:ascii="Verdana" w:hAnsi="Verdana"/>
          <w:color w:val="292929"/>
          <w:sz w:val="22"/>
          <w:szCs w:val="22"/>
        </w:rPr>
        <w:t>        </w:t>
      </w:r>
    </w:p>
    <w:p w:rsidR="000F72B9" w:rsidRDefault="000F72B9" w:rsidP="000F72B9">
      <w:pPr>
        <w:rPr>
          <w:rFonts w:ascii="Verdana" w:hAnsi="Verdana"/>
          <w:color w:val="292929"/>
          <w:sz w:val="22"/>
          <w:szCs w:val="22"/>
        </w:rPr>
      </w:pPr>
      <w:r>
        <w:rPr>
          <w:rFonts w:ascii="Verdana" w:hAnsi="Verdana"/>
          <w:color w:val="292929"/>
          <w:sz w:val="22"/>
          <w:szCs w:val="22"/>
        </w:rPr>
        <w:t>        Wisconsin Power &amp; Light                            $40,000,000</w:t>
      </w:r>
    </w:p>
    <w:p w:rsidR="000F72B9" w:rsidRDefault="000F72B9" w:rsidP="000F72B9">
      <w:pPr>
        <w:rPr>
          <w:rFonts w:ascii="Verdana" w:hAnsi="Verdana"/>
          <w:color w:val="292929"/>
          <w:sz w:val="22"/>
          <w:szCs w:val="22"/>
        </w:rPr>
      </w:pPr>
      <w:r>
        <w:rPr>
          <w:rFonts w:ascii="Verdana" w:hAnsi="Verdana"/>
          <w:color w:val="292929"/>
          <w:sz w:val="22"/>
          <w:szCs w:val="22"/>
        </w:rPr>
        <w:t>        Northern States Power (Xcel Energy)            26,991,935</w:t>
      </w:r>
    </w:p>
    <w:p w:rsidR="000F72B9" w:rsidRDefault="000F72B9" w:rsidP="000F72B9">
      <w:pPr>
        <w:rPr>
          <w:rFonts w:ascii="Verdana" w:hAnsi="Verdana"/>
          <w:color w:val="292929"/>
          <w:sz w:val="22"/>
          <w:szCs w:val="22"/>
        </w:rPr>
      </w:pPr>
      <w:r>
        <w:rPr>
          <w:rFonts w:ascii="Verdana" w:hAnsi="Verdana"/>
          <w:color w:val="292929"/>
          <w:sz w:val="22"/>
          <w:szCs w:val="22"/>
        </w:rPr>
        <w:t>        Wisconsin Public Service Corporation            22,800,000</w:t>
      </w:r>
    </w:p>
    <w:p w:rsidR="000F72B9" w:rsidRDefault="000F72B9" w:rsidP="000F72B9">
      <w:pPr>
        <w:rPr>
          <w:rFonts w:ascii="Verdana" w:hAnsi="Verdana"/>
          <w:color w:val="292929"/>
          <w:sz w:val="22"/>
          <w:szCs w:val="22"/>
        </w:rPr>
      </w:pPr>
      <w:r>
        <w:rPr>
          <w:rFonts w:ascii="Verdana" w:hAnsi="Verdana"/>
          <w:color w:val="292929"/>
          <w:sz w:val="22"/>
          <w:szCs w:val="22"/>
        </w:rPr>
        <w:t>        Wisconsin Electric Power Company               20,800,000</w:t>
      </w:r>
    </w:p>
    <w:p w:rsidR="000F72B9" w:rsidRDefault="000F72B9" w:rsidP="000F72B9">
      <w:pPr>
        <w:rPr>
          <w:rFonts w:ascii="Verdana" w:hAnsi="Verdana"/>
          <w:color w:val="292929"/>
          <w:sz w:val="22"/>
          <w:szCs w:val="22"/>
        </w:rPr>
      </w:pPr>
      <w:r>
        <w:rPr>
          <w:rFonts w:ascii="Verdana" w:hAnsi="Verdana"/>
          <w:color w:val="292929"/>
          <w:sz w:val="22"/>
          <w:szCs w:val="22"/>
        </w:rPr>
        <w:t>        Wisconsin Gas                                            19,000,000</w:t>
      </w:r>
    </w:p>
    <w:p w:rsidR="000F72B9" w:rsidRDefault="000F72B9" w:rsidP="000F72B9">
      <w:pPr>
        <w:rPr>
          <w:rFonts w:ascii="Verdana" w:hAnsi="Verdana"/>
          <w:color w:val="292929"/>
          <w:sz w:val="22"/>
          <w:szCs w:val="22"/>
        </w:rPr>
      </w:pPr>
      <w:r>
        <w:rPr>
          <w:rFonts w:ascii="Verdana" w:hAnsi="Verdana"/>
          <w:color w:val="292929"/>
          <w:sz w:val="22"/>
          <w:szCs w:val="22"/>
        </w:rPr>
        <w:t>        Madison Gas &amp; Electric                                  8,000,000</w:t>
      </w:r>
    </w:p>
    <w:p w:rsidR="000F72B9" w:rsidRDefault="000F72B9" w:rsidP="000F72B9">
      <w:pPr>
        <w:rPr>
          <w:rFonts w:ascii="Verdana" w:hAnsi="Verdana"/>
          <w:color w:val="292929"/>
          <w:sz w:val="22"/>
          <w:szCs w:val="22"/>
        </w:rPr>
      </w:pPr>
      <w:r>
        <w:rPr>
          <w:rFonts w:ascii="Verdana" w:hAnsi="Verdana"/>
          <w:color w:val="292929"/>
          <w:sz w:val="22"/>
          <w:szCs w:val="22"/>
        </w:rPr>
        <w:t>        Superior Water, Light &amp; Power                       1,322,022</w:t>
      </w:r>
    </w:p>
    <w:p w:rsidR="000F72B9" w:rsidRDefault="000F72B9" w:rsidP="000F72B9">
      <w:pPr>
        <w:rPr>
          <w:rFonts w:ascii="Verdana" w:hAnsi="Verdana"/>
          <w:color w:val="292929"/>
          <w:sz w:val="22"/>
          <w:szCs w:val="22"/>
        </w:rPr>
      </w:pPr>
      <w:r>
        <w:rPr>
          <w:rFonts w:ascii="Verdana" w:hAnsi="Verdana"/>
          <w:color w:val="292929"/>
          <w:sz w:val="22"/>
          <w:szCs w:val="22"/>
        </w:rPr>
        <w:t>        Northwestern Electric Power                             501,677</w:t>
      </w:r>
    </w:p>
    <w:p w:rsidR="000F72B9" w:rsidRDefault="000F72B9" w:rsidP="000F72B9">
      <w:pPr>
        <w:rPr>
          <w:rFonts w:ascii="Verdana" w:hAnsi="Verdana"/>
          <w:color w:val="292929"/>
          <w:sz w:val="22"/>
          <w:szCs w:val="22"/>
        </w:rPr>
      </w:pPr>
      <w:r>
        <w:rPr>
          <w:rFonts w:ascii="Verdana" w:hAnsi="Verdana"/>
          <w:color w:val="292929"/>
          <w:sz w:val="22"/>
          <w:szCs w:val="22"/>
        </w:rPr>
        <w:t>        Consolidated Water Power                                435,133</w:t>
      </w:r>
    </w:p>
    <w:p w:rsidR="000F72B9" w:rsidRDefault="000F72B9" w:rsidP="000F72B9">
      <w:pPr>
        <w:rPr>
          <w:rFonts w:ascii="Verdana" w:hAnsi="Verdana"/>
          <w:color w:val="292929"/>
          <w:sz w:val="22"/>
          <w:szCs w:val="22"/>
        </w:rPr>
      </w:pPr>
      <w:r>
        <w:rPr>
          <w:rFonts w:ascii="Verdana" w:hAnsi="Verdana"/>
          <w:color w:val="292929"/>
          <w:sz w:val="22"/>
          <w:szCs w:val="22"/>
        </w:rPr>
        <w:t>        Dahlberg Light &amp; Power                                    318,439</w:t>
      </w:r>
    </w:p>
    <w:p w:rsidR="000F72B9" w:rsidRDefault="000F72B9" w:rsidP="000F72B9">
      <w:pPr>
        <w:rPr>
          <w:rFonts w:ascii="Verdana" w:hAnsi="Verdana"/>
          <w:color w:val="292929"/>
          <w:sz w:val="22"/>
          <w:szCs w:val="22"/>
        </w:rPr>
      </w:pPr>
      <w:r>
        <w:rPr>
          <w:rFonts w:ascii="Verdana" w:hAnsi="Verdana"/>
          <w:color w:val="292929"/>
          <w:sz w:val="22"/>
          <w:szCs w:val="22"/>
        </w:rPr>
        <w:t>        Midwest Natural Gas                                        306,774</w:t>
      </w:r>
    </w:p>
    <w:p w:rsidR="000F72B9" w:rsidRDefault="000F72B9" w:rsidP="000F72B9">
      <w:pPr>
        <w:rPr>
          <w:rFonts w:ascii="Verdana" w:hAnsi="Verdana"/>
          <w:color w:val="292929"/>
          <w:sz w:val="22"/>
          <w:szCs w:val="22"/>
        </w:rPr>
      </w:pPr>
      <w:r>
        <w:rPr>
          <w:rFonts w:ascii="Verdana" w:hAnsi="Verdana"/>
          <w:color w:val="292929"/>
          <w:sz w:val="22"/>
          <w:szCs w:val="22"/>
        </w:rPr>
        <w:t>        City Gas Company                                           120,694</w:t>
      </w:r>
    </w:p>
    <w:p w:rsidR="000F72B9" w:rsidRDefault="000F72B9" w:rsidP="000F72B9">
      <w:pPr>
        <w:rPr>
          <w:rFonts w:ascii="Verdana" w:hAnsi="Verdana"/>
          <w:color w:val="292929"/>
          <w:sz w:val="22"/>
          <w:szCs w:val="22"/>
        </w:rPr>
      </w:pPr>
      <w:r>
        <w:rPr>
          <w:rFonts w:ascii="Verdana" w:hAnsi="Verdana"/>
          <w:color w:val="292929"/>
          <w:sz w:val="22"/>
          <w:szCs w:val="22"/>
        </w:rPr>
        <w:t>        Pioneer Power &amp; Light                                        56,623</w:t>
      </w:r>
    </w:p>
    <w:p w:rsidR="000F72B9" w:rsidRDefault="000F72B9" w:rsidP="000F72B9">
      <w:pPr>
        <w:rPr>
          <w:rFonts w:ascii="Verdana" w:hAnsi="Verdana"/>
          <w:color w:val="292929"/>
          <w:sz w:val="22"/>
          <w:szCs w:val="22"/>
        </w:rPr>
      </w:pPr>
      <w:r>
        <w:rPr>
          <w:rFonts w:ascii="Verdana" w:hAnsi="Verdana"/>
          <w:color w:val="292929"/>
          <w:sz w:val="22"/>
          <w:szCs w:val="22"/>
        </w:rPr>
        <w:t xml:space="preserve">        </w:t>
      </w:r>
      <w:proofErr w:type="spellStart"/>
      <w:r>
        <w:rPr>
          <w:rFonts w:ascii="Verdana" w:hAnsi="Verdana"/>
          <w:color w:val="292929"/>
          <w:sz w:val="22"/>
          <w:szCs w:val="22"/>
        </w:rPr>
        <w:t>St.Croix</w:t>
      </w:r>
      <w:proofErr w:type="spellEnd"/>
      <w:r>
        <w:rPr>
          <w:rFonts w:ascii="Verdana" w:hAnsi="Verdana"/>
          <w:color w:val="292929"/>
          <w:sz w:val="22"/>
          <w:szCs w:val="22"/>
        </w:rPr>
        <w:t xml:space="preserve"> Valley Natural Gas Company                  54,116</w:t>
      </w:r>
    </w:p>
    <w:p w:rsidR="000F72B9" w:rsidRDefault="000F72B9" w:rsidP="000F72B9">
      <w:pPr>
        <w:rPr>
          <w:rFonts w:ascii="Verdana" w:hAnsi="Verdana"/>
          <w:color w:val="292929"/>
          <w:sz w:val="22"/>
          <w:szCs w:val="22"/>
        </w:rPr>
      </w:pPr>
      <w:r>
        <w:rPr>
          <w:rFonts w:ascii="Verdana" w:hAnsi="Verdana"/>
          <w:color w:val="292929"/>
          <w:sz w:val="22"/>
          <w:szCs w:val="22"/>
        </w:rPr>
        <w:t>        Westfield Milling &amp; Electric                                  22,673</w:t>
      </w:r>
    </w:p>
    <w:p w:rsidR="000F72B9" w:rsidRDefault="000F72B9" w:rsidP="000F72B9">
      <w:pPr>
        <w:rPr>
          <w:rFonts w:ascii="Verdana" w:hAnsi="Verdana"/>
          <w:color w:val="292929"/>
          <w:sz w:val="22"/>
          <w:szCs w:val="22"/>
        </w:rPr>
      </w:pPr>
      <w:r>
        <w:rPr>
          <w:rFonts w:ascii="Verdana" w:hAnsi="Verdana"/>
          <w:color w:val="292929"/>
          <w:sz w:val="22"/>
          <w:szCs w:val="22"/>
        </w:rPr>
        <w:t> </w:t>
      </w:r>
    </w:p>
    <w:p w:rsidR="000F72B9" w:rsidRDefault="000F72B9" w:rsidP="000F72B9">
      <w:pPr>
        <w:rPr>
          <w:rFonts w:ascii="Verdana" w:hAnsi="Verdana"/>
          <w:color w:val="292929"/>
          <w:sz w:val="22"/>
          <w:szCs w:val="22"/>
        </w:rPr>
      </w:pPr>
      <w:r>
        <w:rPr>
          <w:rFonts w:ascii="Verdana" w:hAnsi="Verdana"/>
          <w:color w:val="292929"/>
          <w:sz w:val="22"/>
          <w:szCs w:val="22"/>
        </w:rPr>
        <w:t>The one-time credit is to be returned to customers on bills issued no later than July 31, 2018. The ongoing, monthly bill credits starts for usage incurred as of July 1 and must appear on customers' monthly bills on the bill immediately following the bill containing the one-time bill credit. </w:t>
      </w:r>
    </w:p>
    <w:p w:rsidR="00E755AF" w:rsidRDefault="00E755AF"/>
    <w:sectPr w:rsidR="00E7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290B"/>
    <w:multiLevelType w:val="multilevel"/>
    <w:tmpl w:val="A87E7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946B6"/>
    <w:multiLevelType w:val="multilevel"/>
    <w:tmpl w:val="F6A2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B9"/>
    <w:rsid w:val="00016C28"/>
    <w:rsid w:val="00024C22"/>
    <w:rsid w:val="00031C41"/>
    <w:rsid w:val="000421B2"/>
    <w:rsid w:val="0006726D"/>
    <w:rsid w:val="00071EE9"/>
    <w:rsid w:val="00095F38"/>
    <w:rsid w:val="000A78E7"/>
    <w:rsid w:val="000C7CFD"/>
    <w:rsid w:val="000D209E"/>
    <w:rsid w:val="000D6561"/>
    <w:rsid w:val="000F72B9"/>
    <w:rsid w:val="0010443A"/>
    <w:rsid w:val="00105921"/>
    <w:rsid w:val="00136D4F"/>
    <w:rsid w:val="00153E0C"/>
    <w:rsid w:val="00166108"/>
    <w:rsid w:val="00170813"/>
    <w:rsid w:val="001A2139"/>
    <w:rsid w:val="001A750D"/>
    <w:rsid w:val="001B6F77"/>
    <w:rsid w:val="001E1920"/>
    <w:rsid w:val="001E4B62"/>
    <w:rsid w:val="001F6F70"/>
    <w:rsid w:val="002001C5"/>
    <w:rsid w:val="002473EE"/>
    <w:rsid w:val="00247BDE"/>
    <w:rsid w:val="002515E5"/>
    <w:rsid w:val="002622F4"/>
    <w:rsid w:val="00275861"/>
    <w:rsid w:val="00276E75"/>
    <w:rsid w:val="00280E26"/>
    <w:rsid w:val="002A6D5E"/>
    <w:rsid w:val="002B475F"/>
    <w:rsid w:val="002C508B"/>
    <w:rsid w:val="002C7F61"/>
    <w:rsid w:val="002D22F6"/>
    <w:rsid w:val="002D443D"/>
    <w:rsid w:val="002D7804"/>
    <w:rsid w:val="002D7E8D"/>
    <w:rsid w:val="002E3816"/>
    <w:rsid w:val="002E7B07"/>
    <w:rsid w:val="003147B0"/>
    <w:rsid w:val="00323A42"/>
    <w:rsid w:val="003252E0"/>
    <w:rsid w:val="00327134"/>
    <w:rsid w:val="00333AD6"/>
    <w:rsid w:val="003611E8"/>
    <w:rsid w:val="00361A07"/>
    <w:rsid w:val="00364233"/>
    <w:rsid w:val="00383971"/>
    <w:rsid w:val="0038505B"/>
    <w:rsid w:val="0039703C"/>
    <w:rsid w:val="003A7F05"/>
    <w:rsid w:val="003B5301"/>
    <w:rsid w:val="003C0152"/>
    <w:rsid w:val="003C064B"/>
    <w:rsid w:val="003C06E5"/>
    <w:rsid w:val="003C2FCB"/>
    <w:rsid w:val="003E688B"/>
    <w:rsid w:val="003F5AED"/>
    <w:rsid w:val="00405378"/>
    <w:rsid w:val="00406C01"/>
    <w:rsid w:val="00413F6A"/>
    <w:rsid w:val="00422E0A"/>
    <w:rsid w:val="0042779B"/>
    <w:rsid w:val="00436C11"/>
    <w:rsid w:val="00437238"/>
    <w:rsid w:val="00457F0B"/>
    <w:rsid w:val="00462B25"/>
    <w:rsid w:val="00464151"/>
    <w:rsid w:val="004914CF"/>
    <w:rsid w:val="004932DE"/>
    <w:rsid w:val="00495435"/>
    <w:rsid w:val="004A03F7"/>
    <w:rsid w:val="004C36D7"/>
    <w:rsid w:val="004D074C"/>
    <w:rsid w:val="004D10BA"/>
    <w:rsid w:val="004D5357"/>
    <w:rsid w:val="004D541B"/>
    <w:rsid w:val="004D76CF"/>
    <w:rsid w:val="004F0A43"/>
    <w:rsid w:val="005061E3"/>
    <w:rsid w:val="00506D3B"/>
    <w:rsid w:val="00511E67"/>
    <w:rsid w:val="005171EF"/>
    <w:rsid w:val="0052006F"/>
    <w:rsid w:val="00560EB5"/>
    <w:rsid w:val="00561C75"/>
    <w:rsid w:val="00570A59"/>
    <w:rsid w:val="00573A2D"/>
    <w:rsid w:val="00592314"/>
    <w:rsid w:val="005A6603"/>
    <w:rsid w:val="005B048A"/>
    <w:rsid w:val="005B611B"/>
    <w:rsid w:val="005D643E"/>
    <w:rsid w:val="005D6B44"/>
    <w:rsid w:val="005D6F13"/>
    <w:rsid w:val="005E0896"/>
    <w:rsid w:val="005E0B8A"/>
    <w:rsid w:val="005F3A9F"/>
    <w:rsid w:val="00610AEB"/>
    <w:rsid w:val="00616CDF"/>
    <w:rsid w:val="00620350"/>
    <w:rsid w:val="00632536"/>
    <w:rsid w:val="0063450E"/>
    <w:rsid w:val="006406AC"/>
    <w:rsid w:val="00663AC9"/>
    <w:rsid w:val="00670428"/>
    <w:rsid w:val="00675B0D"/>
    <w:rsid w:val="006860ED"/>
    <w:rsid w:val="00690B2C"/>
    <w:rsid w:val="00692499"/>
    <w:rsid w:val="006951A0"/>
    <w:rsid w:val="006B0333"/>
    <w:rsid w:val="006E30AC"/>
    <w:rsid w:val="006F198A"/>
    <w:rsid w:val="006F2A88"/>
    <w:rsid w:val="006F5E9D"/>
    <w:rsid w:val="0073404F"/>
    <w:rsid w:val="00740052"/>
    <w:rsid w:val="00747839"/>
    <w:rsid w:val="00753E64"/>
    <w:rsid w:val="0075438C"/>
    <w:rsid w:val="00757908"/>
    <w:rsid w:val="007703A6"/>
    <w:rsid w:val="00773FA0"/>
    <w:rsid w:val="0077717C"/>
    <w:rsid w:val="00796287"/>
    <w:rsid w:val="007A4F96"/>
    <w:rsid w:val="007B26AB"/>
    <w:rsid w:val="007B5ADE"/>
    <w:rsid w:val="007B6DFE"/>
    <w:rsid w:val="007E14DF"/>
    <w:rsid w:val="007E26C6"/>
    <w:rsid w:val="007E5CAB"/>
    <w:rsid w:val="00826C6C"/>
    <w:rsid w:val="008320BE"/>
    <w:rsid w:val="008345E8"/>
    <w:rsid w:val="00835D60"/>
    <w:rsid w:val="00835FA5"/>
    <w:rsid w:val="00841DA7"/>
    <w:rsid w:val="00843331"/>
    <w:rsid w:val="00843B53"/>
    <w:rsid w:val="0084584D"/>
    <w:rsid w:val="00847083"/>
    <w:rsid w:val="00856B8A"/>
    <w:rsid w:val="00857846"/>
    <w:rsid w:val="00884B8B"/>
    <w:rsid w:val="00884C74"/>
    <w:rsid w:val="00886DE6"/>
    <w:rsid w:val="00895B5B"/>
    <w:rsid w:val="008A3CA5"/>
    <w:rsid w:val="008A40A2"/>
    <w:rsid w:val="008A4589"/>
    <w:rsid w:val="008B03A2"/>
    <w:rsid w:val="008B14B3"/>
    <w:rsid w:val="008D094D"/>
    <w:rsid w:val="008D422B"/>
    <w:rsid w:val="008E07BE"/>
    <w:rsid w:val="008E52B6"/>
    <w:rsid w:val="008E6FFE"/>
    <w:rsid w:val="008F28B8"/>
    <w:rsid w:val="008F5F49"/>
    <w:rsid w:val="008F5F5F"/>
    <w:rsid w:val="00900240"/>
    <w:rsid w:val="00902179"/>
    <w:rsid w:val="00905210"/>
    <w:rsid w:val="00910190"/>
    <w:rsid w:val="009323D7"/>
    <w:rsid w:val="009332A5"/>
    <w:rsid w:val="0093421E"/>
    <w:rsid w:val="00934891"/>
    <w:rsid w:val="009450E5"/>
    <w:rsid w:val="00950732"/>
    <w:rsid w:val="00953FBB"/>
    <w:rsid w:val="00955E59"/>
    <w:rsid w:val="00961679"/>
    <w:rsid w:val="009642C7"/>
    <w:rsid w:val="00975D7C"/>
    <w:rsid w:val="00980F8D"/>
    <w:rsid w:val="00981D1F"/>
    <w:rsid w:val="009A1935"/>
    <w:rsid w:val="009A7DD6"/>
    <w:rsid w:val="009C5A1C"/>
    <w:rsid w:val="009C67FD"/>
    <w:rsid w:val="009C72DE"/>
    <w:rsid w:val="009D46DC"/>
    <w:rsid w:val="009D75AB"/>
    <w:rsid w:val="009F28C9"/>
    <w:rsid w:val="009F3CFA"/>
    <w:rsid w:val="00A218E9"/>
    <w:rsid w:val="00A305EE"/>
    <w:rsid w:val="00A50DA0"/>
    <w:rsid w:val="00A514D5"/>
    <w:rsid w:val="00A7028F"/>
    <w:rsid w:val="00A74FAA"/>
    <w:rsid w:val="00A854AD"/>
    <w:rsid w:val="00A965E5"/>
    <w:rsid w:val="00AA78AE"/>
    <w:rsid w:val="00AB5B10"/>
    <w:rsid w:val="00AB6B62"/>
    <w:rsid w:val="00AC373B"/>
    <w:rsid w:val="00AD2BBA"/>
    <w:rsid w:val="00AD2E22"/>
    <w:rsid w:val="00AD53EC"/>
    <w:rsid w:val="00AF7E99"/>
    <w:rsid w:val="00B03FDC"/>
    <w:rsid w:val="00B12E06"/>
    <w:rsid w:val="00B234A4"/>
    <w:rsid w:val="00B23727"/>
    <w:rsid w:val="00B52546"/>
    <w:rsid w:val="00B52C84"/>
    <w:rsid w:val="00B64A44"/>
    <w:rsid w:val="00B72653"/>
    <w:rsid w:val="00B85195"/>
    <w:rsid w:val="00B93AF6"/>
    <w:rsid w:val="00BA3C7D"/>
    <w:rsid w:val="00BA57C9"/>
    <w:rsid w:val="00BB0BEA"/>
    <w:rsid w:val="00BD37C1"/>
    <w:rsid w:val="00BD3A22"/>
    <w:rsid w:val="00BE1B20"/>
    <w:rsid w:val="00BE4AFF"/>
    <w:rsid w:val="00BF44A3"/>
    <w:rsid w:val="00BF4C20"/>
    <w:rsid w:val="00BF5001"/>
    <w:rsid w:val="00BF6365"/>
    <w:rsid w:val="00C128FA"/>
    <w:rsid w:val="00C1617F"/>
    <w:rsid w:val="00C47387"/>
    <w:rsid w:val="00C82250"/>
    <w:rsid w:val="00C84144"/>
    <w:rsid w:val="00C93F35"/>
    <w:rsid w:val="00C93FAB"/>
    <w:rsid w:val="00CA3283"/>
    <w:rsid w:val="00CA6ED1"/>
    <w:rsid w:val="00CC42AA"/>
    <w:rsid w:val="00CC6CB2"/>
    <w:rsid w:val="00CC7479"/>
    <w:rsid w:val="00CD0281"/>
    <w:rsid w:val="00CD2164"/>
    <w:rsid w:val="00CD7799"/>
    <w:rsid w:val="00CE37A8"/>
    <w:rsid w:val="00D03187"/>
    <w:rsid w:val="00D11638"/>
    <w:rsid w:val="00D276FE"/>
    <w:rsid w:val="00D315C5"/>
    <w:rsid w:val="00D31656"/>
    <w:rsid w:val="00D37DBA"/>
    <w:rsid w:val="00D4423C"/>
    <w:rsid w:val="00D454F2"/>
    <w:rsid w:val="00D471F3"/>
    <w:rsid w:val="00D47839"/>
    <w:rsid w:val="00D739D0"/>
    <w:rsid w:val="00D778AD"/>
    <w:rsid w:val="00D90AC6"/>
    <w:rsid w:val="00D95937"/>
    <w:rsid w:val="00DA1DB0"/>
    <w:rsid w:val="00DC1E29"/>
    <w:rsid w:val="00DD5C08"/>
    <w:rsid w:val="00E1230A"/>
    <w:rsid w:val="00E304B6"/>
    <w:rsid w:val="00E30DFD"/>
    <w:rsid w:val="00E34410"/>
    <w:rsid w:val="00E44005"/>
    <w:rsid w:val="00E5298B"/>
    <w:rsid w:val="00E6227A"/>
    <w:rsid w:val="00E635F5"/>
    <w:rsid w:val="00E755AF"/>
    <w:rsid w:val="00E91DB8"/>
    <w:rsid w:val="00EA213E"/>
    <w:rsid w:val="00EA6F25"/>
    <w:rsid w:val="00EB0887"/>
    <w:rsid w:val="00EB1D7D"/>
    <w:rsid w:val="00EC28B0"/>
    <w:rsid w:val="00ED321F"/>
    <w:rsid w:val="00EE10CC"/>
    <w:rsid w:val="00EE2851"/>
    <w:rsid w:val="00EE6792"/>
    <w:rsid w:val="00EF064D"/>
    <w:rsid w:val="00EF206E"/>
    <w:rsid w:val="00EF7FE1"/>
    <w:rsid w:val="00F017F5"/>
    <w:rsid w:val="00F01EF6"/>
    <w:rsid w:val="00F03BDB"/>
    <w:rsid w:val="00F174A8"/>
    <w:rsid w:val="00F218CC"/>
    <w:rsid w:val="00F35A43"/>
    <w:rsid w:val="00F450D9"/>
    <w:rsid w:val="00F53004"/>
    <w:rsid w:val="00F72C1F"/>
    <w:rsid w:val="00F74699"/>
    <w:rsid w:val="00F762D1"/>
    <w:rsid w:val="00F76DD8"/>
    <w:rsid w:val="00F82FCD"/>
    <w:rsid w:val="00F9198A"/>
    <w:rsid w:val="00FA4AC0"/>
    <w:rsid w:val="00FB0B7D"/>
    <w:rsid w:val="00FB649A"/>
    <w:rsid w:val="00FB6C58"/>
    <w:rsid w:val="00FC6691"/>
    <w:rsid w:val="00FD0BF4"/>
    <w:rsid w:val="00FD0F62"/>
    <w:rsid w:val="00FE2493"/>
    <w:rsid w:val="00FF5D8E"/>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0910A-E89C-42B9-BF65-74103659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Barlow</dc:creator>
  <cp:keywords/>
  <dc:description/>
  <cp:lastModifiedBy>Patty Barlow</cp:lastModifiedBy>
  <cp:revision>1</cp:revision>
  <dcterms:created xsi:type="dcterms:W3CDTF">2018-06-29T16:51:00Z</dcterms:created>
  <dcterms:modified xsi:type="dcterms:W3CDTF">2018-06-29T16:52:00Z</dcterms:modified>
</cp:coreProperties>
</file>