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242D3" w14:textId="77777777" w:rsidR="00505244" w:rsidRPr="00505244" w:rsidRDefault="00505244" w:rsidP="00505244">
      <w:pPr>
        <w:spacing w:after="0" w:line="240" w:lineRule="auto"/>
        <w:rPr>
          <w:rFonts w:ascii="Arial" w:eastAsia="Times New Roman" w:hAnsi="Arial" w:cs="Arial"/>
          <w:b/>
          <w:bCs/>
          <w:color w:val="3C3D3F"/>
          <w:sz w:val="36"/>
          <w:szCs w:val="36"/>
        </w:rPr>
      </w:pPr>
      <w:r w:rsidRPr="00505244">
        <w:rPr>
          <w:rFonts w:ascii="Arial" w:eastAsia="Times New Roman" w:hAnsi="Arial" w:cs="Arial"/>
          <w:b/>
          <w:bCs/>
          <w:color w:val="3C3D3F"/>
          <w:sz w:val="36"/>
          <w:szCs w:val="36"/>
        </w:rPr>
        <w:t>Agenda Calendar for Week of Monday Apr 19, 2021</w:t>
      </w:r>
    </w:p>
    <w:tbl>
      <w:tblPr>
        <w:tblW w:w="19215" w:type="dxa"/>
        <w:tblCellMar>
          <w:top w:w="15" w:type="dxa"/>
          <w:left w:w="15" w:type="dxa"/>
          <w:bottom w:w="15" w:type="dxa"/>
          <w:right w:w="15" w:type="dxa"/>
        </w:tblCellMar>
        <w:tblLook w:val="04A0" w:firstRow="1" w:lastRow="0" w:firstColumn="1" w:lastColumn="0" w:noHBand="0" w:noVBand="1"/>
      </w:tblPr>
      <w:tblGrid>
        <w:gridCol w:w="1253"/>
        <w:gridCol w:w="2663"/>
        <w:gridCol w:w="1988"/>
        <w:gridCol w:w="8370"/>
        <w:gridCol w:w="3409"/>
        <w:gridCol w:w="1532"/>
      </w:tblGrid>
      <w:tr w:rsidR="00505244" w:rsidRPr="00505244" w14:paraId="712F60C7" w14:textId="77777777" w:rsidTr="00505244">
        <w:tc>
          <w:tcPr>
            <w:tcW w:w="0" w:type="auto"/>
            <w:gridSpan w:val="3"/>
            <w:shd w:val="clear" w:color="auto" w:fill="E5E7EB"/>
            <w:tcMar>
              <w:top w:w="90" w:type="dxa"/>
              <w:left w:w="90" w:type="dxa"/>
              <w:bottom w:w="90" w:type="dxa"/>
              <w:right w:w="90" w:type="dxa"/>
            </w:tcMar>
            <w:vAlign w:val="center"/>
            <w:hideMark/>
          </w:tcPr>
          <w:p w14:paraId="7482B7E2"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Monday Apr 19, 2021</w:t>
            </w:r>
          </w:p>
        </w:tc>
        <w:tc>
          <w:tcPr>
            <w:tcW w:w="0" w:type="auto"/>
            <w:gridSpan w:val="3"/>
            <w:shd w:val="clear" w:color="auto" w:fill="E5E7EB"/>
            <w:tcMar>
              <w:top w:w="75" w:type="dxa"/>
              <w:left w:w="75" w:type="dxa"/>
              <w:bottom w:w="75" w:type="dxa"/>
              <w:right w:w="75" w:type="dxa"/>
            </w:tcMar>
            <w:vAlign w:val="center"/>
            <w:hideMark/>
          </w:tcPr>
          <w:p w14:paraId="55D5411A" w14:textId="77777777" w:rsidR="00505244" w:rsidRPr="00505244" w:rsidRDefault="00505244" w:rsidP="00505244">
            <w:pPr>
              <w:spacing w:after="0" w:line="240" w:lineRule="auto"/>
              <w:rPr>
                <w:rFonts w:ascii="Arial" w:eastAsia="Times New Roman" w:hAnsi="Arial" w:cs="Arial"/>
                <w:b/>
                <w:bCs/>
                <w:color w:val="3C3D3F"/>
                <w:sz w:val="21"/>
                <w:szCs w:val="21"/>
              </w:rPr>
            </w:pPr>
          </w:p>
        </w:tc>
      </w:tr>
      <w:tr w:rsidR="00505244" w:rsidRPr="00505244" w14:paraId="3E465398" w14:textId="77777777" w:rsidTr="00505244">
        <w:tc>
          <w:tcPr>
            <w:tcW w:w="1524" w:type="dxa"/>
            <w:shd w:val="clear" w:color="auto" w:fill="EDEFF1"/>
            <w:tcMar>
              <w:top w:w="60" w:type="dxa"/>
              <w:left w:w="60" w:type="dxa"/>
              <w:bottom w:w="60" w:type="dxa"/>
              <w:right w:w="60" w:type="dxa"/>
            </w:tcMar>
            <w:vAlign w:val="center"/>
            <w:hideMark/>
          </w:tcPr>
          <w:p w14:paraId="41A0A66F"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10:00AM</w:t>
            </w:r>
          </w:p>
        </w:tc>
        <w:tc>
          <w:tcPr>
            <w:tcW w:w="2969" w:type="dxa"/>
            <w:shd w:val="clear" w:color="auto" w:fill="EDEFF1"/>
            <w:tcMar>
              <w:top w:w="60" w:type="dxa"/>
              <w:left w:w="60" w:type="dxa"/>
              <w:bottom w:w="60" w:type="dxa"/>
              <w:right w:w="60" w:type="dxa"/>
            </w:tcMar>
            <w:vAlign w:val="center"/>
            <w:hideMark/>
          </w:tcPr>
          <w:p w14:paraId="4B1DB8C8"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Event</w:t>
            </w:r>
          </w:p>
        </w:tc>
        <w:tc>
          <w:tcPr>
            <w:tcW w:w="0" w:type="auto"/>
            <w:shd w:val="clear" w:color="auto" w:fill="EDEFF1"/>
            <w:tcMar>
              <w:top w:w="60" w:type="dxa"/>
              <w:left w:w="60" w:type="dxa"/>
              <w:bottom w:w="60" w:type="dxa"/>
              <w:right w:w="60" w:type="dxa"/>
            </w:tcMar>
            <w:vAlign w:val="center"/>
            <w:hideMark/>
          </w:tcPr>
          <w:p w14:paraId="4E469CEF"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0" w:type="auto"/>
            <w:shd w:val="clear" w:color="auto" w:fill="EDEFF1"/>
            <w:tcMar>
              <w:top w:w="60" w:type="dxa"/>
              <w:left w:w="60" w:type="dxa"/>
              <w:bottom w:w="60" w:type="dxa"/>
              <w:right w:w="60" w:type="dxa"/>
            </w:tcMar>
            <w:vAlign w:val="center"/>
            <w:hideMark/>
          </w:tcPr>
          <w:p w14:paraId="05FF5338"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Location</w:t>
            </w:r>
          </w:p>
        </w:tc>
        <w:tc>
          <w:tcPr>
            <w:tcW w:w="3953" w:type="dxa"/>
            <w:shd w:val="clear" w:color="auto" w:fill="EDEFF1"/>
            <w:tcMar>
              <w:top w:w="60" w:type="dxa"/>
              <w:left w:w="60" w:type="dxa"/>
              <w:bottom w:w="60" w:type="dxa"/>
              <w:right w:w="60" w:type="dxa"/>
            </w:tcMar>
            <w:vAlign w:val="center"/>
            <w:hideMark/>
          </w:tcPr>
          <w:p w14:paraId="2F284F61"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1979" w:type="dxa"/>
            <w:shd w:val="clear" w:color="auto" w:fill="EDEFF1"/>
            <w:tcMar>
              <w:top w:w="60" w:type="dxa"/>
              <w:left w:w="60" w:type="dxa"/>
              <w:bottom w:w="60" w:type="dxa"/>
              <w:right w:w="60" w:type="dxa"/>
            </w:tcMar>
            <w:vAlign w:val="center"/>
            <w:hideMark/>
          </w:tcPr>
          <w:p w14:paraId="387A1361"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r>
      <w:tr w:rsidR="00505244" w:rsidRPr="00505244" w14:paraId="46D641B5" w14:textId="77777777" w:rsidTr="00505244">
        <w:tc>
          <w:tcPr>
            <w:tcW w:w="0" w:type="auto"/>
            <w:shd w:val="clear" w:color="auto" w:fill="F8F8F9"/>
            <w:tcMar>
              <w:top w:w="60" w:type="dxa"/>
              <w:left w:w="60" w:type="dxa"/>
              <w:bottom w:w="60" w:type="dxa"/>
              <w:right w:w="60" w:type="dxa"/>
            </w:tcMar>
            <w:vAlign w:val="center"/>
            <w:hideMark/>
          </w:tcPr>
          <w:p w14:paraId="2B01C284"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2"/>
            <w:tcBorders>
              <w:bottom w:val="single" w:sz="6" w:space="0" w:color="949A9C"/>
            </w:tcBorders>
            <w:tcMar>
              <w:top w:w="60" w:type="dxa"/>
              <w:left w:w="60" w:type="dxa"/>
              <w:bottom w:w="60" w:type="dxa"/>
              <w:right w:w="60" w:type="dxa"/>
            </w:tcMar>
            <w:vAlign w:val="center"/>
            <w:hideMark/>
          </w:tcPr>
          <w:p w14:paraId="7D9002B0"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FFFFFF"/>
                <w:sz w:val="21"/>
                <w:szCs w:val="21"/>
                <w:shd w:val="clear" w:color="auto" w:fill="3B82F6"/>
              </w:rPr>
              <w:t>S</w:t>
            </w:r>
            <w:r w:rsidRPr="00505244">
              <w:rPr>
                <w:rFonts w:ascii="Arial" w:eastAsia="Times New Roman" w:hAnsi="Arial" w:cs="Arial"/>
                <w:b/>
                <w:bCs/>
                <w:color w:val="000000"/>
                <w:sz w:val="21"/>
                <w:szCs w:val="21"/>
              </w:rPr>
              <w:t> </w:t>
            </w:r>
            <w:hyperlink r:id="rId4" w:history="1">
              <w:r w:rsidRPr="00505244">
                <w:rPr>
                  <w:rFonts w:ascii="Arial" w:eastAsia="Times New Roman" w:hAnsi="Arial" w:cs="Arial"/>
                  <w:b/>
                  <w:bCs/>
                  <w:color w:val="3A4E72"/>
                  <w:sz w:val="21"/>
                  <w:szCs w:val="21"/>
                </w:rPr>
                <w:t>Appropriations</w:t>
              </w:r>
            </w:hyperlink>
          </w:p>
        </w:tc>
        <w:tc>
          <w:tcPr>
            <w:tcW w:w="6802" w:type="dxa"/>
            <w:tcBorders>
              <w:bottom w:val="single" w:sz="6" w:space="0" w:color="949A9C"/>
            </w:tcBorders>
            <w:noWrap/>
            <w:tcMar>
              <w:top w:w="60" w:type="dxa"/>
              <w:left w:w="60" w:type="dxa"/>
              <w:bottom w:w="60" w:type="dxa"/>
              <w:right w:w="60" w:type="dxa"/>
            </w:tcMar>
            <w:vAlign w:val="center"/>
            <w:hideMark/>
          </w:tcPr>
          <w:p w14:paraId="18C417BF"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412 K </w:t>
            </w:r>
          </w:p>
        </w:tc>
        <w:tc>
          <w:tcPr>
            <w:tcW w:w="0" w:type="auto"/>
            <w:tcBorders>
              <w:bottom w:val="single" w:sz="6" w:space="0" w:color="949A9C"/>
            </w:tcBorders>
            <w:tcMar>
              <w:top w:w="60" w:type="dxa"/>
              <w:left w:w="60" w:type="dxa"/>
              <w:bottom w:w="60" w:type="dxa"/>
              <w:right w:w="60" w:type="dxa"/>
            </w:tcMar>
            <w:vAlign w:val="center"/>
            <w:hideMark/>
          </w:tcPr>
          <w:p w14:paraId="35CFACF7"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10:00AM-6:00PM</w:t>
            </w:r>
          </w:p>
        </w:tc>
        <w:tc>
          <w:tcPr>
            <w:tcW w:w="0" w:type="auto"/>
            <w:tcBorders>
              <w:bottom w:val="single" w:sz="6" w:space="0" w:color="949A9C"/>
            </w:tcBorders>
            <w:tcMar>
              <w:top w:w="60" w:type="dxa"/>
              <w:left w:w="60" w:type="dxa"/>
              <w:bottom w:w="60" w:type="dxa"/>
              <w:right w:w="60" w:type="dxa"/>
            </w:tcMar>
            <w:vAlign w:val="center"/>
            <w:hideMark/>
          </w:tcPr>
          <w:p w14:paraId="7B2B4A81"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p>
        </w:tc>
      </w:tr>
      <w:tr w:rsidR="00505244" w:rsidRPr="00505244" w14:paraId="23C79C0A" w14:textId="77777777" w:rsidTr="00505244">
        <w:tc>
          <w:tcPr>
            <w:tcW w:w="0" w:type="auto"/>
            <w:shd w:val="clear" w:color="auto" w:fill="F8F8F9"/>
            <w:tcMar>
              <w:top w:w="60" w:type="dxa"/>
              <w:left w:w="60" w:type="dxa"/>
              <w:bottom w:w="60" w:type="dxa"/>
              <w:right w:w="60" w:type="dxa"/>
            </w:tcMar>
            <w:vAlign w:val="center"/>
            <w:hideMark/>
          </w:tcPr>
          <w:p w14:paraId="24A3868F" w14:textId="77777777" w:rsidR="00505244" w:rsidRPr="00505244" w:rsidRDefault="00505244" w:rsidP="00505244">
            <w:pPr>
              <w:spacing w:after="0" w:line="240" w:lineRule="auto"/>
              <w:jc w:val="right"/>
              <w:rPr>
                <w:rFonts w:ascii="Times New Roman" w:eastAsia="Times New Roman" w:hAnsi="Times New Roman" w:cs="Times New Roman"/>
                <w:sz w:val="20"/>
                <w:szCs w:val="20"/>
              </w:rPr>
            </w:pPr>
          </w:p>
        </w:tc>
        <w:tc>
          <w:tcPr>
            <w:tcW w:w="0" w:type="auto"/>
            <w:gridSpan w:val="5"/>
            <w:tcMar>
              <w:top w:w="60" w:type="dxa"/>
              <w:left w:w="60" w:type="dxa"/>
              <w:bottom w:w="60" w:type="dxa"/>
              <w:right w:w="60" w:type="dxa"/>
            </w:tcMar>
            <w:vAlign w:val="center"/>
            <w:hideMark/>
          </w:tcPr>
          <w:p w14:paraId="306DF291"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PUBLIC TESTIMONY WILL BE RECEIVED FROM ROOM A3 AT THE DONALD L. TUCKER CIVIC CENTER, 505 W PENSACOLA STREET, TALLAHASSEE, FL 32301</w:t>
            </w:r>
          </w:p>
          <w:p w14:paraId="04FF7D9F"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Consideration of Bills on Agenda</w:t>
            </w:r>
          </w:p>
          <w:p w14:paraId="5882E12D"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Proposed committee substitutes will be considered for SBs 92, 200, 406, 676, 726, 1002, 1028, 1242, 1436, 1532, 1560, 1574, 1616, 1900, 1920, 130, 366, 748, 838, 1024, 1086, 1126, 1166, 1404, 1598, &amp; 7060.</w:t>
            </w:r>
          </w:p>
          <w:p w14:paraId="30055FD4"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Other Related Meeting Documents</w:t>
            </w:r>
          </w:p>
          <w:p w14:paraId="593A11BE"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The amendment deadline for this meeting, including proposed committee substitutes and delete everything amendments, is Friday, April 16, 2021 at 10:00 a.m. All amendments must be in final form and barcoded when filed.</w:t>
            </w:r>
          </w:p>
        </w:tc>
      </w:tr>
      <w:tr w:rsidR="00505244" w:rsidRPr="00505244" w14:paraId="5A5BE57F" w14:textId="77777777" w:rsidTr="00505244">
        <w:tc>
          <w:tcPr>
            <w:tcW w:w="0" w:type="auto"/>
            <w:shd w:val="clear" w:color="auto" w:fill="F8F8F9"/>
            <w:tcMar>
              <w:top w:w="60" w:type="dxa"/>
              <w:left w:w="60" w:type="dxa"/>
              <w:bottom w:w="60" w:type="dxa"/>
              <w:right w:w="60" w:type="dxa"/>
            </w:tcMar>
            <w:vAlign w:val="center"/>
            <w:hideMark/>
          </w:tcPr>
          <w:p w14:paraId="3BB9E255" w14:textId="77777777" w:rsidR="00505244" w:rsidRPr="00505244" w:rsidRDefault="00505244" w:rsidP="00505244">
            <w:pPr>
              <w:spacing w:after="0" w:line="240" w:lineRule="auto"/>
              <w:rPr>
                <w:rFonts w:ascii="Arial" w:eastAsia="Times New Roman" w:hAnsi="Arial" w:cs="Arial"/>
                <w:color w:val="3C3D3F"/>
                <w:sz w:val="19"/>
                <w:szCs w:val="19"/>
              </w:rPr>
            </w:pPr>
          </w:p>
        </w:tc>
        <w:tc>
          <w:tcPr>
            <w:tcW w:w="0" w:type="auto"/>
            <w:tcMar>
              <w:top w:w="105" w:type="dxa"/>
              <w:left w:w="60" w:type="dxa"/>
              <w:bottom w:w="60" w:type="dxa"/>
              <w:right w:w="60" w:type="dxa"/>
            </w:tcMar>
            <w:vAlign w:val="center"/>
            <w:hideMark/>
          </w:tcPr>
          <w:p w14:paraId="652CA148" w14:textId="3C4DA966"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5" w:history="1">
              <w:r w:rsidRPr="00505244">
                <w:rPr>
                  <w:rFonts w:ascii="Arial" w:eastAsia="Times New Roman" w:hAnsi="Arial" w:cs="Arial"/>
                  <w:color w:val="3A4E72"/>
                  <w:sz w:val="21"/>
                  <w:szCs w:val="21"/>
                </w:rPr>
                <w:t>SB 0092</w:t>
              </w:r>
            </w:hyperlink>
            <w:r w:rsidRPr="00505244">
              <w:rPr>
                <w:rFonts w:ascii="Arial" w:eastAsia="Times New Roman" w:hAnsi="Arial" w:cs="Arial"/>
                <w:noProof/>
                <w:color w:val="3C3D3F"/>
                <w:sz w:val="21"/>
                <w:szCs w:val="21"/>
              </w:rPr>
              <w:drawing>
                <wp:inline distT="0" distB="0" distL="0" distR="0" wp14:anchorId="75EED3F0" wp14:editId="457F3629">
                  <wp:extent cx="228600" cy="228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C342F2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Children and Families</w:t>
            </w:r>
          </w:p>
        </w:tc>
        <w:tc>
          <w:tcPr>
            <w:tcW w:w="0" w:type="auto"/>
            <w:gridSpan w:val="3"/>
            <w:tcMar>
              <w:top w:w="105" w:type="dxa"/>
              <w:left w:w="60" w:type="dxa"/>
              <w:bottom w:w="60" w:type="dxa"/>
              <w:right w:w="60" w:type="dxa"/>
            </w:tcMar>
            <w:vAlign w:val="center"/>
            <w:hideMark/>
          </w:tcPr>
          <w:p w14:paraId="7901EFDD" w14:textId="77777777" w:rsidR="00505244" w:rsidRPr="00505244" w:rsidRDefault="00505244" w:rsidP="00505244">
            <w:pPr>
              <w:spacing w:after="0" w:line="240" w:lineRule="auto"/>
              <w:rPr>
                <w:rFonts w:ascii="Arial" w:eastAsia="Times New Roman" w:hAnsi="Arial" w:cs="Arial"/>
                <w:color w:val="3C3D3F"/>
                <w:sz w:val="21"/>
                <w:szCs w:val="21"/>
              </w:rPr>
            </w:pPr>
            <w:hyperlink r:id="rId7" w:history="1">
              <w:r w:rsidRPr="00505244">
                <w:rPr>
                  <w:rFonts w:ascii="Arial" w:eastAsia="Times New Roman" w:hAnsi="Arial" w:cs="Arial"/>
                  <w:color w:val="3A4E72"/>
                  <w:sz w:val="21"/>
                  <w:szCs w:val="21"/>
                </w:rPr>
                <w:t>Bean</w:t>
              </w:r>
            </w:hyperlink>
            <w:r w:rsidRPr="00505244">
              <w:rPr>
                <w:rFonts w:ascii="Arial" w:eastAsia="Times New Roman" w:hAnsi="Arial" w:cs="Arial"/>
                <w:color w:val="3C3D3F"/>
                <w:sz w:val="21"/>
                <w:szCs w:val="21"/>
              </w:rPr>
              <w:t>  </w:t>
            </w:r>
          </w:p>
        </w:tc>
      </w:tr>
      <w:tr w:rsidR="00505244" w:rsidRPr="00505244" w14:paraId="333DE47E" w14:textId="77777777" w:rsidTr="00505244">
        <w:tc>
          <w:tcPr>
            <w:tcW w:w="0" w:type="auto"/>
            <w:shd w:val="clear" w:color="auto" w:fill="F8F8F9"/>
            <w:tcMar>
              <w:top w:w="60" w:type="dxa"/>
              <w:left w:w="60" w:type="dxa"/>
              <w:bottom w:w="60" w:type="dxa"/>
              <w:right w:w="60" w:type="dxa"/>
            </w:tcMar>
            <w:vAlign w:val="center"/>
            <w:hideMark/>
          </w:tcPr>
          <w:p w14:paraId="12802EDA"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A92226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Department of Children and Families; Requiring the department to establish community alliances in each community-based care lead agency service area; requiring the department to treat caregivers in a specified manner; requiring, rather than authorizing, each community-based care lead agency to establish a kinship navigator program; requiring a board member or an officer of a managing entity to disclose specified activity that may reasonably be construed as a conflict of interest; revising a limitation on salaries of community-based care lead agency employees, etc. Effective Date: 7/1/2021</w:t>
            </w:r>
          </w:p>
        </w:tc>
      </w:tr>
      <w:tr w:rsidR="00505244" w:rsidRPr="00505244" w14:paraId="7E14294E" w14:textId="77777777" w:rsidTr="00505244">
        <w:tc>
          <w:tcPr>
            <w:tcW w:w="0" w:type="auto"/>
            <w:shd w:val="clear" w:color="auto" w:fill="F8F8F9"/>
            <w:tcMar>
              <w:top w:w="60" w:type="dxa"/>
              <w:left w:w="60" w:type="dxa"/>
              <w:bottom w:w="60" w:type="dxa"/>
              <w:right w:w="60" w:type="dxa"/>
            </w:tcMar>
            <w:vAlign w:val="center"/>
            <w:hideMark/>
          </w:tcPr>
          <w:p w14:paraId="687375E9"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07F5811" w14:textId="6687EEB8"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8" w:history="1">
              <w:r w:rsidRPr="00505244">
                <w:rPr>
                  <w:rFonts w:ascii="Arial" w:eastAsia="Times New Roman" w:hAnsi="Arial" w:cs="Arial"/>
                  <w:color w:val="3A4E72"/>
                  <w:sz w:val="21"/>
                  <w:szCs w:val="21"/>
                </w:rPr>
                <w:t>SB 0122</w:t>
              </w:r>
            </w:hyperlink>
            <w:r w:rsidRPr="00505244">
              <w:rPr>
                <w:rFonts w:ascii="Arial" w:eastAsia="Times New Roman" w:hAnsi="Arial" w:cs="Arial"/>
                <w:noProof/>
                <w:color w:val="3C3D3F"/>
                <w:sz w:val="21"/>
                <w:szCs w:val="21"/>
              </w:rPr>
              <w:drawing>
                <wp:inline distT="0" distB="0" distL="0" distR="0" wp14:anchorId="66459A31" wp14:editId="1A4BBC6A">
                  <wp:extent cx="228600" cy="2286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06257A6"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Surrendered Newborn Infants</w:t>
            </w:r>
          </w:p>
        </w:tc>
        <w:tc>
          <w:tcPr>
            <w:tcW w:w="0" w:type="auto"/>
            <w:gridSpan w:val="3"/>
            <w:tcMar>
              <w:top w:w="105" w:type="dxa"/>
              <w:left w:w="60" w:type="dxa"/>
              <w:bottom w:w="60" w:type="dxa"/>
              <w:right w:w="60" w:type="dxa"/>
            </w:tcMar>
            <w:vAlign w:val="center"/>
            <w:hideMark/>
          </w:tcPr>
          <w:p w14:paraId="77C93C1D" w14:textId="77777777" w:rsidR="00505244" w:rsidRPr="00505244" w:rsidRDefault="00505244" w:rsidP="00505244">
            <w:pPr>
              <w:spacing w:after="0" w:line="240" w:lineRule="auto"/>
              <w:rPr>
                <w:rFonts w:ascii="Arial" w:eastAsia="Times New Roman" w:hAnsi="Arial" w:cs="Arial"/>
                <w:color w:val="3C3D3F"/>
                <w:sz w:val="21"/>
                <w:szCs w:val="21"/>
              </w:rPr>
            </w:pPr>
            <w:hyperlink r:id="rId9" w:history="1">
              <w:r w:rsidRPr="00505244">
                <w:rPr>
                  <w:rFonts w:ascii="Arial" w:eastAsia="Times New Roman" w:hAnsi="Arial" w:cs="Arial"/>
                  <w:color w:val="3A4E72"/>
                  <w:sz w:val="21"/>
                  <w:szCs w:val="21"/>
                </w:rPr>
                <w:t>Baxley</w:t>
              </w:r>
            </w:hyperlink>
            <w:r w:rsidRPr="00505244">
              <w:rPr>
                <w:rFonts w:ascii="Arial" w:eastAsia="Times New Roman" w:hAnsi="Arial" w:cs="Arial"/>
                <w:color w:val="3C3D3F"/>
                <w:sz w:val="21"/>
                <w:szCs w:val="21"/>
              </w:rPr>
              <w:t>  </w:t>
            </w:r>
          </w:p>
        </w:tc>
      </w:tr>
      <w:tr w:rsidR="00505244" w:rsidRPr="00505244" w14:paraId="763E9787" w14:textId="77777777" w:rsidTr="00505244">
        <w:tc>
          <w:tcPr>
            <w:tcW w:w="0" w:type="auto"/>
            <w:shd w:val="clear" w:color="auto" w:fill="F8F8F9"/>
            <w:tcMar>
              <w:top w:w="60" w:type="dxa"/>
              <w:left w:w="60" w:type="dxa"/>
              <w:bottom w:w="60" w:type="dxa"/>
              <w:right w:w="60" w:type="dxa"/>
            </w:tcMar>
            <w:vAlign w:val="center"/>
            <w:hideMark/>
          </w:tcPr>
          <w:p w14:paraId="6681907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38F29AD"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Surrendered Newborn Infants; Authorizing the Department of Health to approve, and certain hospitals, emergency medical services stations, and fire stations to use, newborn infant safety devices to accept surrendered newborn infants under certain circumstances; requiring such hospitals, emergency medical services stations, or fire stations to physically check and test the devices at specified intervals; providing additional locations to which the prohibition on the initiation of criminal investigations based solely on the surrendering of a newborn infant applies, etc. Effective Date: 7/1/2021</w:t>
            </w:r>
          </w:p>
        </w:tc>
      </w:tr>
      <w:tr w:rsidR="00505244" w:rsidRPr="00505244" w14:paraId="2CEE2950" w14:textId="77777777" w:rsidTr="00505244">
        <w:tc>
          <w:tcPr>
            <w:tcW w:w="0" w:type="auto"/>
            <w:shd w:val="clear" w:color="auto" w:fill="F8F8F9"/>
            <w:tcMar>
              <w:top w:w="60" w:type="dxa"/>
              <w:left w:w="60" w:type="dxa"/>
              <w:bottom w:w="60" w:type="dxa"/>
              <w:right w:w="60" w:type="dxa"/>
            </w:tcMar>
            <w:vAlign w:val="center"/>
            <w:hideMark/>
          </w:tcPr>
          <w:p w14:paraId="5A481366"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A1D058D" w14:textId="7F04D52A"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0" w:history="1">
              <w:r w:rsidRPr="00505244">
                <w:rPr>
                  <w:rFonts w:ascii="Arial" w:eastAsia="Times New Roman" w:hAnsi="Arial" w:cs="Arial"/>
                  <w:color w:val="3A4E72"/>
                  <w:sz w:val="21"/>
                  <w:szCs w:val="21"/>
                </w:rPr>
                <w:t>SB 0262</w:t>
              </w:r>
            </w:hyperlink>
            <w:r w:rsidRPr="00505244">
              <w:rPr>
                <w:rFonts w:ascii="Arial" w:eastAsia="Times New Roman" w:hAnsi="Arial" w:cs="Arial"/>
                <w:noProof/>
                <w:color w:val="3C3D3F"/>
                <w:sz w:val="21"/>
                <w:szCs w:val="21"/>
              </w:rPr>
              <w:drawing>
                <wp:inline distT="0" distB="0" distL="0" distR="0" wp14:anchorId="17393B52" wp14:editId="231BDD48">
                  <wp:extent cx="228600" cy="228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66AAF5D"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Dispensing Medicinal Drugs</w:t>
            </w:r>
          </w:p>
        </w:tc>
        <w:tc>
          <w:tcPr>
            <w:tcW w:w="0" w:type="auto"/>
            <w:gridSpan w:val="3"/>
            <w:tcMar>
              <w:top w:w="105" w:type="dxa"/>
              <w:left w:w="60" w:type="dxa"/>
              <w:bottom w:w="60" w:type="dxa"/>
              <w:right w:w="60" w:type="dxa"/>
            </w:tcMar>
            <w:vAlign w:val="center"/>
            <w:hideMark/>
          </w:tcPr>
          <w:p w14:paraId="25D66505" w14:textId="77777777" w:rsidR="00505244" w:rsidRPr="00505244" w:rsidRDefault="00505244" w:rsidP="00505244">
            <w:pPr>
              <w:spacing w:after="0" w:line="240" w:lineRule="auto"/>
              <w:rPr>
                <w:rFonts w:ascii="Arial" w:eastAsia="Times New Roman" w:hAnsi="Arial" w:cs="Arial"/>
                <w:color w:val="3C3D3F"/>
                <w:sz w:val="21"/>
                <w:szCs w:val="21"/>
              </w:rPr>
            </w:pPr>
            <w:hyperlink r:id="rId11" w:history="1">
              <w:r w:rsidRPr="00505244">
                <w:rPr>
                  <w:rFonts w:ascii="Arial" w:eastAsia="Times New Roman" w:hAnsi="Arial" w:cs="Arial"/>
                  <w:color w:val="3A4E72"/>
                  <w:sz w:val="21"/>
                  <w:szCs w:val="21"/>
                </w:rPr>
                <w:t>Harrell</w:t>
              </w:r>
            </w:hyperlink>
            <w:r w:rsidRPr="00505244">
              <w:rPr>
                <w:rFonts w:ascii="Arial" w:eastAsia="Times New Roman" w:hAnsi="Arial" w:cs="Arial"/>
                <w:color w:val="3C3D3F"/>
                <w:sz w:val="21"/>
                <w:szCs w:val="21"/>
              </w:rPr>
              <w:t>  </w:t>
            </w:r>
          </w:p>
        </w:tc>
      </w:tr>
      <w:tr w:rsidR="00505244" w:rsidRPr="00505244" w14:paraId="0DF886A7" w14:textId="77777777" w:rsidTr="00505244">
        <w:tc>
          <w:tcPr>
            <w:tcW w:w="0" w:type="auto"/>
            <w:shd w:val="clear" w:color="auto" w:fill="F8F8F9"/>
            <w:tcMar>
              <w:top w:w="60" w:type="dxa"/>
              <w:left w:w="60" w:type="dxa"/>
              <w:bottom w:w="60" w:type="dxa"/>
              <w:right w:w="60" w:type="dxa"/>
            </w:tcMar>
            <w:vAlign w:val="center"/>
            <w:hideMark/>
          </w:tcPr>
          <w:p w14:paraId="47B3BA4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4FD216F"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Dispensing Medicinal Drugs; Authorizing certain hospitals to dispense supplies of prescribed medicinal drugs in a specified amount to emergency department patients or inpatients upon discharge under certain circumstances; authorizing a greater specified supply of medicinal drugs to be prescribed and dispensed in areas in which a state of emergency has been declared and is in effect; authorizing a prescriber to provide a patient with a prescription for medicinal drugs beyond the initial prescription period under certain circumstances, etc. Effective Date: 7/1/2021</w:t>
            </w:r>
          </w:p>
        </w:tc>
      </w:tr>
      <w:tr w:rsidR="00505244" w:rsidRPr="00505244" w14:paraId="31D20F83" w14:textId="77777777" w:rsidTr="00505244">
        <w:tc>
          <w:tcPr>
            <w:tcW w:w="0" w:type="auto"/>
            <w:shd w:val="clear" w:color="auto" w:fill="F8F8F9"/>
            <w:tcMar>
              <w:top w:w="60" w:type="dxa"/>
              <w:left w:w="60" w:type="dxa"/>
              <w:bottom w:w="60" w:type="dxa"/>
              <w:right w:w="60" w:type="dxa"/>
            </w:tcMar>
            <w:vAlign w:val="center"/>
            <w:hideMark/>
          </w:tcPr>
          <w:p w14:paraId="12527AA7"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138252D" w14:textId="0E4B12EE"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2" w:history="1">
              <w:r w:rsidRPr="00505244">
                <w:rPr>
                  <w:rFonts w:ascii="Arial" w:eastAsia="Times New Roman" w:hAnsi="Arial" w:cs="Arial"/>
                  <w:color w:val="3A4E72"/>
                  <w:sz w:val="21"/>
                  <w:szCs w:val="21"/>
                </w:rPr>
                <w:t>SB 0352</w:t>
              </w:r>
            </w:hyperlink>
            <w:r w:rsidRPr="00505244">
              <w:rPr>
                <w:rFonts w:ascii="Arial" w:eastAsia="Times New Roman" w:hAnsi="Arial" w:cs="Arial"/>
                <w:noProof/>
                <w:color w:val="3C3D3F"/>
                <w:sz w:val="21"/>
                <w:szCs w:val="21"/>
              </w:rPr>
              <w:drawing>
                <wp:inline distT="0" distB="0" distL="0" distR="0" wp14:anchorId="09A57363" wp14:editId="11E160CB">
                  <wp:extent cx="228600" cy="2286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1F6CDEB"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Massage Therapy</w:t>
            </w:r>
          </w:p>
        </w:tc>
        <w:tc>
          <w:tcPr>
            <w:tcW w:w="0" w:type="auto"/>
            <w:gridSpan w:val="3"/>
            <w:tcMar>
              <w:top w:w="105" w:type="dxa"/>
              <w:left w:w="60" w:type="dxa"/>
              <w:bottom w:w="60" w:type="dxa"/>
              <w:right w:w="60" w:type="dxa"/>
            </w:tcMar>
            <w:vAlign w:val="center"/>
            <w:hideMark/>
          </w:tcPr>
          <w:p w14:paraId="54468E68" w14:textId="77777777" w:rsidR="00505244" w:rsidRPr="00505244" w:rsidRDefault="00505244" w:rsidP="00505244">
            <w:pPr>
              <w:spacing w:after="0" w:line="240" w:lineRule="auto"/>
              <w:rPr>
                <w:rFonts w:ascii="Arial" w:eastAsia="Times New Roman" w:hAnsi="Arial" w:cs="Arial"/>
                <w:color w:val="3C3D3F"/>
                <w:sz w:val="21"/>
                <w:szCs w:val="21"/>
              </w:rPr>
            </w:pPr>
            <w:hyperlink r:id="rId13" w:history="1">
              <w:r w:rsidRPr="00505244">
                <w:rPr>
                  <w:rFonts w:ascii="Arial" w:eastAsia="Times New Roman" w:hAnsi="Arial" w:cs="Arial"/>
                  <w:color w:val="3A4E72"/>
                  <w:sz w:val="21"/>
                  <w:szCs w:val="21"/>
                </w:rPr>
                <w:t>Rodriguez (A)</w:t>
              </w:r>
            </w:hyperlink>
            <w:r w:rsidRPr="00505244">
              <w:rPr>
                <w:rFonts w:ascii="Arial" w:eastAsia="Times New Roman" w:hAnsi="Arial" w:cs="Arial"/>
                <w:color w:val="3C3D3F"/>
                <w:sz w:val="21"/>
                <w:szCs w:val="21"/>
              </w:rPr>
              <w:t>  </w:t>
            </w:r>
          </w:p>
        </w:tc>
      </w:tr>
      <w:tr w:rsidR="00505244" w:rsidRPr="00505244" w14:paraId="2D11EA79" w14:textId="77777777" w:rsidTr="00505244">
        <w:tc>
          <w:tcPr>
            <w:tcW w:w="0" w:type="auto"/>
            <w:shd w:val="clear" w:color="auto" w:fill="F8F8F9"/>
            <w:tcMar>
              <w:top w:w="60" w:type="dxa"/>
              <w:left w:w="60" w:type="dxa"/>
              <w:bottom w:w="60" w:type="dxa"/>
              <w:right w:w="60" w:type="dxa"/>
            </w:tcMar>
            <w:vAlign w:val="center"/>
            <w:hideMark/>
          </w:tcPr>
          <w:p w14:paraId="62A9E55C"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AD0F348"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Massage Therapy; Revising a short title; revising and defining terms, etc. Effective Date: 7/1/2021</w:t>
            </w:r>
          </w:p>
        </w:tc>
      </w:tr>
      <w:tr w:rsidR="00505244" w:rsidRPr="00505244" w14:paraId="3D0BF2BC" w14:textId="77777777" w:rsidTr="00505244">
        <w:tc>
          <w:tcPr>
            <w:tcW w:w="0" w:type="auto"/>
            <w:shd w:val="clear" w:color="auto" w:fill="F8F8F9"/>
            <w:tcMar>
              <w:top w:w="60" w:type="dxa"/>
              <w:left w:w="60" w:type="dxa"/>
              <w:bottom w:w="60" w:type="dxa"/>
              <w:right w:w="60" w:type="dxa"/>
            </w:tcMar>
            <w:vAlign w:val="center"/>
            <w:hideMark/>
          </w:tcPr>
          <w:p w14:paraId="235CEB37"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EB86CDB" w14:textId="0CE1A473"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4" w:history="1">
              <w:r w:rsidRPr="00505244">
                <w:rPr>
                  <w:rFonts w:ascii="Arial" w:eastAsia="Times New Roman" w:hAnsi="Arial" w:cs="Arial"/>
                  <w:color w:val="3A4E72"/>
                  <w:sz w:val="21"/>
                  <w:szCs w:val="21"/>
                </w:rPr>
                <w:t>SB 0404</w:t>
              </w:r>
            </w:hyperlink>
            <w:r w:rsidRPr="00505244">
              <w:rPr>
                <w:rFonts w:ascii="Arial" w:eastAsia="Times New Roman" w:hAnsi="Arial" w:cs="Arial"/>
                <w:noProof/>
                <w:color w:val="3C3D3F"/>
                <w:sz w:val="21"/>
                <w:szCs w:val="21"/>
              </w:rPr>
              <w:drawing>
                <wp:inline distT="0" distB="0" distL="0" distR="0" wp14:anchorId="2B485217" wp14:editId="2C4C7999">
                  <wp:extent cx="228600" cy="228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434D92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Office of Minority Health and Health Equity</w:t>
            </w:r>
          </w:p>
        </w:tc>
        <w:tc>
          <w:tcPr>
            <w:tcW w:w="0" w:type="auto"/>
            <w:gridSpan w:val="3"/>
            <w:tcMar>
              <w:top w:w="105" w:type="dxa"/>
              <w:left w:w="60" w:type="dxa"/>
              <w:bottom w:w="60" w:type="dxa"/>
              <w:right w:w="60" w:type="dxa"/>
            </w:tcMar>
            <w:vAlign w:val="center"/>
            <w:hideMark/>
          </w:tcPr>
          <w:p w14:paraId="3A7BDE4D" w14:textId="77777777" w:rsidR="00505244" w:rsidRPr="00505244" w:rsidRDefault="00505244" w:rsidP="00505244">
            <w:pPr>
              <w:spacing w:after="0" w:line="240" w:lineRule="auto"/>
              <w:rPr>
                <w:rFonts w:ascii="Arial" w:eastAsia="Times New Roman" w:hAnsi="Arial" w:cs="Arial"/>
                <w:color w:val="3C3D3F"/>
                <w:sz w:val="21"/>
                <w:szCs w:val="21"/>
              </w:rPr>
            </w:pPr>
            <w:hyperlink r:id="rId15" w:history="1">
              <w:proofErr w:type="spellStart"/>
              <w:r w:rsidRPr="00505244">
                <w:rPr>
                  <w:rFonts w:ascii="Arial" w:eastAsia="Times New Roman" w:hAnsi="Arial" w:cs="Arial"/>
                  <w:color w:val="3A4E72"/>
                  <w:sz w:val="21"/>
                  <w:szCs w:val="21"/>
                </w:rPr>
                <w:t>Rouson</w:t>
              </w:r>
              <w:proofErr w:type="spellEnd"/>
            </w:hyperlink>
            <w:r w:rsidRPr="00505244">
              <w:rPr>
                <w:rFonts w:ascii="Arial" w:eastAsia="Times New Roman" w:hAnsi="Arial" w:cs="Arial"/>
                <w:color w:val="3C3D3F"/>
                <w:sz w:val="21"/>
                <w:szCs w:val="21"/>
              </w:rPr>
              <w:t>  </w:t>
            </w:r>
          </w:p>
        </w:tc>
      </w:tr>
      <w:tr w:rsidR="00505244" w:rsidRPr="00505244" w14:paraId="4DB36E36" w14:textId="77777777" w:rsidTr="00505244">
        <w:tc>
          <w:tcPr>
            <w:tcW w:w="0" w:type="auto"/>
            <w:shd w:val="clear" w:color="auto" w:fill="F8F8F9"/>
            <w:tcMar>
              <w:top w:w="60" w:type="dxa"/>
              <w:left w:w="60" w:type="dxa"/>
              <w:bottom w:w="60" w:type="dxa"/>
              <w:right w:w="60" w:type="dxa"/>
            </w:tcMar>
            <w:vAlign w:val="center"/>
            <w:hideMark/>
          </w:tcPr>
          <w:p w14:paraId="0E6BEA12"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lastRenderedPageBreak/>
              <w:t> </w:t>
            </w:r>
          </w:p>
        </w:tc>
        <w:tc>
          <w:tcPr>
            <w:tcW w:w="0" w:type="auto"/>
            <w:gridSpan w:val="5"/>
            <w:tcMar>
              <w:top w:w="60" w:type="dxa"/>
              <w:left w:w="105" w:type="dxa"/>
              <w:bottom w:w="60" w:type="dxa"/>
              <w:right w:w="60" w:type="dxa"/>
            </w:tcMar>
            <w:vAlign w:val="center"/>
            <w:hideMark/>
          </w:tcPr>
          <w:p w14:paraId="5CFF6AD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Office of Minority Health and Health Equity; Requiring the Office of Minority Health and Health Equity to develop and promote the statewide implementation of certain policies, programs, and practices; requiring one representative from each county health department to serve as a minority health liaison for a specified purpose; requiring the office to maintain on its website specified information; requiring the office to serve as a liaison to and assist certain federal offices, etc. Effective Date: 7/1/2021</w:t>
            </w:r>
          </w:p>
        </w:tc>
      </w:tr>
      <w:tr w:rsidR="00505244" w:rsidRPr="00505244" w14:paraId="20FCCA4A" w14:textId="77777777" w:rsidTr="00505244">
        <w:tc>
          <w:tcPr>
            <w:tcW w:w="0" w:type="auto"/>
            <w:shd w:val="clear" w:color="auto" w:fill="F8F8F9"/>
            <w:tcMar>
              <w:top w:w="60" w:type="dxa"/>
              <w:left w:w="60" w:type="dxa"/>
              <w:bottom w:w="60" w:type="dxa"/>
              <w:right w:w="60" w:type="dxa"/>
            </w:tcMar>
            <w:vAlign w:val="center"/>
            <w:hideMark/>
          </w:tcPr>
          <w:p w14:paraId="7797E3DB"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90D4B63" w14:textId="038A9A3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6" w:history="1">
              <w:r w:rsidRPr="00505244">
                <w:rPr>
                  <w:rFonts w:ascii="Arial" w:eastAsia="Times New Roman" w:hAnsi="Arial" w:cs="Arial"/>
                  <w:color w:val="3A4E72"/>
                  <w:sz w:val="21"/>
                  <w:szCs w:val="21"/>
                </w:rPr>
                <w:t>SB 0590</w:t>
              </w:r>
            </w:hyperlink>
            <w:r w:rsidRPr="00505244">
              <w:rPr>
                <w:rFonts w:ascii="Arial" w:eastAsia="Times New Roman" w:hAnsi="Arial" w:cs="Arial"/>
                <w:noProof/>
                <w:color w:val="3C3D3F"/>
                <w:sz w:val="21"/>
                <w:szCs w:val="21"/>
              </w:rPr>
              <w:drawing>
                <wp:inline distT="0" distB="0" distL="0" distR="0" wp14:anchorId="10820DE1" wp14:editId="00BA3B89">
                  <wp:extent cx="228600" cy="228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E11CE2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Involuntary Examinations of Minors</w:t>
            </w:r>
          </w:p>
        </w:tc>
        <w:tc>
          <w:tcPr>
            <w:tcW w:w="0" w:type="auto"/>
            <w:gridSpan w:val="3"/>
            <w:tcMar>
              <w:top w:w="105" w:type="dxa"/>
              <w:left w:w="60" w:type="dxa"/>
              <w:bottom w:w="60" w:type="dxa"/>
              <w:right w:w="60" w:type="dxa"/>
            </w:tcMar>
            <w:vAlign w:val="center"/>
            <w:hideMark/>
          </w:tcPr>
          <w:p w14:paraId="7C1DDEE4" w14:textId="77777777" w:rsidR="00505244" w:rsidRPr="00505244" w:rsidRDefault="00505244" w:rsidP="00505244">
            <w:pPr>
              <w:spacing w:after="0" w:line="240" w:lineRule="auto"/>
              <w:rPr>
                <w:rFonts w:ascii="Arial" w:eastAsia="Times New Roman" w:hAnsi="Arial" w:cs="Arial"/>
                <w:color w:val="3C3D3F"/>
                <w:sz w:val="21"/>
                <w:szCs w:val="21"/>
              </w:rPr>
            </w:pPr>
            <w:hyperlink r:id="rId17" w:history="1">
              <w:r w:rsidRPr="00505244">
                <w:rPr>
                  <w:rFonts w:ascii="Arial" w:eastAsia="Times New Roman" w:hAnsi="Arial" w:cs="Arial"/>
                  <w:color w:val="3A4E72"/>
                  <w:sz w:val="21"/>
                  <w:szCs w:val="21"/>
                </w:rPr>
                <w:t>Harrell</w:t>
              </w:r>
            </w:hyperlink>
            <w:r w:rsidRPr="00505244">
              <w:rPr>
                <w:rFonts w:ascii="Arial" w:eastAsia="Times New Roman" w:hAnsi="Arial" w:cs="Arial"/>
                <w:color w:val="3C3D3F"/>
                <w:sz w:val="21"/>
                <w:szCs w:val="21"/>
              </w:rPr>
              <w:t>  </w:t>
            </w:r>
          </w:p>
        </w:tc>
      </w:tr>
      <w:tr w:rsidR="00505244" w:rsidRPr="00505244" w14:paraId="6D75C865" w14:textId="77777777" w:rsidTr="00505244">
        <w:tc>
          <w:tcPr>
            <w:tcW w:w="0" w:type="auto"/>
            <w:shd w:val="clear" w:color="auto" w:fill="F8F8F9"/>
            <w:tcMar>
              <w:top w:w="60" w:type="dxa"/>
              <w:left w:w="60" w:type="dxa"/>
              <w:bottom w:w="60" w:type="dxa"/>
              <w:right w:w="60" w:type="dxa"/>
            </w:tcMar>
            <w:vAlign w:val="center"/>
            <w:hideMark/>
          </w:tcPr>
          <w:p w14:paraId="1CE93D4B"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AE139DE"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Involuntary Examinations of Minors; Revising parent, guardian, or caregiver notification requirements that must be met before an involuntary examination of a minor; revising parent and guardian notification requirements that must be met before conducting an involuntary examination of a minor who is removed from school, school transportation, or a school-sponsored activity; creating reporting requirements for schools relating to involuntary examinations of minors; requiring that certain plans include procedures to assist certain mental and behavioral health providers in attempts to verbally deescalate certain crisis situations before initiating an involuntary examination, etc. Effective Date: 7/1/2021</w:t>
            </w:r>
          </w:p>
        </w:tc>
      </w:tr>
      <w:tr w:rsidR="00505244" w:rsidRPr="00505244" w14:paraId="62307DFA" w14:textId="77777777" w:rsidTr="00505244">
        <w:tc>
          <w:tcPr>
            <w:tcW w:w="0" w:type="auto"/>
            <w:shd w:val="clear" w:color="auto" w:fill="F8F8F9"/>
            <w:tcMar>
              <w:top w:w="60" w:type="dxa"/>
              <w:left w:w="60" w:type="dxa"/>
              <w:bottom w:w="60" w:type="dxa"/>
              <w:right w:w="60" w:type="dxa"/>
            </w:tcMar>
            <w:vAlign w:val="center"/>
            <w:hideMark/>
          </w:tcPr>
          <w:p w14:paraId="5A95C739"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F08AB5A" w14:textId="046209A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8" w:history="1">
              <w:r w:rsidRPr="00505244">
                <w:rPr>
                  <w:rFonts w:ascii="Arial" w:eastAsia="Times New Roman" w:hAnsi="Arial" w:cs="Arial"/>
                  <w:color w:val="3A4E72"/>
                  <w:sz w:val="21"/>
                  <w:szCs w:val="21"/>
                </w:rPr>
                <w:t>SB 0606</w:t>
              </w:r>
            </w:hyperlink>
            <w:r w:rsidRPr="00505244">
              <w:rPr>
                <w:rFonts w:ascii="Arial" w:eastAsia="Times New Roman" w:hAnsi="Arial" w:cs="Arial"/>
                <w:noProof/>
                <w:color w:val="3C3D3F"/>
                <w:sz w:val="21"/>
                <w:szCs w:val="21"/>
              </w:rPr>
              <w:drawing>
                <wp:inline distT="0" distB="0" distL="0" distR="0" wp14:anchorId="685B3C30" wp14:editId="13ECF43A">
                  <wp:extent cx="228600" cy="228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AA266C6"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Domestic Violence</w:t>
            </w:r>
          </w:p>
        </w:tc>
        <w:tc>
          <w:tcPr>
            <w:tcW w:w="0" w:type="auto"/>
            <w:gridSpan w:val="3"/>
            <w:tcMar>
              <w:top w:w="105" w:type="dxa"/>
              <w:left w:w="60" w:type="dxa"/>
              <w:bottom w:w="60" w:type="dxa"/>
              <w:right w:w="60" w:type="dxa"/>
            </w:tcMar>
            <w:vAlign w:val="center"/>
            <w:hideMark/>
          </w:tcPr>
          <w:p w14:paraId="534D93EB" w14:textId="77777777" w:rsidR="00505244" w:rsidRPr="00505244" w:rsidRDefault="00505244" w:rsidP="00505244">
            <w:pPr>
              <w:spacing w:after="0" w:line="240" w:lineRule="auto"/>
              <w:rPr>
                <w:rFonts w:ascii="Arial" w:eastAsia="Times New Roman" w:hAnsi="Arial" w:cs="Arial"/>
                <w:color w:val="3C3D3F"/>
                <w:sz w:val="21"/>
                <w:szCs w:val="21"/>
              </w:rPr>
            </w:pPr>
            <w:hyperlink r:id="rId19" w:history="1">
              <w:r w:rsidRPr="00505244">
                <w:rPr>
                  <w:rFonts w:ascii="Arial" w:eastAsia="Times New Roman" w:hAnsi="Arial" w:cs="Arial"/>
                  <w:color w:val="3A4E72"/>
                  <w:sz w:val="21"/>
                  <w:szCs w:val="21"/>
                </w:rPr>
                <w:t>Bean</w:t>
              </w:r>
            </w:hyperlink>
            <w:r w:rsidRPr="00505244">
              <w:rPr>
                <w:rFonts w:ascii="Arial" w:eastAsia="Times New Roman" w:hAnsi="Arial" w:cs="Arial"/>
                <w:color w:val="3C3D3F"/>
                <w:sz w:val="21"/>
                <w:szCs w:val="21"/>
              </w:rPr>
              <w:t>  </w:t>
            </w:r>
          </w:p>
        </w:tc>
      </w:tr>
      <w:tr w:rsidR="00505244" w:rsidRPr="00505244" w14:paraId="397FE46B" w14:textId="77777777" w:rsidTr="00505244">
        <w:tc>
          <w:tcPr>
            <w:tcW w:w="0" w:type="auto"/>
            <w:shd w:val="clear" w:color="auto" w:fill="F8F8F9"/>
            <w:tcMar>
              <w:top w:w="60" w:type="dxa"/>
              <w:left w:w="60" w:type="dxa"/>
              <w:bottom w:w="60" w:type="dxa"/>
              <w:right w:w="60" w:type="dxa"/>
            </w:tcMar>
            <w:vAlign w:val="center"/>
            <w:hideMark/>
          </w:tcPr>
          <w:p w14:paraId="795DD754"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01AA6DB"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Domestic </w:t>
            </w:r>
            <w:proofErr w:type="gramStart"/>
            <w:r w:rsidRPr="00505244">
              <w:rPr>
                <w:rFonts w:ascii="Arial" w:eastAsia="Times New Roman" w:hAnsi="Arial" w:cs="Arial"/>
                <w:color w:val="3C3D3F"/>
                <w:sz w:val="17"/>
                <w:szCs w:val="17"/>
              </w:rPr>
              <w:t>Violence;</w:t>
            </w:r>
            <w:proofErr w:type="gramEnd"/>
            <w:r w:rsidRPr="00505244">
              <w:rPr>
                <w:rFonts w:ascii="Arial" w:eastAsia="Times New Roman" w:hAnsi="Arial" w:cs="Arial"/>
                <w:color w:val="3C3D3F"/>
                <w:sz w:val="17"/>
                <w:szCs w:val="17"/>
              </w:rPr>
              <w:t xml:space="preserve"> Adding nonresidential outreach services to the list of services certified domestic violence centers must provide; revising the program content requirements for batterers’ intervention programs; requiring the Department of Children and Families to certify and monitor batterers’ intervention programs, etc. Effective Date: 7/1/2021</w:t>
            </w:r>
          </w:p>
        </w:tc>
      </w:tr>
      <w:tr w:rsidR="00505244" w:rsidRPr="00505244" w14:paraId="3BBDFC86" w14:textId="77777777" w:rsidTr="00505244">
        <w:tc>
          <w:tcPr>
            <w:tcW w:w="0" w:type="auto"/>
            <w:shd w:val="clear" w:color="auto" w:fill="F8F8F9"/>
            <w:tcMar>
              <w:top w:w="60" w:type="dxa"/>
              <w:left w:w="60" w:type="dxa"/>
              <w:bottom w:w="60" w:type="dxa"/>
              <w:right w:w="60" w:type="dxa"/>
            </w:tcMar>
            <w:vAlign w:val="center"/>
            <w:hideMark/>
          </w:tcPr>
          <w:p w14:paraId="7A6AB3EF"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A85DA92" w14:textId="278E605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20" w:history="1">
              <w:r w:rsidRPr="00505244">
                <w:rPr>
                  <w:rFonts w:ascii="Arial" w:eastAsia="Times New Roman" w:hAnsi="Arial" w:cs="Arial"/>
                  <w:color w:val="3A4E72"/>
                  <w:sz w:val="21"/>
                  <w:szCs w:val="21"/>
                </w:rPr>
                <w:t>SB 0676</w:t>
              </w:r>
            </w:hyperlink>
            <w:r w:rsidRPr="00505244">
              <w:rPr>
                <w:rFonts w:ascii="Arial" w:eastAsia="Times New Roman" w:hAnsi="Arial" w:cs="Arial"/>
                <w:noProof/>
                <w:color w:val="3C3D3F"/>
                <w:sz w:val="21"/>
                <w:szCs w:val="21"/>
              </w:rPr>
              <w:drawing>
                <wp:inline distT="0" distB="0" distL="0" distR="0" wp14:anchorId="0F20FA45" wp14:editId="5AA92F74">
                  <wp:extent cx="228600" cy="2286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C1F11E5"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Special and Specialty License Plates</w:t>
            </w:r>
          </w:p>
        </w:tc>
        <w:tc>
          <w:tcPr>
            <w:tcW w:w="0" w:type="auto"/>
            <w:gridSpan w:val="3"/>
            <w:tcMar>
              <w:top w:w="105" w:type="dxa"/>
              <w:left w:w="60" w:type="dxa"/>
              <w:bottom w:w="60" w:type="dxa"/>
              <w:right w:w="60" w:type="dxa"/>
            </w:tcMar>
            <w:vAlign w:val="center"/>
            <w:hideMark/>
          </w:tcPr>
          <w:p w14:paraId="3EFE4586" w14:textId="77777777" w:rsidR="00505244" w:rsidRPr="00505244" w:rsidRDefault="00505244" w:rsidP="00505244">
            <w:pPr>
              <w:spacing w:after="0" w:line="240" w:lineRule="auto"/>
              <w:rPr>
                <w:rFonts w:ascii="Arial" w:eastAsia="Times New Roman" w:hAnsi="Arial" w:cs="Arial"/>
                <w:color w:val="3C3D3F"/>
                <w:sz w:val="21"/>
                <w:szCs w:val="21"/>
              </w:rPr>
            </w:pPr>
            <w:hyperlink r:id="rId21" w:history="1">
              <w:r w:rsidRPr="00505244">
                <w:rPr>
                  <w:rFonts w:ascii="Arial" w:eastAsia="Times New Roman" w:hAnsi="Arial" w:cs="Arial"/>
                  <w:color w:val="3A4E72"/>
                  <w:sz w:val="21"/>
                  <w:szCs w:val="21"/>
                </w:rPr>
                <w:t>Baxley</w:t>
              </w:r>
            </w:hyperlink>
            <w:r w:rsidRPr="00505244">
              <w:rPr>
                <w:rFonts w:ascii="Arial" w:eastAsia="Times New Roman" w:hAnsi="Arial" w:cs="Arial"/>
                <w:color w:val="3C3D3F"/>
                <w:sz w:val="21"/>
                <w:szCs w:val="21"/>
              </w:rPr>
              <w:t>  </w:t>
            </w:r>
          </w:p>
        </w:tc>
      </w:tr>
      <w:tr w:rsidR="00505244" w:rsidRPr="00505244" w14:paraId="43359917" w14:textId="77777777" w:rsidTr="00505244">
        <w:tc>
          <w:tcPr>
            <w:tcW w:w="0" w:type="auto"/>
            <w:shd w:val="clear" w:color="auto" w:fill="F8F8F9"/>
            <w:tcMar>
              <w:top w:w="60" w:type="dxa"/>
              <w:left w:w="60" w:type="dxa"/>
              <w:bottom w:w="60" w:type="dxa"/>
              <w:right w:w="60" w:type="dxa"/>
            </w:tcMar>
            <w:vAlign w:val="center"/>
            <w:hideMark/>
          </w:tcPr>
          <w:p w14:paraId="028D682A"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5E1D1AD"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Special and Specialty License Plates; Providing an exception to the requirement that specialty license plate annual use fees and interest earned from those fees be expended only in this state; revising distribution and application of annual fees from the sale of Florida Indian River Lagoon license plates; revising distribution of annual use fees from the sale of Divine Nine license plates; authorizing such plates to be personalized and to be displayed on certain vehicles; revising requirements for the issuance of certain special license plates, etc. Effective Date: 10/1/2021</w:t>
            </w:r>
          </w:p>
        </w:tc>
      </w:tr>
      <w:tr w:rsidR="00505244" w:rsidRPr="00505244" w14:paraId="00F1BE56" w14:textId="77777777" w:rsidTr="00505244">
        <w:tc>
          <w:tcPr>
            <w:tcW w:w="0" w:type="auto"/>
            <w:shd w:val="clear" w:color="auto" w:fill="F8F8F9"/>
            <w:tcMar>
              <w:top w:w="60" w:type="dxa"/>
              <w:left w:w="60" w:type="dxa"/>
              <w:bottom w:w="60" w:type="dxa"/>
              <w:right w:w="60" w:type="dxa"/>
            </w:tcMar>
            <w:vAlign w:val="center"/>
            <w:hideMark/>
          </w:tcPr>
          <w:p w14:paraId="7A3EDD8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8C4D729" w14:textId="25F24992"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22" w:history="1">
              <w:r w:rsidRPr="00505244">
                <w:rPr>
                  <w:rFonts w:ascii="Arial" w:eastAsia="Times New Roman" w:hAnsi="Arial" w:cs="Arial"/>
                  <w:color w:val="3A4E72"/>
                  <w:sz w:val="21"/>
                  <w:szCs w:val="21"/>
                </w:rPr>
                <w:t>SB 0900</w:t>
              </w:r>
            </w:hyperlink>
            <w:r w:rsidRPr="00505244">
              <w:rPr>
                <w:rFonts w:ascii="Arial" w:eastAsia="Times New Roman" w:hAnsi="Arial" w:cs="Arial"/>
                <w:noProof/>
                <w:color w:val="3C3D3F"/>
                <w:sz w:val="21"/>
                <w:szCs w:val="21"/>
              </w:rPr>
              <w:drawing>
                <wp:inline distT="0" distB="0" distL="0" distR="0" wp14:anchorId="7F2DF411" wp14:editId="6E6B503E">
                  <wp:extent cx="228600" cy="228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127F2161"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Child Welfare</w:t>
            </w:r>
          </w:p>
        </w:tc>
        <w:tc>
          <w:tcPr>
            <w:tcW w:w="0" w:type="auto"/>
            <w:gridSpan w:val="3"/>
            <w:tcMar>
              <w:top w:w="105" w:type="dxa"/>
              <w:left w:w="60" w:type="dxa"/>
              <w:bottom w:w="60" w:type="dxa"/>
              <w:right w:w="60" w:type="dxa"/>
            </w:tcMar>
            <w:vAlign w:val="center"/>
            <w:hideMark/>
          </w:tcPr>
          <w:p w14:paraId="323045C7" w14:textId="77777777" w:rsidR="00505244" w:rsidRPr="00505244" w:rsidRDefault="00505244" w:rsidP="00505244">
            <w:pPr>
              <w:spacing w:after="0" w:line="240" w:lineRule="auto"/>
              <w:rPr>
                <w:rFonts w:ascii="Arial" w:eastAsia="Times New Roman" w:hAnsi="Arial" w:cs="Arial"/>
                <w:color w:val="3C3D3F"/>
                <w:sz w:val="21"/>
                <w:szCs w:val="21"/>
              </w:rPr>
            </w:pPr>
            <w:hyperlink r:id="rId23" w:history="1">
              <w:r w:rsidRPr="00505244">
                <w:rPr>
                  <w:rFonts w:ascii="Arial" w:eastAsia="Times New Roman" w:hAnsi="Arial" w:cs="Arial"/>
                  <w:color w:val="3A4E72"/>
                  <w:sz w:val="21"/>
                  <w:szCs w:val="21"/>
                </w:rPr>
                <w:t>Rodriguez (A)</w:t>
              </w:r>
            </w:hyperlink>
            <w:r w:rsidRPr="00505244">
              <w:rPr>
                <w:rFonts w:ascii="Arial" w:eastAsia="Times New Roman" w:hAnsi="Arial" w:cs="Arial"/>
                <w:color w:val="3C3D3F"/>
                <w:sz w:val="21"/>
                <w:szCs w:val="21"/>
              </w:rPr>
              <w:t>  </w:t>
            </w:r>
          </w:p>
        </w:tc>
      </w:tr>
      <w:tr w:rsidR="00505244" w:rsidRPr="00505244" w14:paraId="66738BF8" w14:textId="77777777" w:rsidTr="00505244">
        <w:tc>
          <w:tcPr>
            <w:tcW w:w="0" w:type="auto"/>
            <w:shd w:val="clear" w:color="auto" w:fill="F8F8F9"/>
            <w:tcMar>
              <w:top w:w="60" w:type="dxa"/>
              <w:left w:w="60" w:type="dxa"/>
              <w:bottom w:w="60" w:type="dxa"/>
              <w:right w:w="60" w:type="dxa"/>
            </w:tcMar>
            <w:vAlign w:val="center"/>
            <w:hideMark/>
          </w:tcPr>
          <w:p w14:paraId="551F90F4"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708C4D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Child Welfare; Expanding the list of entities that have access to child abuse records; revising the authority of the Department of Children and Families to review reports for the purpose of employment screening; providing that licensed foster homes are the preferred supervised living arrangements for young adults; requiring assessments to be completed if the total number of children in a family foster home will exceed six, excluding the family’s own children, before placement of a child in a family foster home, etc. Effective Date: 7/1/2021</w:t>
            </w:r>
          </w:p>
        </w:tc>
      </w:tr>
      <w:tr w:rsidR="00505244" w:rsidRPr="00505244" w14:paraId="15AC2A27" w14:textId="77777777" w:rsidTr="00505244">
        <w:tc>
          <w:tcPr>
            <w:tcW w:w="0" w:type="auto"/>
            <w:shd w:val="clear" w:color="auto" w:fill="F8F8F9"/>
            <w:tcMar>
              <w:top w:w="60" w:type="dxa"/>
              <w:left w:w="60" w:type="dxa"/>
              <w:bottom w:w="60" w:type="dxa"/>
              <w:right w:w="60" w:type="dxa"/>
            </w:tcMar>
            <w:vAlign w:val="center"/>
            <w:hideMark/>
          </w:tcPr>
          <w:p w14:paraId="79CDA792"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1A27D41" w14:textId="28960D0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24" w:history="1">
              <w:r w:rsidRPr="00505244">
                <w:rPr>
                  <w:rFonts w:ascii="Arial" w:eastAsia="Times New Roman" w:hAnsi="Arial" w:cs="Arial"/>
                  <w:color w:val="3A4E72"/>
                  <w:sz w:val="21"/>
                  <w:szCs w:val="21"/>
                </w:rPr>
                <w:t>SB 1094</w:t>
              </w:r>
            </w:hyperlink>
            <w:r w:rsidRPr="00505244">
              <w:rPr>
                <w:rFonts w:ascii="Arial" w:eastAsia="Times New Roman" w:hAnsi="Arial" w:cs="Arial"/>
                <w:noProof/>
                <w:color w:val="3C3D3F"/>
                <w:sz w:val="21"/>
                <w:szCs w:val="21"/>
              </w:rPr>
              <w:drawing>
                <wp:inline distT="0" distB="0" distL="0" distR="0" wp14:anchorId="20F92990" wp14:editId="16FDFB15">
                  <wp:extent cx="228600" cy="228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31AC122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Required Health Education Instruction</w:t>
            </w:r>
          </w:p>
        </w:tc>
        <w:tc>
          <w:tcPr>
            <w:tcW w:w="0" w:type="auto"/>
            <w:gridSpan w:val="3"/>
            <w:tcMar>
              <w:top w:w="105" w:type="dxa"/>
              <w:left w:w="60" w:type="dxa"/>
              <w:bottom w:w="60" w:type="dxa"/>
              <w:right w:w="60" w:type="dxa"/>
            </w:tcMar>
            <w:vAlign w:val="center"/>
            <w:hideMark/>
          </w:tcPr>
          <w:p w14:paraId="3140954B" w14:textId="77777777" w:rsidR="00505244" w:rsidRPr="00505244" w:rsidRDefault="00505244" w:rsidP="00505244">
            <w:pPr>
              <w:spacing w:after="0" w:line="240" w:lineRule="auto"/>
              <w:rPr>
                <w:rFonts w:ascii="Arial" w:eastAsia="Times New Roman" w:hAnsi="Arial" w:cs="Arial"/>
                <w:color w:val="3C3D3F"/>
                <w:sz w:val="21"/>
                <w:szCs w:val="21"/>
              </w:rPr>
            </w:pPr>
            <w:hyperlink r:id="rId25" w:history="1">
              <w:r w:rsidRPr="00505244">
                <w:rPr>
                  <w:rFonts w:ascii="Arial" w:eastAsia="Times New Roman" w:hAnsi="Arial" w:cs="Arial"/>
                  <w:color w:val="3A4E72"/>
                  <w:sz w:val="21"/>
                  <w:szCs w:val="21"/>
                </w:rPr>
                <w:t>Bean</w:t>
              </w:r>
            </w:hyperlink>
            <w:r w:rsidRPr="00505244">
              <w:rPr>
                <w:rFonts w:ascii="Arial" w:eastAsia="Times New Roman" w:hAnsi="Arial" w:cs="Arial"/>
                <w:color w:val="3C3D3F"/>
                <w:sz w:val="21"/>
                <w:szCs w:val="21"/>
              </w:rPr>
              <w:t>  </w:t>
            </w:r>
          </w:p>
        </w:tc>
      </w:tr>
      <w:tr w:rsidR="00505244" w:rsidRPr="00505244" w14:paraId="2B0B3E51" w14:textId="77777777" w:rsidTr="00505244">
        <w:tc>
          <w:tcPr>
            <w:tcW w:w="0" w:type="auto"/>
            <w:shd w:val="clear" w:color="auto" w:fill="F8F8F9"/>
            <w:tcMar>
              <w:top w:w="60" w:type="dxa"/>
              <w:left w:w="60" w:type="dxa"/>
              <w:bottom w:w="60" w:type="dxa"/>
              <w:right w:w="60" w:type="dxa"/>
            </w:tcMar>
            <w:vAlign w:val="center"/>
            <w:hideMark/>
          </w:tcPr>
          <w:p w14:paraId="08D9CDB9"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6B5E47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Required Health Education Instruction; Providing additional requirements for health education; revising the grade levels when students receive certain health education instruction; requiring such education to include an awareness of the benefits of sexual abstinence as the expected standard and the consequences of teenage pregnancy, etc. Effective Date: 7/1/2021</w:t>
            </w:r>
          </w:p>
        </w:tc>
      </w:tr>
      <w:tr w:rsidR="00505244" w:rsidRPr="00505244" w14:paraId="54D3AF67" w14:textId="77777777" w:rsidTr="00505244">
        <w:tc>
          <w:tcPr>
            <w:tcW w:w="0" w:type="auto"/>
            <w:shd w:val="clear" w:color="auto" w:fill="F8F8F9"/>
            <w:tcMar>
              <w:top w:w="60" w:type="dxa"/>
              <w:left w:w="60" w:type="dxa"/>
              <w:bottom w:w="60" w:type="dxa"/>
              <w:right w:w="60" w:type="dxa"/>
            </w:tcMar>
            <w:vAlign w:val="center"/>
            <w:hideMark/>
          </w:tcPr>
          <w:p w14:paraId="69627806"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1A36CC7" w14:textId="15C3426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26" w:history="1">
              <w:r w:rsidRPr="00505244">
                <w:rPr>
                  <w:rFonts w:ascii="Arial" w:eastAsia="Times New Roman" w:hAnsi="Arial" w:cs="Arial"/>
                  <w:color w:val="3A4E72"/>
                  <w:sz w:val="21"/>
                  <w:szCs w:val="21"/>
                </w:rPr>
                <w:t>SB 1132</w:t>
              </w:r>
            </w:hyperlink>
            <w:r w:rsidRPr="00505244">
              <w:rPr>
                <w:rFonts w:ascii="Arial" w:eastAsia="Times New Roman" w:hAnsi="Arial" w:cs="Arial"/>
                <w:noProof/>
                <w:color w:val="3C3D3F"/>
                <w:sz w:val="21"/>
                <w:szCs w:val="21"/>
              </w:rPr>
              <w:drawing>
                <wp:inline distT="0" distB="0" distL="0" distR="0" wp14:anchorId="11BC36AF" wp14:editId="6133A80F">
                  <wp:extent cx="228600" cy="2286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590C5A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Personal Care Attendants</w:t>
            </w:r>
          </w:p>
        </w:tc>
        <w:tc>
          <w:tcPr>
            <w:tcW w:w="0" w:type="auto"/>
            <w:gridSpan w:val="3"/>
            <w:tcMar>
              <w:top w:w="105" w:type="dxa"/>
              <w:left w:w="60" w:type="dxa"/>
              <w:bottom w:w="60" w:type="dxa"/>
              <w:right w:w="60" w:type="dxa"/>
            </w:tcMar>
            <w:vAlign w:val="center"/>
            <w:hideMark/>
          </w:tcPr>
          <w:p w14:paraId="4DFBED84" w14:textId="77777777" w:rsidR="00505244" w:rsidRPr="00505244" w:rsidRDefault="00505244" w:rsidP="00505244">
            <w:pPr>
              <w:spacing w:after="0" w:line="240" w:lineRule="auto"/>
              <w:rPr>
                <w:rFonts w:ascii="Arial" w:eastAsia="Times New Roman" w:hAnsi="Arial" w:cs="Arial"/>
                <w:color w:val="3C3D3F"/>
                <w:sz w:val="21"/>
                <w:szCs w:val="21"/>
              </w:rPr>
            </w:pPr>
            <w:hyperlink r:id="rId27" w:history="1">
              <w:r w:rsidRPr="00505244">
                <w:rPr>
                  <w:rFonts w:ascii="Arial" w:eastAsia="Times New Roman" w:hAnsi="Arial" w:cs="Arial"/>
                  <w:color w:val="3A4E72"/>
                  <w:sz w:val="21"/>
                  <w:szCs w:val="21"/>
                </w:rPr>
                <w:t>Bean</w:t>
              </w:r>
            </w:hyperlink>
            <w:r w:rsidRPr="00505244">
              <w:rPr>
                <w:rFonts w:ascii="Arial" w:eastAsia="Times New Roman" w:hAnsi="Arial" w:cs="Arial"/>
                <w:color w:val="3C3D3F"/>
                <w:sz w:val="21"/>
                <w:szCs w:val="21"/>
              </w:rPr>
              <w:t>  </w:t>
            </w:r>
          </w:p>
        </w:tc>
      </w:tr>
      <w:tr w:rsidR="00505244" w:rsidRPr="00505244" w14:paraId="6C3FDABE" w14:textId="77777777" w:rsidTr="00505244">
        <w:tc>
          <w:tcPr>
            <w:tcW w:w="0" w:type="auto"/>
            <w:shd w:val="clear" w:color="auto" w:fill="F8F8F9"/>
            <w:tcMar>
              <w:top w:w="60" w:type="dxa"/>
              <w:left w:w="60" w:type="dxa"/>
              <w:bottom w:w="60" w:type="dxa"/>
              <w:right w:w="60" w:type="dxa"/>
            </w:tcMar>
            <w:vAlign w:val="center"/>
            <w:hideMark/>
          </w:tcPr>
          <w:p w14:paraId="57FCE31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BA035E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Personal Care Attendants; Authorizing nursing home facilities to employ personal care attendants if they are participating in a certain training program developed by the Agency for Health Care Administration, in consultation with the Board of Nursing; providing limitations on such personal care attendants’ practice; requiring the agency to notify the Division of Law Revision of the date certain rules take effect; authorizing certain persons to be employed by a nursing home facility as personal care attendants for a specified period if a certain training requirement is met, etc. Effective Date: Upon becoming a law</w:t>
            </w:r>
          </w:p>
        </w:tc>
      </w:tr>
      <w:tr w:rsidR="00505244" w:rsidRPr="00505244" w14:paraId="7E856506" w14:textId="77777777" w:rsidTr="00505244">
        <w:tc>
          <w:tcPr>
            <w:tcW w:w="0" w:type="auto"/>
            <w:shd w:val="clear" w:color="auto" w:fill="F8F8F9"/>
            <w:tcMar>
              <w:top w:w="60" w:type="dxa"/>
              <w:left w:w="60" w:type="dxa"/>
              <w:bottom w:w="60" w:type="dxa"/>
              <w:right w:w="60" w:type="dxa"/>
            </w:tcMar>
            <w:vAlign w:val="center"/>
            <w:hideMark/>
          </w:tcPr>
          <w:p w14:paraId="68B79B57"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6CF3D3B" w14:textId="0C10AB9E"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28" w:history="1">
              <w:r w:rsidRPr="00505244">
                <w:rPr>
                  <w:rFonts w:ascii="Arial" w:eastAsia="Times New Roman" w:hAnsi="Arial" w:cs="Arial"/>
                  <w:color w:val="3A4E72"/>
                  <w:sz w:val="21"/>
                  <w:szCs w:val="21"/>
                </w:rPr>
                <w:t>SB 1242</w:t>
              </w:r>
            </w:hyperlink>
            <w:r w:rsidRPr="00505244">
              <w:rPr>
                <w:rFonts w:ascii="Arial" w:eastAsia="Times New Roman" w:hAnsi="Arial" w:cs="Arial"/>
                <w:noProof/>
                <w:color w:val="3C3D3F"/>
                <w:sz w:val="21"/>
                <w:szCs w:val="21"/>
              </w:rPr>
              <w:drawing>
                <wp:inline distT="0" distB="0" distL="0" distR="0" wp14:anchorId="7C8A81FB" wp14:editId="5B8EB05C">
                  <wp:extent cx="228600" cy="228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376CFE7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Program of All-Inclusive Care for the Elderly</w:t>
            </w:r>
          </w:p>
        </w:tc>
        <w:tc>
          <w:tcPr>
            <w:tcW w:w="0" w:type="auto"/>
            <w:gridSpan w:val="3"/>
            <w:tcMar>
              <w:top w:w="105" w:type="dxa"/>
              <w:left w:w="60" w:type="dxa"/>
              <w:bottom w:w="60" w:type="dxa"/>
              <w:right w:w="60" w:type="dxa"/>
            </w:tcMar>
            <w:vAlign w:val="center"/>
            <w:hideMark/>
          </w:tcPr>
          <w:p w14:paraId="6B6AE2A3" w14:textId="77777777" w:rsidR="00505244" w:rsidRPr="00505244" w:rsidRDefault="00505244" w:rsidP="00505244">
            <w:pPr>
              <w:spacing w:after="0" w:line="240" w:lineRule="auto"/>
              <w:rPr>
                <w:rFonts w:ascii="Arial" w:eastAsia="Times New Roman" w:hAnsi="Arial" w:cs="Arial"/>
                <w:color w:val="3C3D3F"/>
                <w:sz w:val="21"/>
                <w:szCs w:val="21"/>
              </w:rPr>
            </w:pPr>
            <w:hyperlink r:id="rId29"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57F48B7D" w14:textId="77777777" w:rsidTr="00505244">
        <w:tc>
          <w:tcPr>
            <w:tcW w:w="0" w:type="auto"/>
            <w:shd w:val="clear" w:color="auto" w:fill="F8F8F9"/>
            <w:tcMar>
              <w:top w:w="60" w:type="dxa"/>
              <w:left w:w="60" w:type="dxa"/>
              <w:bottom w:w="60" w:type="dxa"/>
              <w:right w:w="60" w:type="dxa"/>
            </w:tcMar>
            <w:vAlign w:val="center"/>
            <w:hideMark/>
          </w:tcPr>
          <w:p w14:paraId="5E8180E7"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93B0326"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Program of All-Inclusive Care for the Elderly; Authorizing the Agency for Health Care Administration, in consultation with the Department of Elderly Affairs, to approve entities applying to deliver PACE services in the state; requiring notice of applications to be published in the Florida Administrative Register; requiring existing PACE organizations to meet specified requirements under certain circumstances; requiring the agency to oversee and monitor the PACE program and organizations, etc. Effective Date: 7/1/2021</w:t>
            </w:r>
          </w:p>
        </w:tc>
      </w:tr>
      <w:tr w:rsidR="00505244" w:rsidRPr="00505244" w14:paraId="0001D19E" w14:textId="77777777" w:rsidTr="00505244">
        <w:tc>
          <w:tcPr>
            <w:tcW w:w="0" w:type="auto"/>
            <w:shd w:val="clear" w:color="auto" w:fill="F8F8F9"/>
            <w:tcMar>
              <w:top w:w="60" w:type="dxa"/>
              <w:left w:w="60" w:type="dxa"/>
              <w:bottom w:w="60" w:type="dxa"/>
              <w:right w:w="60" w:type="dxa"/>
            </w:tcMar>
            <w:vAlign w:val="center"/>
            <w:hideMark/>
          </w:tcPr>
          <w:p w14:paraId="5B982D9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78194135" w14:textId="7EBC965A"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30" w:history="1">
              <w:r w:rsidRPr="00505244">
                <w:rPr>
                  <w:rFonts w:ascii="Arial" w:eastAsia="Times New Roman" w:hAnsi="Arial" w:cs="Arial"/>
                  <w:color w:val="3A4E72"/>
                  <w:sz w:val="21"/>
                  <w:szCs w:val="21"/>
                </w:rPr>
                <w:t>SB 1292</w:t>
              </w:r>
            </w:hyperlink>
            <w:r w:rsidRPr="00505244">
              <w:rPr>
                <w:rFonts w:ascii="Arial" w:eastAsia="Times New Roman" w:hAnsi="Arial" w:cs="Arial"/>
                <w:noProof/>
                <w:color w:val="3C3D3F"/>
                <w:sz w:val="21"/>
                <w:szCs w:val="21"/>
              </w:rPr>
              <w:drawing>
                <wp:inline distT="0" distB="0" distL="0" distR="0" wp14:anchorId="68A9730A" wp14:editId="287DD762">
                  <wp:extent cx="228600" cy="228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BE7822A"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Medicaid</w:t>
            </w:r>
          </w:p>
        </w:tc>
        <w:tc>
          <w:tcPr>
            <w:tcW w:w="0" w:type="auto"/>
            <w:gridSpan w:val="3"/>
            <w:tcMar>
              <w:top w:w="105" w:type="dxa"/>
              <w:left w:w="60" w:type="dxa"/>
              <w:bottom w:w="60" w:type="dxa"/>
              <w:right w:w="60" w:type="dxa"/>
            </w:tcMar>
            <w:vAlign w:val="center"/>
            <w:hideMark/>
          </w:tcPr>
          <w:p w14:paraId="7B798575" w14:textId="77777777" w:rsidR="00505244" w:rsidRPr="00505244" w:rsidRDefault="00505244" w:rsidP="00505244">
            <w:pPr>
              <w:spacing w:after="0" w:line="240" w:lineRule="auto"/>
              <w:rPr>
                <w:rFonts w:ascii="Arial" w:eastAsia="Times New Roman" w:hAnsi="Arial" w:cs="Arial"/>
                <w:color w:val="3C3D3F"/>
                <w:sz w:val="21"/>
                <w:szCs w:val="21"/>
              </w:rPr>
            </w:pPr>
            <w:hyperlink r:id="rId31" w:history="1">
              <w:r w:rsidRPr="00505244">
                <w:rPr>
                  <w:rFonts w:ascii="Arial" w:eastAsia="Times New Roman" w:hAnsi="Arial" w:cs="Arial"/>
                  <w:color w:val="3A4E72"/>
                  <w:sz w:val="21"/>
                  <w:szCs w:val="21"/>
                </w:rPr>
                <w:t>Bean</w:t>
              </w:r>
            </w:hyperlink>
            <w:r w:rsidRPr="00505244">
              <w:rPr>
                <w:rFonts w:ascii="Arial" w:eastAsia="Times New Roman" w:hAnsi="Arial" w:cs="Arial"/>
                <w:color w:val="3C3D3F"/>
                <w:sz w:val="21"/>
                <w:szCs w:val="21"/>
              </w:rPr>
              <w:t>  </w:t>
            </w:r>
          </w:p>
        </w:tc>
      </w:tr>
      <w:tr w:rsidR="00505244" w:rsidRPr="00505244" w14:paraId="3E8F85FD" w14:textId="77777777" w:rsidTr="00505244">
        <w:tc>
          <w:tcPr>
            <w:tcW w:w="0" w:type="auto"/>
            <w:shd w:val="clear" w:color="auto" w:fill="F8F8F9"/>
            <w:tcMar>
              <w:top w:w="60" w:type="dxa"/>
              <w:left w:w="60" w:type="dxa"/>
              <w:bottom w:w="60" w:type="dxa"/>
              <w:right w:w="60" w:type="dxa"/>
            </w:tcMar>
            <w:vAlign w:val="center"/>
            <w:hideMark/>
          </w:tcPr>
          <w:p w14:paraId="60D35477"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65C50AB"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Medicaid; Deleting a requirement for the Agency for Health Care Administration to submit an annual report to the Legislature on the operation of the pharmaceutical expense assistance program; revising the method for determining prescribed drug provider reimbursements; requiring the agency to establish certain procedures related to prior authorization requests rather than prior consultation requests; revising the definitions of the terms “medical necessity” and “medically necessary” to provide an exception for behavior analysis services determinations, etc. Effective Date: 7/1/2021</w:t>
            </w:r>
          </w:p>
        </w:tc>
      </w:tr>
      <w:tr w:rsidR="00505244" w:rsidRPr="00505244" w14:paraId="6F977BB4" w14:textId="77777777" w:rsidTr="00505244">
        <w:tc>
          <w:tcPr>
            <w:tcW w:w="0" w:type="auto"/>
            <w:shd w:val="clear" w:color="auto" w:fill="F8F8F9"/>
            <w:tcMar>
              <w:top w:w="60" w:type="dxa"/>
              <w:left w:w="60" w:type="dxa"/>
              <w:bottom w:w="60" w:type="dxa"/>
              <w:right w:w="60" w:type="dxa"/>
            </w:tcMar>
            <w:vAlign w:val="center"/>
            <w:hideMark/>
          </w:tcPr>
          <w:p w14:paraId="23141AE5"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55890D1" w14:textId="37BE0385"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32" w:history="1">
              <w:r w:rsidRPr="00505244">
                <w:rPr>
                  <w:rFonts w:ascii="Arial" w:eastAsia="Times New Roman" w:hAnsi="Arial" w:cs="Arial"/>
                  <w:color w:val="3A4E72"/>
                  <w:sz w:val="21"/>
                  <w:szCs w:val="21"/>
                </w:rPr>
                <w:t>SB 1786</w:t>
              </w:r>
            </w:hyperlink>
            <w:r w:rsidRPr="00505244">
              <w:rPr>
                <w:rFonts w:ascii="Arial" w:eastAsia="Times New Roman" w:hAnsi="Arial" w:cs="Arial"/>
                <w:noProof/>
                <w:color w:val="3C3D3F"/>
                <w:sz w:val="21"/>
                <w:szCs w:val="21"/>
              </w:rPr>
              <w:drawing>
                <wp:inline distT="0" distB="0" distL="0" distR="0" wp14:anchorId="47AF4663" wp14:editId="6B51AF46">
                  <wp:extent cx="228600" cy="228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1B882A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Payments for Birth-related Neurological Injuries</w:t>
            </w:r>
          </w:p>
        </w:tc>
        <w:tc>
          <w:tcPr>
            <w:tcW w:w="0" w:type="auto"/>
            <w:gridSpan w:val="3"/>
            <w:tcMar>
              <w:top w:w="105" w:type="dxa"/>
              <w:left w:w="60" w:type="dxa"/>
              <w:bottom w:w="60" w:type="dxa"/>
              <w:right w:w="60" w:type="dxa"/>
            </w:tcMar>
            <w:vAlign w:val="center"/>
            <w:hideMark/>
          </w:tcPr>
          <w:p w14:paraId="5E7953FA" w14:textId="77777777" w:rsidR="00505244" w:rsidRPr="00505244" w:rsidRDefault="00505244" w:rsidP="00505244">
            <w:pPr>
              <w:spacing w:after="0" w:line="240" w:lineRule="auto"/>
              <w:rPr>
                <w:rFonts w:ascii="Arial" w:eastAsia="Times New Roman" w:hAnsi="Arial" w:cs="Arial"/>
                <w:color w:val="3C3D3F"/>
                <w:sz w:val="21"/>
                <w:szCs w:val="21"/>
              </w:rPr>
            </w:pPr>
            <w:hyperlink r:id="rId33"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180284DA" w14:textId="77777777" w:rsidTr="00505244">
        <w:tc>
          <w:tcPr>
            <w:tcW w:w="0" w:type="auto"/>
            <w:shd w:val="clear" w:color="auto" w:fill="F8F8F9"/>
            <w:tcMar>
              <w:top w:w="60" w:type="dxa"/>
              <w:left w:w="60" w:type="dxa"/>
              <w:bottom w:w="60" w:type="dxa"/>
              <w:right w:w="60" w:type="dxa"/>
            </w:tcMar>
            <w:vAlign w:val="center"/>
            <w:hideMark/>
          </w:tcPr>
          <w:p w14:paraId="21719916"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E0A9BAA"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Payments for Birth-related Neurological Injuries; Increasing the amount that may be awarded to the parents or legal guardians of an infant found to have sustained a birth-related neurological injury; requiring that such amount be revised annually; increasing the amount of the death benefit that may be awarded; providing for retroactive application, etc. Effective Date: 7/1/2021</w:t>
            </w:r>
          </w:p>
        </w:tc>
      </w:tr>
      <w:tr w:rsidR="00505244" w:rsidRPr="00505244" w14:paraId="1D9FF6BD" w14:textId="77777777" w:rsidTr="00505244">
        <w:tc>
          <w:tcPr>
            <w:tcW w:w="0" w:type="auto"/>
            <w:shd w:val="clear" w:color="auto" w:fill="F8F8F9"/>
            <w:tcMar>
              <w:top w:w="60" w:type="dxa"/>
              <w:left w:w="60" w:type="dxa"/>
              <w:bottom w:w="60" w:type="dxa"/>
              <w:right w:w="60" w:type="dxa"/>
            </w:tcMar>
            <w:vAlign w:val="center"/>
            <w:hideMark/>
          </w:tcPr>
          <w:p w14:paraId="33AF6C99"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BE5F568" w14:textId="78CF60E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34" w:history="1">
              <w:r w:rsidRPr="00505244">
                <w:rPr>
                  <w:rFonts w:ascii="Arial" w:eastAsia="Times New Roman" w:hAnsi="Arial" w:cs="Arial"/>
                  <w:color w:val="3A4E72"/>
                  <w:sz w:val="21"/>
                  <w:szCs w:val="21"/>
                </w:rPr>
                <w:t>SB 0130</w:t>
              </w:r>
            </w:hyperlink>
            <w:r w:rsidRPr="00505244">
              <w:rPr>
                <w:rFonts w:ascii="Arial" w:eastAsia="Times New Roman" w:hAnsi="Arial" w:cs="Arial"/>
                <w:noProof/>
                <w:color w:val="3C3D3F"/>
                <w:sz w:val="21"/>
                <w:szCs w:val="21"/>
              </w:rPr>
              <w:drawing>
                <wp:inline distT="0" distB="0" distL="0" distR="0" wp14:anchorId="2A2C1231" wp14:editId="04DEF7A6">
                  <wp:extent cx="228600" cy="228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0049016"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Mental Health and Substance Use Disorders</w:t>
            </w:r>
          </w:p>
        </w:tc>
        <w:tc>
          <w:tcPr>
            <w:tcW w:w="0" w:type="auto"/>
            <w:gridSpan w:val="3"/>
            <w:tcMar>
              <w:top w:w="105" w:type="dxa"/>
              <w:left w:w="60" w:type="dxa"/>
              <w:bottom w:w="60" w:type="dxa"/>
              <w:right w:w="60" w:type="dxa"/>
            </w:tcMar>
            <w:vAlign w:val="center"/>
            <w:hideMark/>
          </w:tcPr>
          <w:p w14:paraId="7A189F30" w14:textId="77777777" w:rsidR="00505244" w:rsidRPr="00505244" w:rsidRDefault="00505244" w:rsidP="00505244">
            <w:pPr>
              <w:spacing w:after="0" w:line="240" w:lineRule="auto"/>
              <w:rPr>
                <w:rFonts w:ascii="Arial" w:eastAsia="Times New Roman" w:hAnsi="Arial" w:cs="Arial"/>
                <w:color w:val="3C3D3F"/>
                <w:sz w:val="21"/>
                <w:szCs w:val="21"/>
              </w:rPr>
            </w:pPr>
            <w:hyperlink r:id="rId35" w:history="1">
              <w:proofErr w:type="spellStart"/>
              <w:r w:rsidRPr="00505244">
                <w:rPr>
                  <w:rFonts w:ascii="Arial" w:eastAsia="Times New Roman" w:hAnsi="Arial" w:cs="Arial"/>
                  <w:color w:val="3A4E72"/>
                  <w:sz w:val="21"/>
                  <w:szCs w:val="21"/>
                </w:rPr>
                <w:t>Rouson</w:t>
              </w:r>
              <w:proofErr w:type="spellEnd"/>
            </w:hyperlink>
            <w:r w:rsidRPr="00505244">
              <w:rPr>
                <w:rFonts w:ascii="Arial" w:eastAsia="Times New Roman" w:hAnsi="Arial" w:cs="Arial"/>
                <w:color w:val="3C3D3F"/>
                <w:sz w:val="21"/>
                <w:szCs w:val="21"/>
              </w:rPr>
              <w:t>  </w:t>
            </w:r>
          </w:p>
        </w:tc>
      </w:tr>
      <w:tr w:rsidR="00505244" w:rsidRPr="00505244" w14:paraId="7F38525E" w14:textId="77777777" w:rsidTr="00505244">
        <w:tc>
          <w:tcPr>
            <w:tcW w:w="0" w:type="auto"/>
            <w:shd w:val="clear" w:color="auto" w:fill="F8F8F9"/>
            <w:tcMar>
              <w:top w:w="60" w:type="dxa"/>
              <w:left w:w="60" w:type="dxa"/>
              <w:bottom w:w="60" w:type="dxa"/>
              <w:right w:w="60" w:type="dxa"/>
            </w:tcMar>
            <w:vAlign w:val="center"/>
            <w:hideMark/>
          </w:tcPr>
          <w:p w14:paraId="1CC985B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A1B2A7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Mental Health and Substance Use Disorders; Providing that the use of peer specialists is an essential element of a coordinated system of care in recovery from a substance use disorder or mental illness; requiring the department to certify peer specialists, either directly or by approving a third-party credentialing entity; requiring that a person providing recovery support services be certified or be supervised by a licensed behavioral health care professional or a certified peer specialist; requiring peer specialists and certain persons to meet the requirements of a background screening as a condition of employment and continued employment, etc. Effective Date: 7/1/2021</w:t>
            </w:r>
          </w:p>
        </w:tc>
      </w:tr>
      <w:tr w:rsidR="00505244" w:rsidRPr="00505244" w14:paraId="6E37F679" w14:textId="77777777" w:rsidTr="00505244">
        <w:tc>
          <w:tcPr>
            <w:tcW w:w="0" w:type="auto"/>
            <w:shd w:val="clear" w:color="auto" w:fill="F8F8F9"/>
            <w:tcMar>
              <w:top w:w="60" w:type="dxa"/>
              <w:left w:w="60" w:type="dxa"/>
              <w:bottom w:w="60" w:type="dxa"/>
              <w:right w:w="60" w:type="dxa"/>
            </w:tcMar>
            <w:vAlign w:val="center"/>
            <w:hideMark/>
          </w:tcPr>
          <w:p w14:paraId="2EBCE33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F64E988" w14:textId="052D2C8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36" w:history="1">
              <w:r w:rsidRPr="00505244">
                <w:rPr>
                  <w:rFonts w:ascii="Arial" w:eastAsia="Times New Roman" w:hAnsi="Arial" w:cs="Arial"/>
                  <w:color w:val="3A4E72"/>
                  <w:sz w:val="21"/>
                  <w:szCs w:val="21"/>
                </w:rPr>
                <w:t>SB 0468</w:t>
              </w:r>
            </w:hyperlink>
            <w:r w:rsidRPr="00505244">
              <w:rPr>
                <w:rFonts w:ascii="Arial" w:eastAsia="Times New Roman" w:hAnsi="Arial" w:cs="Arial"/>
                <w:noProof/>
                <w:color w:val="3C3D3F"/>
                <w:sz w:val="21"/>
                <w:szCs w:val="21"/>
              </w:rPr>
              <w:drawing>
                <wp:inline distT="0" distB="0" distL="0" distR="0" wp14:anchorId="77C2AD8D" wp14:editId="3885EEF6">
                  <wp:extent cx="228600" cy="228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D5FBD4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Expunction of Criminal History Records Relating to Certain C...</w:t>
            </w:r>
          </w:p>
        </w:tc>
        <w:tc>
          <w:tcPr>
            <w:tcW w:w="0" w:type="auto"/>
            <w:gridSpan w:val="3"/>
            <w:tcMar>
              <w:top w:w="105" w:type="dxa"/>
              <w:left w:w="60" w:type="dxa"/>
              <w:bottom w:w="60" w:type="dxa"/>
              <w:right w:w="60" w:type="dxa"/>
            </w:tcMar>
            <w:vAlign w:val="center"/>
            <w:hideMark/>
          </w:tcPr>
          <w:p w14:paraId="5CEC3EF4" w14:textId="77777777" w:rsidR="00505244" w:rsidRPr="00505244" w:rsidRDefault="00505244" w:rsidP="00505244">
            <w:pPr>
              <w:spacing w:after="0" w:line="240" w:lineRule="auto"/>
              <w:rPr>
                <w:rFonts w:ascii="Arial" w:eastAsia="Times New Roman" w:hAnsi="Arial" w:cs="Arial"/>
                <w:color w:val="3C3D3F"/>
                <w:sz w:val="21"/>
                <w:szCs w:val="21"/>
              </w:rPr>
            </w:pPr>
            <w:hyperlink r:id="rId37" w:history="1">
              <w:r w:rsidRPr="00505244">
                <w:rPr>
                  <w:rFonts w:ascii="Arial" w:eastAsia="Times New Roman" w:hAnsi="Arial" w:cs="Arial"/>
                  <w:color w:val="3A4E72"/>
                  <w:sz w:val="21"/>
                  <w:szCs w:val="21"/>
                </w:rPr>
                <w:t>Bracy</w:t>
              </w:r>
            </w:hyperlink>
            <w:r w:rsidRPr="00505244">
              <w:rPr>
                <w:rFonts w:ascii="Arial" w:eastAsia="Times New Roman" w:hAnsi="Arial" w:cs="Arial"/>
                <w:color w:val="3C3D3F"/>
                <w:sz w:val="21"/>
                <w:szCs w:val="21"/>
              </w:rPr>
              <w:t>  </w:t>
            </w:r>
          </w:p>
        </w:tc>
      </w:tr>
      <w:tr w:rsidR="00505244" w:rsidRPr="00505244" w14:paraId="3264D60B" w14:textId="77777777" w:rsidTr="00505244">
        <w:tc>
          <w:tcPr>
            <w:tcW w:w="0" w:type="auto"/>
            <w:shd w:val="clear" w:color="auto" w:fill="F8F8F9"/>
            <w:tcMar>
              <w:top w:w="60" w:type="dxa"/>
              <w:left w:w="60" w:type="dxa"/>
              <w:bottom w:w="60" w:type="dxa"/>
              <w:right w:w="60" w:type="dxa"/>
            </w:tcMar>
            <w:vAlign w:val="center"/>
            <w:hideMark/>
          </w:tcPr>
          <w:p w14:paraId="73F76602"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51143D9"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Expunction of Criminal History Records Relating to Certain Cannabis Offenses; Requiring a petitioner to obtain a certificate of eligibility from the Department of Law Enforcement; providing application requirements and contents of a certificate of eligibility for expunction; requiring the department to issue a certificate of eligibility for expunction if a person meets specified criteria; providing court procedures for expungement, etc. Effective Date: 7/1/2021</w:t>
            </w:r>
          </w:p>
        </w:tc>
      </w:tr>
      <w:tr w:rsidR="00505244" w:rsidRPr="00505244" w14:paraId="541C3431" w14:textId="77777777" w:rsidTr="00505244">
        <w:tc>
          <w:tcPr>
            <w:tcW w:w="0" w:type="auto"/>
            <w:shd w:val="clear" w:color="auto" w:fill="F8F8F9"/>
            <w:tcMar>
              <w:top w:w="60" w:type="dxa"/>
              <w:left w:w="60" w:type="dxa"/>
              <w:bottom w:w="60" w:type="dxa"/>
              <w:right w:w="60" w:type="dxa"/>
            </w:tcMar>
            <w:vAlign w:val="center"/>
            <w:hideMark/>
          </w:tcPr>
          <w:p w14:paraId="6174215C"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F30BD8F" w14:textId="115703BC"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38" w:history="1">
              <w:r w:rsidRPr="00505244">
                <w:rPr>
                  <w:rFonts w:ascii="Arial" w:eastAsia="Times New Roman" w:hAnsi="Arial" w:cs="Arial"/>
                  <w:color w:val="3A4E72"/>
                  <w:sz w:val="21"/>
                  <w:szCs w:val="21"/>
                </w:rPr>
                <w:t>SB 0470</w:t>
              </w:r>
            </w:hyperlink>
            <w:r w:rsidRPr="00505244">
              <w:rPr>
                <w:rFonts w:ascii="Arial" w:eastAsia="Times New Roman" w:hAnsi="Arial" w:cs="Arial"/>
                <w:noProof/>
                <w:color w:val="3C3D3F"/>
                <w:sz w:val="21"/>
                <w:szCs w:val="21"/>
              </w:rPr>
              <w:drawing>
                <wp:inline distT="0" distB="0" distL="0" distR="0" wp14:anchorId="0288EC91" wp14:editId="4F4E7E7B">
                  <wp:extent cx="228600" cy="2286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BE4E972"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Public Records/Expunged Criminal History Records</w:t>
            </w:r>
          </w:p>
        </w:tc>
        <w:tc>
          <w:tcPr>
            <w:tcW w:w="0" w:type="auto"/>
            <w:gridSpan w:val="3"/>
            <w:tcMar>
              <w:top w:w="105" w:type="dxa"/>
              <w:left w:w="60" w:type="dxa"/>
              <w:bottom w:w="60" w:type="dxa"/>
              <w:right w:w="60" w:type="dxa"/>
            </w:tcMar>
            <w:vAlign w:val="center"/>
            <w:hideMark/>
          </w:tcPr>
          <w:p w14:paraId="27DC93BB" w14:textId="77777777" w:rsidR="00505244" w:rsidRPr="00505244" w:rsidRDefault="00505244" w:rsidP="00505244">
            <w:pPr>
              <w:spacing w:after="0" w:line="240" w:lineRule="auto"/>
              <w:rPr>
                <w:rFonts w:ascii="Arial" w:eastAsia="Times New Roman" w:hAnsi="Arial" w:cs="Arial"/>
                <w:color w:val="3C3D3F"/>
                <w:sz w:val="21"/>
                <w:szCs w:val="21"/>
              </w:rPr>
            </w:pPr>
            <w:hyperlink r:id="rId39" w:history="1">
              <w:r w:rsidRPr="00505244">
                <w:rPr>
                  <w:rFonts w:ascii="Arial" w:eastAsia="Times New Roman" w:hAnsi="Arial" w:cs="Arial"/>
                  <w:color w:val="3A4E72"/>
                  <w:sz w:val="21"/>
                  <w:szCs w:val="21"/>
                </w:rPr>
                <w:t>Bracy</w:t>
              </w:r>
            </w:hyperlink>
            <w:r w:rsidRPr="00505244">
              <w:rPr>
                <w:rFonts w:ascii="Arial" w:eastAsia="Times New Roman" w:hAnsi="Arial" w:cs="Arial"/>
                <w:color w:val="3C3D3F"/>
                <w:sz w:val="21"/>
                <w:szCs w:val="21"/>
              </w:rPr>
              <w:t>  </w:t>
            </w:r>
          </w:p>
        </w:tc>
      </w:tr>
      <w:tr w:rsidR="00505244" w:rsidRPr="00505244" w14:paraId="7D499B2E" w14:textId="77777777" w:rsidTr="00505244">
        <w:tc>
          <w:tcPr>
            <w:tcW w:w="0" w:type="auto"/>
            <w:shd w:val="clear" w:color="auto" w:fill="F8F8F9"/>
            <w:tcMar>
              <w:top w:w="60" w:type="dxa"/>
              <w:left w:w="60" w:type="dxa"/>
              <w:bottom w:w="60" w:type="dxa"/>
              <w:right w:w="60" w:type="dxa"/>
            </w:tcMar>
            <w:vAlign w:val="center"/>
            <w:hideMark/>
          </w:tcPr>
          <w:p w14:paraId="590B0BAC"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7CBB774"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Public Records/Expunged Criminal History Records; Providing an exemption from public records requirements for specified expunged criminal history records; providing exceptions; providing for future legislative review and repeal of the exemption; providing a statement of public necessity, etc. Effective Date: On the same date that SB 468 or similar legislation takes effect, if such legislation is adopted in the same legislative session or an extension thereof and becomes a law</w:t>
            </w:r>
          </w:p>
        </w:tc>
      </w:tr>
      <w:tr w:rsidR="00505244" w:rsidRPr="00505244" w14:paraId="2DAE094A" w14:textId="77777777" w:rsidTr="00505244">
        <w:tc>
          <w:tcPr>
            <w:tcW w:w="0" w:type="auto"/>
            <w:shd w:val="clear" w:color="auto" w:fill="F8F8F9"/>
            <w:tcMar>
              <w:top w:w="60" w:type="dxa"/>
              <w:left w:w="60" w:type="dxa"/>
              <w:bottom w:w="60" w:type="dxa"/>
              <w:right w:w="60" w:type="dxa"/>
            </w:tcMar>
            <w:vAlign w:val="center"/>
            <w:hideMark/>
          </w:tcPr>
          <w:p w14:paraId="0BD31CD7"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D061196" w14:textId="05ED2DF8"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40" w:history="1">
              <w:r w:rsidRPr="00505244">
                <w:rPr>
                  <w:rFonts w:ascii="Arial" w:eastAsia="Times New Roman" w:hAnsi="Arial" w:cs="Arial"/>
                  <w:color w:val="3A4E72"/>
                  <w:sz w:val="21"/>
                  <w:szCs w:val="21"/>
                </w:rPr>
                <w:t>SB 1024</w:t>
              </w:r>
            </w:hyperlink>
            <w:r w:rsidRPr="00505244">
              <w:rPr>
                <w:rFonts w:ascii="Arial" w:eastAsia="Times New Roman" w:hAnsi="Arial" w:cs="Arial"/>
                <w:noProof/>
                <w:color w:val="3C3D3F"/>
                <w:sz w:val="21"/>
                <w:szCs w:val="21"/>
              </w:rPr>
              <w:drawing>
                <wp:inline distT="0" distB="0" distL="0" distR="0" wp14:anchorId="59E83158" wp14:editId="76C530C7">
                  <wp:extent cx="228600" cy="2286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CDD8B26"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Increasing Access to Mental Health Care</w:t>
            </w:r>
          </w:p>
        </w:tc>
        <w:tc>
          <w:tcPr>
            <w:tcW w:w="0" w:type="auto"/>
            <w:gridSpan w:val="3"/>
            <w:tcMar>
              <w:top w:w="105" w:type="dxa"/>
              <w:left w:w="60" w:type="dxa"/>
              <w:bottom w:w="60" w:type="dxa"/>
              <w:right w:w="60" w:type="dxa"/>
            </w:tcMar>
            <w:vAlign w:val="center"/>
            <w:hideMark/>
          </w:tcPr>
          <w:p w14:paraId="4A2FFA9C" w14:textId="77777777" w:rsidR="00505244" w:rsidRPr="00505244" w:rsidRDefault="00505244" w:rsidP="00505244">
            <w:pPr>
              <w:spacing w:after="0" w:line="240" w:lineRule="auto"/>
              <w:rPr>
                <w:rFonts w:ascii="Arial" w:eastAsia="Times New Roman" w:hAnsi="Arial" w:cs="Arial"/>
                <w:color w:val="3C3D3F"/>
                <w:sz w:val="21"/>
                <w:szCs w:val="21"/>
              </w:rPr>
            </w:pPr>
            <w:hyperlink r:id="rId41" w:history="1">
              <w:r w:rsidRPr="00505244">
                <w:rPr>
                  <w:rFonts w:ascii="Arial" w:eastAsia="Times New Roman" w:hAnsi="Arial" w:cs="Arial"/>
                  <w:color w:val="3A4E72"/>
                  <w:sz w:val="21"/>
                  <w:szCs w:val="21"/>
                </w:rPr>
                <w:t>Brodeur</w:t>
              </w:r>
            </w:hyperlink>
            <w:r w:rsidRPr="00505244">
              <w:rPr>
                <w:rFonts w:ascii="Arial" w:eastAsia="Times New Roman" w:hAnsi="Arial" w:cs="Arial"/>
                <w:color w:val="3C3D3F"/>
                <w:sz w:val="21"/>
                <w:szCs w:val="21"/>
              </w:rPr>
              <w:t>  </w:t>
            </w:r>
          </w:p>
        </w:tc>
      </w:tr>
      <w:tr w:rsidR="00505244" w:rsidRPr="00505244" w14:paraId="1A815971" w14:textId="77777777" w:rsidTr="00505244">
        <w:tc>
          <w:tcPr>
            <w:tcW w:w="0" w:type="auto"/>
            <w:shd w:val="clear" w:color="auto" w:fill="F8F8F9"/>
            <w:tcMar>
              <w:top w:w="60" w:type="dxa"/>
              <w:left w:w="60" w:type="dxa"/>
              <w:bottom w:w="60" w:type="dxa"/>
              <w:right w:w="60" w:type="dxa"/>
            </w:tcMar>
            <w:vAlign w:val="center"/>
            <w:hideMark/>
          </w:tcPr>
          <w:p w14:paraId="08A734D4"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1A24D6F"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Increasing Access to Mental Health Care; Requiring the Department of Financial Services to submit a specified report to the Governor and Legislature by a specified date; specifying the minimum information the report must contain; requiring the department to make certain information available on its website; requiring insurers and health maintenance organizations, respectively, to disclose specified information on their websites; requiring insurers and health maintenance organizations, respectively, to annually provide certain written notices to insureds or subscribers, etc. Effective Date: 10/1/2021</w:t>
            </w:r>
          </w:p>
        </w:tc>
      </w:tr>
      <w:tr w:rsidR="00505244" w:rsidRPr="00505244" w14:paraId="1045FB66" w14:textId="77777777" w:rsidTr="00505244">
        <w:tc>
          <w:tcPr>
            <w:tcW w:w="0" w:type="auto"/>
            <w:shd w:val="clear" w:color="auto" w:fill="F8F8F9"/>
            <w:tcMar>
              <w:top w:w="60" w:type="dxa"/>
              <w:left w:w="60" w:type="dxa"/>
              <w:bottom w:w="60" w:type="dxa"/>
              <w:right w:w="60" w:type="dxa"/>
            </w:tcMar>
            <w:vAlign w:val="center"/>
            <w:hideMark/>
          </w:tcPr>
          <w:p w14:paraId="6F510DC7"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38A814F" w14:textId="45B5D768"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42" w:history="1">
              <w:r w:rsidRPr="00505244">
                <w:rPr>
                  <w:rFonts w:ascii="Arial" w:eastAsia="Times New Roman" w:hAnsi="Arial" w:cs="Arial"/>
                  <w:color w:val="3A4E72"/>
                  <w:sz w:val="21"/>
                  <w:szCs w:val="21"/>
                </w:rPr>
                <w:t>SB 1194</w:t>
              </w:r>
            </w:hyperlink>
            <w:r w:rsidRPr="00505244">
              <w:rPr>
                <w:rFonts w:ascii="Arial" w:eastAsia="Times New Roman" w:hAnsi="Arial" w:cs="Arial"/>
                <w:noProof/>
                <w:color w:val="3C3D3F"/>
                <w:sz w:val="21"/>
                <w:szCs w:val="21"/>
              </w:rPr>
              <w:drawing>
                <wp:inline distT="0" distB="0" distL="0" distR="0" wp14:anchorId="3BB9DF6D" wp14:editId="5998605E">
                  <wp:extent cx="228600" cy="228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38F6A7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Transportation</w:t>
            </w:r>
          </w:p>
        </w:tc>
        <w:tc>
          <w:tcPr>
            <w:tcW w:w="0" w:type="auto"/>
            <w:gridSpan w:val="3"/>
            <w:tcMar>
              <w:top w:w="105" w:type="dxa"/>
              <w:left w:w="60" w:type="dxa"/>
              <w:bottom w:w="60" w:type="dxa"/>
              <w:right w:w="60" w:type="dxa"/>
            </w:tcMar>
            <w:vAlign w:val="center"/>
            <w:hideMark/>
          </w:tcPr>
          <w:p w14:paraId="6FF47554" w14:textId="77777777" w:rsidR="00505244" w:rsidRPr="00505244" w:rsidRDefault="00505244" w:rsidP="00505244">
            <w:pPr>
              <w:spacing w:after="0" w:line="240" w:lineRule="auto"/>
              <w:rPr>
                <w:rFonts w:ascii="Arial" w:eastAsia="Times New Roman" w:hAnsi="Arial" w:cs="Arial"/>
                <w:color w:val="3C3D3F"/>
                <w:sz w:val="21"/>
                <w:szCs w:val="21"/>
              </w:rPr>
            </w:pPr>
            <w:hyperlink r:id="rId43" w:history="1">
              <w:r w:rsidRPr="00505244">
                <w:rPr>
                  <w:rFonts w:ascii="Arial" w:eastAsia="Times New Roman" w:hAnsi="Arial" w:cs="Arial"/>
                  <w:color w:val="3A4E72"/>
                  <w:sz w:val="21"/>
                  <w:szCs w:val="21"/>
                </w:rPr>
                <w:t>Hooper</w:t>
              </w:r>
            </w:hyperlink>
            <w:r w:rsidRPr="00505244">
              <w:rPr>
                <w:rFonts w:ascii="Arial" w:eastAsia="Times New Roman" w:hAnsi="Arial" w:cs="Arial"/>
                <w:color w:val="3C3D3F"/>
                <w:sz w:val="21"/>
                <w:szCs w:val="21"/>
              </w:rPr>
              <w:t>  </w:t>
            </w:r>
          </w:p>
        </w:tc>
      </w:tr>
      <w:tr w:rsidR="00505244" w:rsidRPr="00505244" w14:paraId="26536F71" w14:textId="77777777" w:rsidTr="00505244">
        <w:tc>
          <w:tcPr>
            <w:tcW w:w="0" w:type="auto"/>
            <w:shd w:val="clear" w:color="auto" w:fill="F8F8F9"/>
            <w:tcMar>
              <w:top w:w="60" w:type="dxa"/>
              <w:left w:w="60" w:type="dxa"/>
              <w:bottom w:w="60" w:type="dxa"/>
              <w:right w:w="60" w:type="dxa"/>
            </w:tcMar>
            <w:vAlign w:val="center"/>
            <w:hideMark/>
          </w:tcPr>
          <w:p w14:paraId="67CA3079"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2B2898B"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Transportation; Authorizing governing bodies of municipalities and counties to abandon and convey their interests in certain roads and rights-of-way dedicated in a recorded residential subdivision plat to community development districts under specified conditions; providing that certain governmental entities may not prohibit certain vendors from responding to competitive solicitations of certain contractual services; requiring contractors wishing to bid on certain contracts to first be certified by the department as qualified; repealing part III of </w:t>
            </w:r>
            <w:proofErr w:type="spellStart"/>
            <w:r w:rsidRPr="00505244">
              <w:rPr>
                <w:rFonts w:ascii="Arial" w:eastAsia="Times New Roman" w:hAnsi="Arial" w:cs="Arial"/>
                <w:color w:val="3C3D3F"/>
                <w:sz w:val="17"/>
                <w:szCs w:val="17"/>
              </w:rPr>
              <w:t>ch.</w:t>
            </w:r>
            <w:proofErr w:type="spellEnd"/>
            <w:r w:rsidRPr="00505244">
              <w:rPr>
                <w:rFonts w:ascii="Arial" w:eastAsia="Times New Roman" w:hAnsi="Arial" w:cs="Arial"/>
                <w:color w:val="3C3D3F"/>
                <w:sz w:val="17"/>
                <w:szCs w:val="17"/>
              </w:rPr>
              <w:t xml:space="preserve"> 343, F.S., relating to the creation and operation of the Northwest Florida Transportation Corridor Authority, etc. Effective Date: 7/1/2021</w:t>
            </w:r>
          </w:p>
        </w:tc>
      </w:tr>
      <w:tr w:rsidR="00505244" w:rsidRPr="00505244" w14:paraId="26FF4C7D" w14:textId="77777777" w:rsidTr="00505244">
        <w:tc>
          <w:tcPr>
            <w:tcW w:w="0" w:type="auto"/>
            <w:shd w:val="clear" w:color="auto" w:fill="F8F8F9"/>
            <w:tcMar>
              <w:top w:w="60" w:type="dxa"/>
              <w:left w:w="60" w:type="dxa"/>
              <w:bottom w:w="60" w:type="dxa"/>
              <w:right w:w="60" w:type="dxa"/>
            </w:tcMar>
            <w:vAlign w:val="center"/>
            <w:hideMark/>
          </w:tcPr>
          <w:p w14:paraId="69E702A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E5D1715" w14:textId="3E2F53C4"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44" w:history="1">
              <w:r w:rsidRPr="00505244">
                <w:rPr>
                  <w:rFonts w:ascii="Arial" w:eastAsia="Times New Roman" w:hAnsi="Arial" w:cs="Arial"/>
                  <w:color w:val="3A4E72"/>
                  <w:sz w:val="21"/>
                  <w:szCs w:val="21"/>
                </w:rPr>
                <w:t>SB 1408</w:t>
              </w:r>
            </w:hyperlink>
            <w:r w:rsidRPr="00505244">
              <w:rPr>
                <w:rFonts w:ascii="Arial" w:eastAsia="Times New Roman" w:hAnsi="Arial" w:cs="Arial"/>
                <w:noProof/>
                <w:color w:val="3C3D3F"/>
                <w:sz w:val="21"/>
                <w:szCs w:val="21"/>
              </w:rPr>
              <w:drawing>
                <wp:inline distT="0" distB="0" distL="0" distR="0" wp14:anchorId="64BD3D00" wp14:editId="069FDEB4">
                  <wp:extent cx="228600" cy="228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344B61BD"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Financial Services</w:t>
            </w:r>
          </w:p>
        </w:tc>
        <w:tc>
          <w:tcPr>
            <w:tcW w:w="0" w:type="auto"/>
            <w:gridSpan w:val="3"/>
            <w:tcMar>
              <w:top w:w="105" w:type="dxa"/>
              <w:left w:w="60" w:type="dxa"/>
              <w:bottom w:w="60" w:type="dxa"/>
              <w:right w:w="60" w:type="dxa"/>
            </w:tcMar>
            <w:vAlign w:val="center"/>
            <w:hideMark/>
          </w:tcPr>
          <w:p w14:paraId="4AF152B8" w14:textId="77777777" w:rsidR="00505244" w:rsidRPr="00505244" w:rsidRDefault="00505244" w:rsidP="00505244">
            <w:pPr>
              <w:spacing w:after="0" w:line="240" w:lineRule="auto"/>
              <w:rPr>
                <w:rFonts w:ascii="Arial" w:eastAsia="Times New Roman" w:hAnsi="Arial" w:cs="Arial"/>
                <w:color w:val="3C3D3F"/>
                <w:sz w:val="21"/>
                <w:szCs w:val="21"/>
              </w:rPr>
            </w:pPr>
            <w:hyperlink r:id="rId45"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01DE3007" w14:textId="77777777" w:rsidTr="00505244">
        <w:tc>
          <w:tcPr>
            <w:tcW w:w="0" w:type="auto"/>
            <w:shd w:val="clear" w:color="auto" w:fill="F8F8F9"/>
            <w:tcMar>
              <w:top w:w="60" w:type="dxa"/>
              <w:left w:w="60" w:type="dxa"/>
              <w:bottom w:w="60" w:type="dxa"/>
              <w:right w:w="60" w:type="dxa"/>
            </w:tcMar>
            <w:vAlign w:val="center"/>
            <w:hideMark/>
          </w:tcPr>
          <w:p w14:paraId="2B26239D"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1310D75"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Department of Financial Services; Specifying powers and duties of the Division of Public Assistance Fraud; specifying a condition that must be met before certain firefighter cancer-related benefits may be paid from the State Risk Management Trust Fund; specifying a criminal penalty for the willful and knowing dissemination of a sexual harassment victim’s personal identifying information, except under certain circumstances; prohibiting persons from acting as or advertising themselves as being funeral directors, embalmers, direct disposers, or preneed sales agents unless they are so licensed; prohibiting a </w:t>
            </w:r>
            <w:proofErr w:type="spellStart"/>
            <w:r w:rsidRPr="00505244">
              <w:rPr>
                <w:rFonts w:ascii="Arial" w:eastAsia="Times New Roman" w:hAnsi="Arial" w:cs="Arial"/>
                <w:color w:val="3C3D3F"/>
                <w:sz w:val="17"/>
                <w:szCs w:val="17"/>
              </w:rPr>
              <w:t>firesafety</w:t>
            </w:r>
            <w:proofErr w:type="spellEnd"/>
            <w:r w:rsidRPr="00505244">
              <w:rPr>
                <w:rFonts w:ascii="Arial" w:eastAsia="Times New Roman" w:hAnsi="Arial" w:cs="Arial"/>
                <w:color w:val="3C3D3F"/>
                <w:sz w:val="17"/>
                <w:szCs w:val="17"/>
              </w:rPr>
              <w:t xml:space="preserve"> inspector from knowingly and intentionally requesting, soliciting, accepting, or agreeing to accept certain compensation, etc. Effective Date: Except as otherwise expressly provided in this act and except for this section, which shall take effect upon this act becoming a law, this act shall take effect July 1, 2021</w:t>
            </w:r>
          </w:p>
        </w:tc>
      </w:tr>
      <w:tr w:rsidR="00505244" w:rsidRPr="00505244" w14:paraId="7531DB73" w14:textId="77777777" w:rsidTr="00505244">
        <w:tc>
          <w:tcPr>
            <w:tcW w:w="0" w:type="auto"/>
            <w:shd w:val="clear" w:color="auto" w:fill="F8F8F9"/>
            <w:tcMar>
              <w:top w:w="60" w:type="dxa"/>
              <w:left w:w="60" w:type="dxa"/>
              <w:bottom w:w="60" w:type="dxa"/>
              <w:right w:w="60" w:type="dxa"/>
            </w:tcMar>
            <w:vAlign w:val="center"/>
            <w:hideMark/>
          </w:tcPr>
          <w:p w14:paraId="43E52D06"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49FD06AA" w14:textId="2BEA56BE"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46" w:history="1">
              <w:r w:rsidRPr="00505244">
                <w:rPr>
                  <w:rFonts w:ascii="Arial" w:eastAsia="Times New Roman" w:hAnsi="Arial" w:cs="Arial"/>
                  <w:color w:val="3A4E72"/>
                  <w:sz w:val="21"/>
                  <w:szCs w:val="21"/>
                </w:rPr>
                <w:t>SB 1470</w:t>
              </w:r>
            </w:hyperlink>
            <w:r w:rsidRPr="00505244">
              <w:rPr>
                <w:rFonts w:ascii="Arial" w:eastAsia="Times New Roman" w:hAnsi="Arial" w:cs="Arial"/>
                <w:noProof/>
                <w:color w:val="3C3D3F"/>
                <w:sz w:val="21"/>
                <w:szCs w:val="21"/>
              </w:rPr>
              <w:drawing>
                <wp:inline distT="0" distB="0" distL="0" distR="0" wp14:anchorId="4ADA1220" wp14:editId="0D986F16">
                  <wp:extent cx="228600" cy="228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AF57D2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Florida Life and Health Insurance Guaranty Association</w:t>
            </w:r>
          </w:p>
        </w:tc>
        <w:tc>
          <w:tcPr>
            <w:tcW w:w="0" w:type="auto"/>
            <w:gridSpan w:val="3"/>
            <w:tcMar>
              <w:top w:w="105" w:type="dxa"/>
              <w:left w:w="60" w:type="dxa"/>
              <w:bottom w:w="60" w:type="dxa"/>
              <w:right w:w="60" w:type="dxa"/>
            </w:tcMar>
            <w:vAlign w:val="center"/>
            <w:hideMark/>
          </w:tcPr>
          <w:p w14:paraId="06D003E3" w14:textId="77777777" w:rsidR="00505244" w:rsidRPr="00505244" w:rsidRDefault="00505244" w:rsidP="00505244">
            <w:pPr>
              <w:spacing w:after="0" w:line="240" w:lineRule="auto"/>
              <w:rPr>
                <w:rFonts w:ascii="Arial" w:eastAsia="Times New Roman" w:hAnsi="Arial" w:cs="Arial"/>
                <w:color w:val="3C3D3F"/>
                <w:sz w:val="21"/>
                <w:szCs w:val="21"/>
              </w:rPr>
            </w:pPr>
            <w:hyperlink r:id="rId47" w:history="1">
              <w:r w:rsidRPr="00505244">
                <w:rPr>
                  <w:rFonts w:ascii="Arial" w:eastAsia="Times New Roman" w:hAnsi="Arial" w:cs="Arial"/>
                  <w:color w:val="3A4E72"/>
                  <w:sz w:val="21"/>
                  <w:szCs w:val="21"/>
                </w:rPr>
                <w:t>Boyd</w:t>
              </w:r>
            </w:hyperlink>
            <w:r w:rsidRPr="00505244">
              <w:rPr>
                <w:rFonts w:ascii="Arial" w:eastAsia="Times New Roman" w:hAnsi="Arial" w:cs="Arial"/>
                <w:color w:val="3C3D3F"/>
                <w:sz w:val="21"/>
                <w:szCs w:val="21"/>
              </w:rPr>
              <w:t>  </w:t>
            </w:r>
          </w:p>
        </w:tc>
      </w:tr>
      <w:tr w:rsidR="00505244" w:rsidRPr="00505244" w14:paraId="0D40C00B" w14:textId="77777777" w:rsidTr="00505244">
        <w:tc>
          <w:tcPr>
            <w:tcW w:w="0" w:type="auto"/>
            <w:shd w:val="clear" w:color="auto" w:fill="F8F8F9"/>
            <w:tcMar>
              <w:top w:w="60" w:type="dxa"/>
              <w:left w:w="60" w:type="dxa"/>
              <w:bottom w:w="60" w:type="dxa"/>
              <w:right w:w="60" w:type="dxa"/>
            </w:tcMar>
            <w:vAlign w:val="center"/>
            <w:hideMark/>
          </w:tcPr>
          <w:p w14:paraId="14BCCFA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A7608EA"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Florida Life and Health Insurance Guaranty Association; Defining the term “Moody’s Corporate Bond Yield Average”; authorizing the association to assume or reissue covered policies of impaired insurers; granting the association the right to appear or intervene before a court or an agency in certain proceedings; revising the calculation of Class A assessments; specifying requirements for repayment of deferred assessments upon removal or rectification of the conditions causing a deferral, etc. Effective Date: 7/1/2021</w:t>
            </w:r>
          </w:p>
        </w:tc>
      </w:tr>
      <w:tr w:rsidR="00505244" w:rsidRPr="00505244" w14:paraId="2970EA62" w14:textId="77777777" w:rsidTr="00505244">
        <w:tc>
          <w:tcPr>
            <w:tcW w:w="0" w:type="auto"/>
            <w:shd w:val="clear" w:color="auto" w:fill="F8F8F9"/>
            <w:tcMar>
              <w:top w:w="60" w:type="dxa"/>
              <w:left w:w="60" w:type="dxa"/>
              <w:bottom w:w="60" w:type="dxa"/>
              <w:right w:w="60" w:type="dxa"/>
            </w:tcMar>
            <w:vAlign w:val="center"/>
            <w:hideMark/>
          </w:tcPr>
          <w:p w14:paraId="081420F8"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7417BB3" w14:textId="4CE9C622"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48" w:history="1">
              <w:r w:rsidRPr="00505244">
                <w:rPr>
                  <w:rFonts w:ascii="Arial" w:eastAsia="Times New Roman" w:hAnsi="Arial" w:cs="Arial"/>
                  <w:color w:val="3A4E72"/>
                  <w:sz w:val="21"/>
                  <w:szCs w:val="21"/>
                </w:rPr>
                <w:t>SB 1540</w:t>
              </w:r>
            </w:hyperlink>
            <w:r w:rsidRPr="00505244">
              <w:rPr>
                <w:rFonts w:ascii="Arial" w:eastAsia="Times New Roman" w:hAnsi="Arial" w:cs="Arial"/>
                <w:noProof/>
                <w:color w:val="3C3D3F"/>
                <w:sz w:val="21"/>
                <w:szCs w:val="21"/>
              </w:rPr>
              <w:drawing>
                <wp:inline distT="0" distB="0" distL="0" distR="0" wp14:anchorId="2AF62965" wp14:editId="32C50F54">
                  <wp:extent cx="228600" cy="228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6333EF1"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Maternal Health Outcomes</w:t>
            </w:r>
          </w:p>
        </w:tc>
        <w:tc>
          <w:tcPr>
            <w:tcW w:w="0" w:type="auto"/>
            <w:gridSpan w:val="3"/>
            <w:tcMar>
              <w:top w:w="105" w:type="dxa"/>
              <w:left w:w="60" w:type="dxa"/>
              <w:bottom w:w="60" w:type="dxa"/>
              <w:right w:w="60" w:type="dxa"/>
            </w:tcMar>
            <w:vAlign w:val="center"/>
            <w:hideMark/>
          </w:tcPr>
          <w:p w14:paraId="2702973E" w14:textId="77777777" w:rsidR="00505244" w:rsidRPr="00505244" w:rsidRDefault="00505244" w:rsidP="00505244">
            <w:pPr>
              <w:spacing w:after="0" w:line="240" w:lineRule="auto"/>
              <w:rPr>
                <w:rFonts w:ascii="Arial" w:eastAsia="Times New Roman" w:hAnsi="Arial" w:cs="Arial"/>
                <w:color w:val="3C3D3F"/>
                <w:sz w:val="21"/>
                <w:szCs w:val="21"/>
              </w:rPr>
            </w:pPr>
            <w:hyperlink r:id="rId49" w:history="1">
              <w:r w:rsidRPr="00505244">
                <w:rPr>
                  <w:rFonts w:ascii="Arial" w:eastAsia="Times New Roman" w:hAnsi="Arial" w:cs="Arial"/>
                  <w:color w:val="3A4E72"/>
                  <w:sz w:val="21"/>
                  <w:szCs w:val="21"/>
                </w:rPr>
                <w:t>Gibson</w:t>
              </w:r>
            </w:hyperlink>
            <w:r w:rsidRPr="00505244">
              <w:rPr>
                <w:rFonts w:ascii="Arial" w:eastAsia="Times New Roman" w:hAnsi="Arial" w:cs="Arial"/>
                <w:color w:val="3C3D3F"/>
                <w:sz w:val="21"/>
                <w:szCs w:val="21"/>
              </w:rPr>
              <w:t>  </w:t>
            </w:r>
          </w:p>
        </w:tc>
      </w:tr>
      <w:tr w:rsidR="00505244" w:rsidRPr="00505244" w14:paraId="271227B8" w14:textId="77777777" w:rsidTr="00505244">
        <w:tc>
          <w:tcPr>
            <w:tcW w:w="0" w:type="auto"/>
            <w:shd w:val="clear" w:color="auto" w:fill="F8F8F9"/>
            <w:tcMar>
              <w:top w:w="60" w:type="dxa"/>
              <w:left w:w="60" w:type="dxa"/>
              <w:bottom w:w="60" w:type="dxa"/>
              <w:right w:w="60" w:type="dxa"/>
            </w:tcMar>
            <w:vAlign w:val="center"/>
            <w:hideMark/>
          </w:tcPr>
          <w:p w14:paraId="6BDC88AA"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673E48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Maternal Health Outcomes; Revising the Department of Health’s duties under the Closing the Gap grant program; requiring the department to establish telehealth minority maternity care pilot programs in Duval County and Orange County by a specified date; requiring the pilot programs to provide specified telehealth services to eligible pregnant women for a specified period; requiring the department’s Division of Community Health Promotion and Office of Minority Health and Health Equity to apply for certain federal funding, etc. Effective Date: 7/1/2021</w:t>
            </w:r>
          </w:p>
        </w:tc>
      </w:tr>
      <w:tr w:rsidR="00505244" w:rsidRPr="00505244" w14:paraId="70F82B51" w14:textId="77777777" w:rsidTr="00505244">
        <w:tc>
          <w:tcPr>
            <w:tcW w:w="0" w:type="auto"/>
            <w:shd w:val="clear" w:color="auto" w:fill="F8F8F9"/>
            <w:tcMar>
              <w:top w:w="60" w:type="dxa"/>
              <w:left w:w="60" w:type="dxa"/>
              <w:bottom w:w="60" w:type="dxa"/>
              <w:right w:w="60" w:type="dxa"/>
            </w:tcMar>
            <w:vAlign w:val="center"/>
            <w:hideMark/>
          </w:tcPr>
          <w:p w14:paraId="7E8A852C"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323E631" w14:textId="3482FBCF"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50" w:history="1">
              <w:r w:rsidRPr="00505244">
                <w:rPr>
                  <w:rFonts w:ascii="Arial" w:eastAsia="Times New Roman" w:hAnsi="Arial" w:cs="Arial"/>
                  <w:color w:val="3A4E72"/>
                  <w:sz w:val="21"/>
                  <w:szCs w:val="21"/>
                </w:rPr>
                <w:t>SB 1568</w:t>
              </w:r>
            </w:hyperlink>
            <w:r w:rsidRPr="00505244">
              <w:rPr>
                <w:rFonts w:ascii="Arial" w:eastAsia="Times New Roman" w:hAnsi="Arial" w:cs="Arial"/>
                <w:noProof/>
                <w:color w:val="3C3D3F"/>
                <w:sz w:val="21"/>
                <w:szCs w:val="21"/>
              </w:rPr>
              <w:drawing>
                <wp:inline distT="0" distB="0" distL="0" distR="0" wp14:anchorId="409EE461" wp14:editId="3B5B3166">
                  <wp:extent cx="228600" cy="228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3342AD5C"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Health</w:t>
            </w:r>
          </w:p>
        </w:tc>
        <w:tc>
          <w:tcPr>
            <w:tcW w:w="0" w:type="auto"/>
            <w:gridSpan w:val="3"/>
            <w:tcMar>
              <w:top w:w="105" w:type="dxa"/>
              <w:left w:w="60" w:type="dxa"/>
              <w:bottom w:w="60" w:type="dxa"/>
              <w:right w:w="60" w:type="dxa"/>
            </w:tcMar>
            <w:vAlign w:val="center"/>
            <w:hideMark/>
          </w:tcPr>
          <w:p w14:paraId="200167CF" w14:textId="77777777" w:rsidR="00505244" w:rsidRPr="00505244" w:rsidRDefault="00505244" w:rsidP="00505244">
            <w:pPr>
              <w:spacing w:after="0" w:line="240" w:lineRule="auto"/>
              <w:rPr>
                <w:rFonts w:ascii="Arial" w:eastAsia="Times New Roman" w:hAnsi="Arial" w:cs="Arial"/>
                <w:color w:val="3C3D3F"/>
                <w:sz w:val="21"/>
                <w:szCs w:val="21"/>
              </w:rPr>
            </w:pPr>
            <w:hyperlink r:id="rId51" w:history="1">
              <w:r w:rsidRPr="00505244">
                <w:rPr>
                  <w:rFonts w:ascii="Arial" w:eastAsia="Times New Roman" w:hAnsi="Arial" w:cs="Arial"/>
                  <w:color w:val="3A4E72"/>
                  <w:sz w:val="21"/>
                  <w:szCs w:val="21"/>
                </w:rPr>
                <w:t>Rodriguez (A)</w:t>
              </w:r>
            </w:hyperlink>
            <w:r w:rsidRPr="00505244">
              <w:rPr>
                <w:rFonts w:ascii="Arial" w:eastAsia="Times New Roman" w:hAnsi="Arial" w:cs="Arial"/>
                <w:color w:val="3C3D3F"/>
                <w:sz w:val="21"/>
                <w:szCs w:val="21"/>
              </w:rPr>
              <w:t>  </w:t>
            </w:r>
          </w:p>
        </w:tc>
      </w:tr>
      <w:tr w:rsidR="00505244" w:rsidRPr="00505244" w14:paraId="3AE40ABD" w14:textId="77777777" w:rsidTr="00505244">
        <w:tc>
          <w:tcPr>
            <w:tcW w:w="0" w:type="auto"/>
            <w:shd w:val="clear" w:color="auto" w:fill="F8F8F9"/>
            <w:tcMar>
              <w:top w:w="60" w:type="dxa"/>
              <w:left w:w="60" w:type="dxa"/>
              <w:bottom w:w="60" w:type="dxa"/>
              <w:right w:w="60" w:type="dxa"/>
            </w:tcMar>
            <w:vAlign w:val="center"/>
            <w:hideMark/>
          </w:tcPr>
          <w:p w14:paraId="7BA2A85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A20798E"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Department of Health; Revising the purpose of the department’s targeted outreach program for certain pregnant women; requiring the department to provide, for a specified purpose, continued oversight of newborns exposed to HIV; revising provisions related to administrative fines for violations relating to onsite sewage treatment and disposal systems and septic tank contracting; exempting certain specialty hospitals from prohibitions relating to the employment of dentists and dental hygienists and the control of dental equipment and materials by </w:t>
            </w:r>
            <w:proofErr w:type="spellStart"/>
            <w:r w:rsidRPr="00505244">
              <w:rPr>
                <w:rFonts w:ascii="Arial" w:eastAsia="Times New Roman" w:hAnsi="Arial" w:cs="Arial"/>
                <w:color w:val="3C3D3F"/>
                <w:sz w:val="17"/>
                <w:szCs w:val="17"/>
              </w:rPr>
              <w:t>nondentists</w:t>
            </w:r>
            <w:proofErr w:type="spellEnd"/>
            <w:r w:rsidRPr="00505244">
              <w:rPr>
                <w:rFonts w:ascii="Arial" w:eastAsia="Times New Roman" w:hAnsi="Arial" w:cs="Arial"/>
                <w:color w:val="3C3D3F"/>
                <w:sz w:val="17"/>
                <w:szCs w:val="17"/>
              </w:rPr>
              <w:t>; revising provisions relating to licensure by endorsement of midwives, etc. Effective Date: 7/1/2021</w:t>
            </w:r>
          </w:p>
        </w:tc>
      </w:tr>
      <w:tr w:rsidR="00505244" w:rsidRPr="00505244" w14:paraId="2FC1FE83" w14:textId="77777777" w:rsidTr="00505244">
        <w:tc>
          <w:tcPr>
            <w:tcW w:w="0" w:type="auto"/>
            <w:shd w:val="clear" w:color="auto" w:fill="F8F8F9"/>
            <w:tcMar>
              <w:top w:w="60" w:type="dxa"/>
              <w:left w:w="60" w:type="dxa"/>
              <w:bottom w:w="60" w:type="dxa"/>
              <w:right w:w="60" w:type="dxa"/>
            </w:tcMar>
            <w:vAlign w:val="center"/>
            <w:hideMark/>
          </w:tcPr>
          <w:p w14:paraId="597CB971"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0E31A84" w14:textId="5687533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52" w:history="1">
              <w:r w:rsidRPr="00505244">
                <w:rPr>
                  <w:rFonts w:ascii="Arial" w:eastAsia="Times New Roman" w:hAnsi="Arial" w:cs="Arial"/>
                  <w:color w:val="3A4E72"/>
                  <w:sz w:val="21"/>
                  <w:szCs w:val="21"/>
                </w:rPr>
                <w:t>SB 1906</w:t>
              </w:r>
            </w:hyperlink>
            <w:r w:rsidRPr="00505244">
              <w:rPr>
                <w:rFonts w:ascii="Arial" w:eastAsia="Times New Roman" w:hAnsi="Arial" w:cs="Arial"/>
                <w:noProof/>
                <w:color w:val="3C3D3F"/>
                <w:sz w:val="21"/>
                <w:szCs w:val="21"/>
              </w:rPr>
              <w:drawing>
                <wp:inline distT="0" distB="0" distL="0" distR="0" wp14:anchorId="2AAC2B2A" wp14:editId="028C2C2C">
                  <wp:extent cx="228600" cy="228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37CF41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Reemployment Assistance</w:t>
            </w:r>
          </w:p>
        </w:tc>
        <w:tc>
          <w:tcPr>
            <w:tcW w:w="0" w:type="auto"/>
            <w:gridSpan w:val="3"/>
            <w:tcMar>
              <w:top w:w="105" w:type="dxa"/>
              <w:left w:w="60" w:type="dxa"/>
              <w:bottom w:w="60" w:type="dxa"/>
              <w:right w:w="60" w:type="dxa"/>
            </w:tcMar>
            <w:vAlign w:val="center"/>
            <w:hideMark/>
          </w:tcPr>
          <w:p w14:paraId="2BAD3B20" w14:textId="77777777" w:rsidR="00505244" w:rsidRPr="00505244" w:rsidRDefault="00505244" w:rsidP="00505244">
            <w:pPr>
              <w:spacing w:after="0" w:line="240" w:lineRule="auto"/>
              <w:rPr>
                <w:rFonts w:ascii="Arial" w:eastAsia="Times New Roman" w:hAnsi="Arial" w:cs="Arial"/>
                <w:color w:val="3C3D3F"/>
                <w:sz w:val="21"/>
                <w:szCs w:val="21"/>
              </w:rPr>
            </w:pPr>
            <w:hyperlink r:id="rId53" w:history="1">
              <w:r w:rsidRPr="00505244">
                <w:rPr>
                  <w:rFonts w:ascii="Arial" w:eastAsia="Times New Roman" w:hAnsi="Arial" w:cs="Arial"/>
                  <w:color w:val="3A4E72"/>
                  <w:sz w:val="21"/>
                  <w:szCs w:val="21"/>
                </w:rPr>
                <w:t>Brodeur</w:t>
              </w:r>
            </w:hyperlink>
            <w:r w:rsidRPr="00505244">
              <w:rPr>
                <w:rFonts w:ascii="Arial" w:eastAsia="Times New Roman" w:hAnsi="Arial" w:cs="Arial"/>
                <w:color w:val="3C3D3F"/>
                <w:sz w:val="21"/>
                <w:szCs w:val="21"/>
              </w:rPr>
              <w:t>  </w:t>
            </w:r>
          </w:p>
        </w:tc>
      </w:tr>
      <w:tr w:rsidR="00505244" w:rsidRPr="00505244" w14:paraId="10B1CE84" w14:textId="77777777" w:rsidTr="00505244">
        <w:tc>
          <w:tcPr>
            <w:tcW w:w="0" w:type="auto"/>
            <w:shd w:val="clear" w:color="auto" w:fill="F8F8F9"/>
            <w:tcMar>
              <w:top w:w="60" w:type="dxa"/>
              <w:left w:w="60" w:type="dxa"/>
              <w:bottom w:w="60" w:type="dxa"/>
              <w:right w:w="60" w:type="dxa"/>
            </w:tcMar>
            <w:vAlign w:val="center"/>
            <w:hideMark/>
          </w:tcPr>
          <w:p w14:paraId="404DB0CC"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F844757"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Reemployment Assistance; Revising requirements for reemployment assistance benefits eligibility; increasing the weekly benefit amounts an individual may receive; increasing the cap on the total benefit amount an individual is entitled to receive during a benefit year, etc. Effective Date: 7/1/2021</w:t>
            </w:r>
          </w:p>
        </w:tc>
      </w:tr>
      <w:tr w:rsidR="00505244" w:rsidRPr="00505244" w14:paraId="630ADFDE" w14:textId="77777777" w:rsidTr="00505244">
        <w:tc>
          <w:tcPr>
            <w:tcW w:w="0" w:type="auto"/>
            <w:shd w:val="clear" w:color="auto" w:fill="F8F8F9"/>
            <w:tcMar>
              <w:top w:w="60" w:type="dxa"/>
              <w:left w:w="60" w:type="dxa"/>
              <w:bottom w:w="60" w:type="dxa"/>
              <w:right w:w="60" w:type="dxa"/>
            </w:tcMar>
            <w:vAlign w:val="center"/>
            <w:hideMark/>
          </w:tcPr>
          <w:p w14:paraId="104C65D0"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DEA9774" w14:textId="7DD99333"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54" w:history="1">
              <w:r w:rsidRPr="00505244">
                <w:rPr>
                  <w:rFonts w:ascii="Arial" w:eastAsia="Times New Roman" w:hAnsi="Arial" w:cs="Arial"/>
                  <w:color w:val="3A4E72"/>
                  <w:sz w:val="21"/>
                  <w:szCs w:val="21"/>
                </w:rPr>
                <w:t>SB 1966</w:t>
              </w:r>
            </w:hyperlink>
            <w:r w:rsidRPr="00505244">
              <w:rPr>
                <w:rFonts w:ascii="Arial" w:eastAsia="Times New Roman" w:hAnsi="Arial" w:cs="Arial"/>
                <w:noProof/>
                <w:color w:val="3C3D3F"/>
                <w:sz w:val="21"/>
                <w:szCs w:val="21"/>
              </w:rPr>
              <w:drawing>
                <wp:inline distT="0" distB="0" distL="0" distR="0" wp14:anchorId="2A00C080" wp14:editId="6713CE2D">
                  <wp:extent cx="228600" cy="228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BC13481"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Business and Professional Regulation</w:t>
            </w:r>
          </w:p>
        </w:tc>
        <w:tc>
          <w:tcPr>
            <w:tcW w:w="0" w:type="auto"/>
            <w:gridSpan w:val="3"/>
            <w:tcMar>
              <w:top w:w="105" w:type="dxa"/>
              <w:left w:w="60" w:type="dxa"/>
              <w:bottom w:w="60" w:type="dxa"/>
              <w:right w:w="60" w:type="dxa"/>
            </w:tcMar>
            <w:vAlign w:val="center"/>
            <w:hideMark/>
          </w:tcPr>
          <w:p w14:paraId="0E07F9E8" w14:textId="77777777" w:rsidR="00505244" w:rsidRPr="00505244" w:rsidRDefault="00505244" w:rsidP="00505244">
            <w:pPr>
              <w:spacing w:after="0" w:line="240" w:lineRule="auto"/>
              <w:rPr>
                <w:rFonts w:ascii="Arial" w:eastAsia="Times New Roman" w:hAnsi="Arial" w:cs="Arial"/>
                <w:color w:val="3C3D3F"/>
                <w:sz w:val="21"/>
                <w:szCs w:val="21"/>
              </w:rPr>
            </w:pPr>
            <w:hyperlink r:id="rId55" w:history="1">
              <w:r w:rsidRPr="00505244">
                <w:rPr>
                  <w:rFonts w:ascii="Arial" w:eastAsia="Times New Roman" w:hAnsi="Arial" w:cs="Arial"/>
                  <w:color w:val="3A4E72"/>
                  <w:sz w:val="21"/>
                  <w:szCs w:val="21"/>
                </w:rPr>
                <w:t>Diaz</w:t>
              </w:r>
            </w:hyperlink>
            <w:r w:rsidRPr="00505244">
              <w:rPr>
                <w:rFonts w:ascii="Arial" w:eastAsia="Times New Roman" w:hAnsi="Arial" w:cs="Arial"/>
                <w:color w:val="3C3D3F"/>
                <w:sz w:val="21"/>
                <w:szCs w:val="21"/>
              </w:rPr>
              <w:t>  </w:t>
            </w:r>
          </w:p>
        </w:tc>
      </w:tr>
      <w:tr w:rsidR="00505244" w:rsidRPr="00505244" w14:paraId="52FB8883" w14:textId="77777777" w:rsidTr="00505244">
        <w:tc>
          <w:tcPr>
            <w:tcW w:w="0" w:type="auto"/>
            <w:shd w:val="clear" w:color="auto" w:fill="F8F8F9"/>
            <w:tcMar>
              <w:top w:w="60" w:type="dxa"/>
              <w:left w:w="60" w:type="dxa"/>
              <w:bottom w:w="60" w:type="dxa"/>
              <w:right w:w="60" w:type="dxa"/>
            </w:tcMar>
            <w:vAlign w:val="center"/>
            <w:hideMark/>
          </w:tcPr>
          <w:p w14:paraId="333B366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1A28601"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Department of Business and Professional Regulation; Requiring that certain reports relating to the transportation or possession of cigarettes be filed with the Division of Alcoholic Beverages and Tobacco through the division’s electronic data submission system; requiring that certain entities file reports, rather than returns, relating to tobacco products with the division; providing that specified records relating to tobacco products may be kept in an electronic or paper format; removing provisions relating to an additional fee for application and renewal, transfer of funds, recommendations by the Construction Industry Licensing Board for use of such funds, distribution of such funds by the department, and required reports of the department; deleting requirements relating to certain fees collected by the department for electrical and alarm system contracting, etc. Effective Date: 7/1/2021</w:t>
            </w:r>
          </w:p>
        </w:tc>
      </w:tr>
      <w:tr w:rsidR="00505244" w:rsidRPr="00505244" w14:paraId="1D7EB42A" w14:textId="77777777" w:rsidTr="00505244">
        <w:tc>
          <w:tcPr>
            <w:tcW w:w="0" w:type="auto"/>
            <w:gridSpan w:val="6"/>
            <w:tcMar>
              <w:top w:w="60" w:type="dxa"/>
              <w:left w:w="60" w:type="dxa"/>
              <w:bottom w:w="60" w:type="dxa"/>
              <w:right w:w="60" w:type="dxa"/>
            </w:tcMar>
            <w:vAlign w:val="center"/>
            <w:hideMark/>
          </w:tcPr>
          <w:p w14:paraId="16B0F39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457291D1" w14:textId="77777777" w:rsidTr="00505244">
        <w:tc>
          <w:tcPr>
            <w:tcW w:w="0" w:type="auto"/>
            <w:gridSpan w:val="6"/>
            <w:tcMar>
              <w:top w:w="60" w:type="dxa"/>
              <w:left w:w="60" w:type="dxa"/>
              <w:bottom w:w="60" w:type="dxa"/>
              <w:right w:w="60" w:type="dxa"/>
            </w:tcMar>
            <w:vAlign w:val="center"/>
            <w:hideMark/>
          </w:tcPr>
          <w:p w14:paraId="20D278D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0AA8BC0A" w14:textId="77777777" w:rsidTr="00505244">
        <w:tc>
          <w:tcPr>
            <w:tcW w:w="0" w:type="auto"/>
            <w:gridSpan w:val="3"/>
            <w:shd w:val="clear" w:color="auto" w:fill="E5E7EB"/>
            <w:tcMar>
              <w:top w:w="90" w:type="dxa"/>
              <w:left w:w="90" w:type="dxa"/>
              <w:bottom w:w="90" w:type="dxa"/>
              <w:right w:w="90" w:type="dxa"/>
            </w:tcMar>
            <w:vAlign w:val="center"/>
            <w:hideMark/>
          </w:tcPr>
          <w:p w14:paraId="5750E43A"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Tuesday Apr 20, 2021</w:t>
            </w:r>
          </w:p>
        </w:tc>
        <w:tc>
          <w:tcPr>
            <w:tcW w:w="0" w:type="auto"/>
            <w:gridSpan w:val="3"/>
            <w:shd w:val="clear" w:color="auto" w:fill="E5E7EB"/>
            <w:tcMar>
              <w:top w:w="75" w:type="dxa"/>
              <w:left w:w="75" w:type="dxa"/>
              <w:bottom w:w="75" w:type="dxa"/>
              <w:right w:w="75" w:type="dxa"/>
            </w:tcMar>
            <w:vAlign w:val="center"/>
            <w:hideMark/>
          </w:tcPr>
          <w:p w14:paraId="55507516" w14:textId="77777777" w:rsidR="00505244" w:rsidRPr="00505244" w:rsidRDefault="00505244" w:rsidP="00505244">
            <w:pPr>
              <w:spacing w:after="0" w:line="240" w:lineRule="auto"/>
              <w:rPr>
                <w:rFonts w:ascii="Arial" w:eastAsia="Times New Roman" w:hAnsi="Arial" w:cs="Arial"/>
                <w:b/>
                <w:bCs/>
                <w:color w:val="3C3D3F"/>
                <w:sz w:val="21"/>
                <w:szCs w:val="21"/>
              </w:rPr>
            </w:pPr>
          </w:p>
        </w:tc>
      </w:tr>
      <w:tr w:rsidR="00505244" w:rsidRPr="00505244" w14:paraId="23A294E6" w14:textId="77777777" w:rsidTr="00505244">
        <w:tc>
          <w:tcPr>
            <w:tcW w:w="1524" w:type="dxa"/>
            <w:shd w:val="clear" w:color="auto" w:fill="EDEFF1"/>
            <w:tcMar>
              <w:top w:w="60" w:type="dxa"/>
              <w:left w:w="60" w:type="dxa"/>
              <w:bottom w:w="60" w:type="dxa"/>
              <w:right w:w="60" w:type="dxa"/>
            </w:tcMar>
            <w:vAlign w:val="center"/>
            <w:hideMark/>
          </w:tcPr>
          <w:p w14:paraId="06428675"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8:30AM</w:t>
            </w:r>
          </w:p>
        </w:tc>
        <w:tc>
          <w:tcPr>
            <w:tcW w:w="2969" w:type="dxa"/>
            <w:shd w:val="clear" w:color="auto" w:fill="EDEFF1"/>
            <w:tcMar>
              <w:top w:w="60" w:type="dxa"/>
              <w:left w:w="60" w:type="dxa"/>
              <w:bottom w:w="60" w:type="dxa"/>
              <w:right w:w="60" w:type="dxa"/>
            </w:tcMar>
            <w:vAlign w:val="center"/>
            <w:hideMark/>
          </w:tcPr>
          <w:p w14:paraId="412CDA2C"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Event</w:t>
            </w:r>
          </w:p>
        </w:tc>
        <w:tc>
          <w:tcPr>
            <w:tcW w:w="0" w:type="auto"/>
            <w:shd w:val="clear" w:color="auto" w:fill="EDEFF1"/>
            <w:tcMar>
              <w:top w:w="60" w:type="dxa"/>
              <w:left w:w="60" w:type="dxa"/>
              <w:bottom w:w="60" w:type="dxa"/>
              <w:right w:w="60" w:type="dxa"/>
            </w:tcMar>
            <w:vAlign w:val="center"/>
            <w:hideMark/>
          </w:tcPr>
          <w:p w14:paraId="70BA8F24"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0" w:type="auto"/>
            <w:shd w:val="clear" w:color="auto" w:fill="EDEFF1"/>
            <w:tcMar>
              <w:top w:w="60" w:type="dxa"/>
              <w:left w:w="60" w:type="dxa"/>
              <w:bottom w:w="60" w:type="dxa"/>
              <w:right w:w="60" w:type="dxa"/>
            </w:tcMar>
            <w:vAlign w:val="center"/>
            <w:hideMark/>
          </w:tcPr>
          <w:p w14:paraId="40124B05"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Location</w:t>
            </w:r>
          </w:p>
        </w:tc>
        <w:tc>
          <w:tcPr>
            <w:tcW w:w="3953" w:type="dxa"/>
            <w:shd w:val="clear" w:color="auto" w:fill="EDEFF1"/>
            <w:tcMar>
              <w:top w:w="60" w:type="dxa"/>
              <w:left w:w="60" w:type="dxa"/>
              <w:bottom w:w="60" w:type="dxa"/>
              <w:right w:w="60" w:type="dxa"/>
            </w:tcMar>
            <w:vAlign w:val="center"/>
            <w:hideMark/>
          </w:tcPr>
          <w:p w14:paraId="18D4CADF"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1979" w:type="dxa"/>
            <w:shd w:val="clear" w:color="auto" w:fill="EDEFF1"/>
            <w:tcMar>
              <w:top w:w="60" w:type="dxa"/>
              <w:left w:w="60" w:type="dxa"/>
              <w:bottom w:w="60" w:type="dxa"/>
              <w:right w:w="60" w:type="dxa"/>
            </w:tcMar>
            <w:vAlign w:val="center"/>
            <w:hideMark/>
          </w:tcPr>
          <w:p w14:paraId="36778E80"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r>
      <w:tr w:rsidR="00505244" w:rsidRPr="00505244" w14:paraId="26E46F10" w14:textId="77777777" w:rsidTr="00505244">
        <w:tc>
          <w:tcPr>
            <w:tcW w:w="0" w:type="auto"/>
            <w:shd w:val="clear" w:color="auto" w:fill="F8F8F9"/>
            <w:tcMar>
              <w:top w:w="60" w:type="dxa"/>
              <w:left w:w="60" w:type="dxa"/>
              <w:bottom w:w="60" w:type="dxa"/>
              <w:right w:w="60" w:type="dxa"/>
            </w:tcMar>
            <w:vAlign w:val="center"/>
            <w:hideMark/>
          </w:tcPr>
          <w:p w14:paraId="2F37119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lastRenderedPageBreak/>
              <w:t> </w:t>
            </w:r>
          </w:p>
        </w:tc>
        <w:tc>
          <w:tcPr>
            <w:tcW w:w="0" w:type="auto"/>
            <w:gridSpan w:val="2"/>
            <w:tcBorders>
              <w:bottom w:val="single" w:sz="6" w:space="0" w:color="949A9C"/>
            </w:tcBorders>
            <w:tcMar>
              <w:top w:w="60" w:type="dxa"/>
              <w:left w:w="60" w:type="dxa"/>
              <w:bottom w:w="60" w:type="dxa"/>
              <w:right w:w="60" w:type="dxa"/>
            </w:tcMar>
            <w:vAlign w:val="center"/>
            <w:hideMark/>
          </w:tcPr>
          <w:p w14:paraId="6EA9FBF5"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FFFFFF"/>
                <w:sz w:val="21"/>
                <w:szCs w:val="21"/>
                <w:shd w:val="clear" w:color="auto" w:fill="3B82F6"/>
              </w:rPr>
              <w:t>S</w:t>
            </w:r>
            <w:r w:rsidRPr="00505244">
              <w:rPr>
                <w:rFonts w:ascii="Arial" w:eastAsia="Times New Roman" w:hAnsi="Arial" w:cs="Arial"/>
                <w:b/>
                <w:bCs/>
                <w:color w:val="000000"/>
                <w:sz w:val="21"/>
                <w:szCs w:val="21"/>
              </w:rPr>
              <w:t> </w:t>
            </w:r>
            <w:hyperlink r:id="rId56" w:history="1">
              <w:r w:rsidRPr="00505244">
                <w:rPr>
                  <w:rFonts w:ascii="Arial" w:eastAsia="Times New Roman" w:hAnsi="Arial" w:cs="Arial"/>
                  <w:b/>
                  <w:bCs/>
                  <w:color w:val="3A4E72"/>
                  <w:sz w:val="21"/>
                  <w:szCs w:val="21"/>
                </w:rPr>
                <w:t>Rules</w:t>
              </w:r>
            </w:hyperlink>
          </w:p>
        </w:tc>
        <w:tc>
          <w:tcPr>
            <w:tcW w:w="6802" w:type="dxa"/>
            <w:tcBorders>
              <w:bottom w:val="single" w:sz="6" w:space="0" w:color="949A9C"/>
            </w:tcBorders>
            <w:noWrap/>
            <w:tcMar>
              <w:top w:w="60" w:type="dxa"/>
              <w:left w:w="60" w:type="dxa"/>
              <w:bottom w:w="60" w:type="dxa"/>
              <w:right w:w="60" w:type="dxa"/>
            </w:tcMar>
            <w:vAlign w:val="center"/>
            <w:hideMark/>
          </w:tcPr>
          <w:p w14:paraId="0A33D1C1"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412 K </w:t>
            </w:r>
          </w:p>
        </w:tc>
        <w:tc>
          <w:tcPr>
            <w:tcW w:w="0" w:type="auto"/>
            <w:tcBorders>
              <w:bottom w:val="single" w:sz="6" w:space="0" w:color="949A9C"/>
            </w:tcBorders>
            <w:tcMar>
              <w:top w:w="60" w:type="dxa"/>
              <w:left w:w="60" w:type="dxa"/>
              <w:bottom w:w="60" w:type="dxa"/>
              <w:right w:w="60" w:type="dxa"/>
            </w:tcMar>
            <w:vAlign w:val="center"/>
            <w:hideMark/>
          </w:tcPr>
          <w:p w14:paraId="01029463"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8:30AM-6:00PM</w:t>
            </w:r>
          </w:p>
        </w:tc>
        <w:tc>
          <w:tcPr>
            <w:tcW w:w="0" w:type="auto"/>
            <w:tcBorders>
              <w:bottom w:val="single" w:sz="6" w:space="0" w:color="949A9C"/>
            </w:tcBorders>
            <w:tcMar>
              <w:top w:w="60" w:type="dxa"/>
              <w:left w:w="60" w:type="dxa"/>
              <w:bottom w:w="60" w:type="dxa"/>
              <w:right w:w="60" w:type="dxa"/>
            </w:tcMar>
            <w:vAlign w:val="center"/>
            <w:hideMark/>
          </w:tcPr>
          <w:p w14:paraId="5B034113"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p>
        </w:tc>
      </w:tr>
      <w:tr w:rsidR="00505244" w:rsidRPr="00505244" w14:paraId="6B458B7B" w14:textId="77777777" w:rsidTr="00505244">
        <w:tc>
          <w:tcPr>
            <w:tcW w:w="0" w:type="auto"/>
            <w:shd w:val="clear" w:color="auto" w:fill="F8F8F9"/>
            <w:tcMar>
              <w:top w:w="60" w:type="dxa"/>
              <w:left w:w="60" w:type="dxa"/>
              <w:bottom w:w="60" w:type="dxa"/>
              <w:right w:w="60" w:type="dxa"/>
            </w:tcMar>
            <w:vAlign w:val="center"/>
            <w:hideMark/>
          </w:tcPr>
          <w:p w14:paraId="2485931A" w14:textId="77777777" w:rsidR="00505244" w:rsidRPr="00505244" w:rsidRDefault="00505244" w:rsidP="00505244">
            <w:pPr>
              <w:spacing w:after="0" w:line="240" w:lineRule="auto"/>
              <w:jc w:val="right"/>
              <w:rPr>
                <w:rFonts w:ascii="Times New Roman" w:eastAsia="Times New Roman" w:hAnsi="Times New Roman" w:cs="Times New Roman"/>
                <w:sz w:val="20"/>
                <w:szCs w:val="20"/>
              </w:rPr>
            </w:pPr>
          </w:p>
        </w:tc>
        <w:tc>
          <w:tcPr>
            <w:tcW w:w="0" w:type="auto"/>
            <w:gridSpan w:val="5"/>
            <w:tcMar>
              <w:top w:w="60" w:type="dxa"/>
              <w:left w:w="60" w:type="dxa"/>
              <w:bottom w:w="60" w:type="dxa"/>
              <w:right w:w="60" w:type="dxa"/>
            </w:tcMar>
            <w:vAlign w:val="center"/>
            <w:hideMark/>
          </w:tcPr>
          <w:p w14:paraId="33692191"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PUBLIC TESTIMONY WILL BE RECEIVED FROM ROOM A3 AT THE DONALD L. TUCKER CIVIC CENTER, 505 W PENSACOLA STREET, TALLAHASSEE, FL 32301</w:t>
            </w:r>
          </w:p>
          <w:p w14:paraId="63397856"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Consideration of Bills on Agenda</w:t>
            </w:r>
            <w:r w:rsidRPr="00505244">
              <w:rPr>
                <w:rFonts w:ascii="Arial" w:eastAsia="Times New Roman" w:hAnsi="Arial" w:cs="Arial"/>
                <w:color w:val="3C3D3F"/>
                <w:sz w:val="19"/>
                <w:szCs w:val="19"/>
              </w:rPr>
              <w:br/>
              <w:t>SBs 102, 506, 1146, 1194, 1324, 1326, 1408, 1948, &amp; 1966 will be considered IF RECEIVED</w:t>
            </w:r>
          </w:p>
          <w:p w14:paraId="2ECA7214"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Continuation of the published agenda for Friday, April 16, 2021, if necessary</w:t>
            </w:r>
          </w:p>
          <w:p w14:paraId="27874641"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Other Related Meeting Documents</w:t>
            </w:r>
          </w:p>
          <w:p w14:paraId="0B9EEF0D"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The amendment deadline for this meeting, including proposed committee substitutes and delete everything amendments, is Monday, April 19, 2021 at 8:30 a.m. All amendments must be in final form and barcoded when filed.</w:t>
            </w:r>
          </w:p>
        </w:tc>
      </w:tr>
      <w:tr w:rsidR="00505244" w:rsidRPr="00505244" w14:paraId="0D6902CD" w14:textId="77777777" w:rsidTr="00505244">
        <w:tc>
          <w:tcPr>
            <w:tcW w:w="0" w:type="auto"/>
            <w:shd w:val="clear" w:color="auto" w:fill="F8F8F9"/>
            <w:tcMar>
              <w:top w:w="60" w:type="dxa"/>
              <w:left w:w="60" w:type="dxa"/>
              <w:bottom w:w="60" w:type="dxa"/>
              <w:right w:w="60" w:type="dxa"/>
            </w:tcMar>
            <w:vAlign w:val="center"/>
            <w:hideMark/>
          </w:tcPr>
          <w:p w14:paraId="6604CBA4" w14:textId="77777777" w:rsidR="00505244" w:rsidRPr="00505244" w:rsidRDefault="00505244" w:rsidP="00505244">
            <w:pPr>
              <w:spacing w:after="0" w:line="240" w:lineRule="auto"/>
              <w:rPr>
                <w:rFonts w:ascii="Arial" w:eastAsia="Times New Roman" w:hAnsi="Arial" w:cs="Arial"/>
                <w:color w:val="3C3D3F"/>
                <w:sz w:val="19"/>
                <w:szCs w:val="19"/>
              </w:rPr>
            </w:pPr>
          </w:p>
        </w:tc>
        <w:tc>
          <w:tcPr>
            <w:tcW w:w="0" w:type="auto"/>
            <w:tcMar>
              <w:top w:w="105" w:type="dxa"/>
              <w:left w:w="60" w:type="dxa"/>
              <w:bottom w:w="60" w:type="dxa"/>
              <w:right w:w="60" w:type="dxa"/>
            </w:tcMar>
            <w:vAlign w:val="center"/>
            <w:hideMark/>
          </w:tcPr>
          <w:p w14:paraId="61054A63" w14:textId="6342E686"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57" w:history="1">
              <w:r w:rsidRPr="00505244">
                <w:rPr>
                  <w:rFonts w:ascii="Arial" w:eastAsia="Times New Roman" w:hAnsi="Arial" w:cs="Arial"/>
                  <w:color w:val="3A4E72"/>
                  <w:sz w:val="21"/>
                  <w:szCs w:val="21"/>
                </w:rPr>
                <w:t>SB 0334</w:t>
              </w:r>
            </w:hyperlink>
            <w:r w:rsidRPr="00505244">
              <w:rPr>
                <w:rFonts w:ascii="Arial" w:eastAsia="Times New Roman" w:hAnsi="Arial" w:cs="Arial"/>
                <w:noProof/>
                <w:color w:val="3C3D3F"/>
                <w:sz w:val="21"/>
                <w:szCs w:val="21"/>
              </w:rPr>
              <w:drawing>
                <wp:inline distT="0" distB="0" distL="0" distR="0" wp14:anchorId="79E5CAF5" wp14:editId="14F3AD0F">
                  <wp:extent cx="228600" cy="228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303A2D1"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Regulation of Smoking in Public Places</w:t>
            </w:r>
          </w:p>
        </w:tc>
        <w:tc>
          <w:tcPr>
            <w:tcW w:w="0" w:type="auto"/>
            <w:gridSpan w:val="3"/>
            <w:tcMar>
              <w:top w:w="105" w:type="dxa"/>
              <w:left w:w="60" w:type="dxa"/>
              <w:bottom w:w="60" w:type="dxa"/>
              <w:right w:w="60" w:type="dxa"/>
            </w:tcMar>
            <w:vAlign w:val="center"/>
            <w:hideMark/>
          </w:tcPr>
          <w:p w14:paraId="5D89E026" w14:textId="77777777" w:rsidR="00505244" w:rsidRPr="00505244" w:rsidRDefault="00505244" w:rsidP="00505244">
            <w:pPr>
              <w:spacing w:after="0" w:line="240" w:lineRule="auto"/>
              <w:rPr>
                <w:rFonts w:ascii="Arial" w:eastAsia="Times New Roman" w:hAnsi="Arial" w:cs="Arial"/>
                <w:color w:val="3C3D3F"/>
                <w:sz w:val="21"/>
                <w:szCs w:val="21"/>
              </w:rPr>
            </w:pPr>
            <w:hyperlink r:id="rId58" w:history="1">
              <w:proofErr w:type="spellStart"/>
              <w:r w:rsidRPr="00505244">
                <w:rPr>
                  <w:rFonts w:ascii="Arial" w:eastAsia="Times New Roman" w:hAnsi="Arial" w:cs="Arial"/>
                  <w:color w:val="3A4E72"/>
                  <w:sz w:val="21"/>
                  <w:szCs w:val="21"/>
                </w:rPr>
                <w:t>Gruters</w:t>
              </w:r>
              <w:proofErr w:type="spellEnd"/>
            </w:hyperlink>
            <w:r w:rsidRPr="00505244">
              <w:rPr>
                <w:rFonts w:ascii="Arial" w:eastAsia="Times New Roman" w:hAnsi="Arial" w:cs="Arial"/>
                <w:color w:val="3C3D3F"/>
                <w:sz w:val="21"/>
                <w:szCs w:val="21"/>
              </w:rPr>
              <w:t>  </w:t>
            </w:r>
          </w:p>
        </w:tc>
      </w:tr>
      <w:tr w:rsidR="00505244" w:rsidRPr="00505244" w14:paraId="016E8C7B" w14:textId="77777777" w:rsidTr="00505244">
        <w:tc>
          <w:tcPr>
            <w:tcW w:w="0" w:type="auto"/>
            <w:shd w:val="clear" w:color="auto" w:fill="F8F8F9"/>
            <w:tcMar>
              <w:top w:w="60" w:type="dxa"/>
              <w:left w:w="60" w:type="dxa"/>
              <w:bottom w:w="60" w:type="dxa"/>
              <w:right w:w="60" w:type="dxa"/>
            </w:tcMar>
            <w:vAlign w:val="center"/>
            <w:hideMark/>
          </w:tcPr>
          <w:p w14:paraId="109D22A8"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74732A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Regulation of Smoking in Public Places; Revising a short title; authorizing counties and municipalities to further restrict smoking, except for smoking cigars or pipe tobacco, within the boundaries of public beaches and public parks under certain circumstances; prohibiting smoking within the boundaries of a state park; providing an exception, etc. Effective Date: 7/1/2021</w:t>
            </w:r>
          </w:p>
        </w:tc>
      </w:tr>
      <w:tr w:rsidR="00505244" w:rsidRPr="00505244" w14:paraId="5933543E" w14:textId="77777777" w:rsidTr="00505244">
        <w:tc>
          <w:tcPr>
            <w:tcW w:w="0" w:type="auto"/>
            <w:shd w:val="clear" w:color="auto" w:fill="F8F8F9"/>
            <w:tcMar>
              <w:top w:w="60" w:type="dxa"/>
              <w:left w:w="60" w:type="dxa"/>
              <w:bottom w:w="60" w:type="dxa"/>
              <w:right w:w="60" w:type="dxa"/>
            </w:tcMar>
            <w:vAlign w:val="center"/>
            <w:hideMark/>
          </w:tcPr>
          <w:p w14:paraId="09100881"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4722EAB8" w14:textId="147E5A0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59" w:history="1">
              <w:r w:rsidRPr="00505244">
                <w:rPr>
                  <w:rFonts w:ascii="Arial" w:eastAsia="Times New Roman" w:hAnsi="Arial" w:cs="Arial"/>
                  <w:color w:val="3A4E72"/>
                  <w:sz w:val="21"/>
                  <w:szCs w:val="21"/>
                </w:rPr>
                <w:t>SB 0410</w:t>
              </w:r>
            </w:hyperlink>
            <w:r w:rsidRPr="00505244">
              <w:rPr>
                <w:rFonts w:ascii="Arial" w:eastAsia="Times New Roman" w:hAnsi="Arial" w:cs="Arial"/>
                <w:noProof/>
                <w:color w:val="3C3D3F"/>
                <w:sz w:val="21"/>
                <w:szCs w:val="21"/>
              </w:rPr>
              <w:drawing>
                <wp:inline distT="0" distB="0" distL="0" distR="0" wp14:anchorId="7FA81EBF" wp14:editId="5FE5F895">
                  <wp:extent cx="228600" cy="2286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193807B"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xml:space="preserve">Materials Harmful </w:t>
            </w:r>
            <w:proofErr w:type="gramStart"/>
            <w:r w:rsidRPr="00505244">
              <w:rPr>
                <w:rFonts w:ascii="Arial" w:eastAsia="Times New Roman" w:hAnsi="Arial" w:cs="Arial"/>
                <w:color w:val="3C3D3F"/>
                <w:sz w:val="21"/>
                <w:szCs w:val="21"/>
              </w:rPr>
              <w:t>To</w:t>
            </w:r>
            <w:proofErr w:type="gramEnd"/>
            <w:r w:rsidRPr="00505244">
              <w:rPr>
                <w:rFonts w:ascii="Arial" w:eastAsia="Times New Roman" w:hAnsi="Arial" w:cs="Arial"/>
                <w:color w:val="3C3D3F"/>
                <w:sz w:val="21"/>
                <w:szCs w:val="21"/>
              </w:rPr>
              <w:t xml:space="preserve"> Minors</w:t>
            </w:r>
          </w:p>
        </w:tc>
        <w:tc>
          <w:tcPr>
            <w:tcW w:w="0" w:type="auto"/>
            <w:gridSpan w:val="3"/>
            <w:tcMar>
              <w:top w:w="105" w:type="dxa"/>
              <w:left w:w="60" w:type="dxa"/>
              <w:bottom w:w="60" w:type="dxa"/>
              <w:right w:w="60" w:type="dxa"/>
            </w:tcMar>
            <w:vAlign w:val="center"/>
            <w:hideMark/>
          </w:tcPr>
          <w:p w14:paraId="32B4B292" w14:textId="77777777" w:rsidR="00505244" w:rsidRPr="00505244" w:rsidRDefault="00505244" w:rsidP="00505244">
            <w:pPr>
              <w:spacing w:after="0" w:line="240" w:lineRule="auto"/>
              <w:rPr>
                <w:rFonts w:ascii="Arial" w:eastAsia="Times New Roman" w:hAnsi="Arial" w:cs="Arial"/>
                <w:color w:val="3C3D3F"/>
                <w:sz w:val="21"/>
                <w:szCs w:val="21"/>
              </w:rPr>
            </w:pPr>
            <w:hyperlink r:id="rId60" w:history="1">
              <w:r w:rsidRPr="00505244">
                <w:rPr>
                  <w:rFonts w:ascii="Arial" w:eastAsia="Times New Roman" w:hAnsi="Arial" w:cs="Arial"/>
                  <w:color w:val="3A4E72"/>
                  <w:sz w:val="21"/>
                  <w:szCs w:val="21"/>
                </w:rPr>
                <w:t>Rodriguez (A)</w:t>
              </w:r>
            </w:hyperlink>
            <w:r w:rsidRPr="00505244">
              <w:rPr>
                <w:rFonts w:ascii="Arial" w:eastAsia="Times New Roman" w:hAnsi="Arial" w:cs="Arial"/>
                <w:color w:val="3C3D3F"/>
                <w:sz w:val="21"/>
                <w:szCs w:val="21"/>
              </w:rPr>
              <w:t>  </w:t>
            </w:r>
          </w:p>
        </w:tc>
      </w:tr>
      <w:tr w:rsidR="00505244" w:rsidRPr="00505244" w14:paraId="10436EFC" w14:textId="77777777" w:rsidTr="00505244">
        <w:tc>
          <w:tcPr>
            <w:tcW w:w="0" w:type="auto"/>
            <w:shd w:val="clear" w:color="auto" w:fill="F8F8F9"/>
            <w:tcMar>
              <w:top w:w="60" w:type="dxa"/>
              <w:left w:w="60" w:type="dxa"/>
              <w:bottom w:w="60" w:type="dxa"/>
              <w:right w:w="60" w:type="dxa"/>
            </w:tcMar>
            <w:vAlign w:val="center"/>
            <w:hideMark/>
          </w:tcPr>
          <w:p w14:paraId="2133BA1F"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8780ACE"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Materials Harmful to Minors; Requiring each school district to publish specified materials on the district website to notify parents of their right to exempt their student from reproductive health and disease education; requiring district school boards to annually approve curriculum relating to reproductive health and disease education in an open, noticed public meeting; requiring each school district to publish specified materials on the district website to notify parents of their right to exempt their student from reproductive health and disease education, etc. Effective Date: 7/1/2021</w:t>
            </w:r>
          </w:p>
        </w:tc>
      </w:tr>
      <w:tr w:rsidR="00505244" w:rsidRPr="00505244" w14:paraId="1524C6D0" w14:textId="77777777" w:rsidTr="00505244">
        <w:tc>
          <w:tcPr>
            <w:tcW w:w="0" w:type="auto"/>
            <w:shd w:val="clear" w:color="auto" w:fill="F8F8F9"/>
            <w:tcMar>
              <w:top w:w="60" w:type="dxa"/>
              <w:left w:w="60" w:type="dxa"/>
              <w:bottom w:w="60" w:type="dxa"/>
              <w:right w:w="60" w:type="dxa"/>
            </w:tcMar>
            <w:vAlign w:val="center"/>
            <w:hideMark/>
          </w:tcPr>
          <w:p w14:paraId="06056D7A"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9459014" w14:textId="16E5575B"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61" w:history="1">
              <w:r w:rsidRPr="00505244">
                <w:rPr>
                  <w:rFonts w:ascii="Arial" w:eastAsia="Times New Roman" w:hAnsi="Arial" w:cs="Arial"/>
                  <w:color w:val="3A4E72"/>
                  <w:sz w:val="21"/>
                  <w:szCs w:val="21"/>
                </w:rPr>
                <w:t>SB 0760</w:t>
              </w:r>
            </w:hyperlink>
            <w:r w:rsidRPr="00505244">
              <w:rPr>
                <w:rFonts w:ascii="Arial" w:eastAsia="Times New Roman" w:hAnsi="Arial" w:cs="Arial"/>
                <w:noProof/>
                <w:color w:val="3C3D3F"/>
                <w:sz w:val="21"/>
                <w:szCs w:val="21"/>
              </w:rPr>
              <w:drawing>
                <wp:inline distT="0" distB="0" distL="0" distR="0" wp14:anchorId="6FB08E6E" wp14:editId="06917FED">
                  <wp:extent cx="228600" cy="2286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1CB50FE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Florida High School Athletic Association (FHSAA)</w:t>
            </w:r>
          </w:p>
        </w:tc>
        <w:tc>
          <w:tcPr>
            <w:tcW w:w="0" w:type="auto"/>
            <w:gridSpan w:val="3"/>
            <w:tcMar>
              <w:top w:w="105" w:type="dxa"/>
              <w:left w:w="60" w:type="dxa"/>
              <w:bottom w:w="60" w:type="dxa"/>
              <w:right w:w="60" w:type="dxa"/>
            </w:tcMar>
            <w:vAlign w:val="center"/>
            <w:hideMark/>
          </w:tcPr>
          <w:p w14:paraId="6930EDEF" w14:textId="77777777" w:rsidR="00505244" w:rsidRPr="00505244" w:rsidRDefault="00505244" w:rsidP="00505244">
            <w:pPr>
              <w:spacing w:after="0" w:line="240" w:lineRule="auto"/>
              <w:rPr>
                <w:rFonts w:ascii="Arial" w:eastAsia="Times New Roman" w:hAnsi="Arial" w:cs="Arial"/>
                <w:color w:val="3C3D3F"/>
                <w:sz w:val="21"/>
                <w:szCs w:val="21"/>
              </w:rPr>
            </w:pPr>
            <w:hyperlink r:id="rId62"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40650670" w14:textId="77777777" w:rsidTr="00505244">
        <w:tc>
          <w:tcPr>
            <w:tcW w:w="0" w:type="auto"/>
            <w:shd w:val="clear" w:color="auto" w:fill="F8F8F9"/>
            <w:tcMar>
              <w:top w:w="60" w:type="dxa"/>
              <w:left w:w="60" w:type="dxa"/>
              <w:bottom w:w="60" w:type="dxa"/>
              <w:right w:w="60" w:type="dxa"/>
            </w:tcMar>
            <w:vAlign w:val="center"/>
            <w:hideMark/>
          </w:tcPr>
          <w:p w14:paraId="3EEBDD00"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98A0EC1"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Florida High School Athletic Association (FHSAA); Requiring the FHSAA to allow certain schools and home education cooperatives to maintain full membership in the association or to join by sport; prohibiting the FHSAA from discouraging such school or cooperative from simultaneously maintaining membership in another athletic association; requiring, rather than authorizing, the FHSAA to allow public schools to join other athletic associations, etc. Effective Date: 7/1/2021</w:t>
            </w:r>
          </w:p>
        </w:tc>
      </w:tr>
      <w:tr w:rsidR="00505244" w:rsidRPr="00505244" w14:paraId="446A583D" w14:textId="77777777" w:rsidTr="00505244">
        <w:tc>
          <w:tcPr>
            <w:tcW w:w="0" w:type="auto"/>
            <w:shd w:val="clear" w:color="auto" w:fill="F8F8F9"/>
            <w:tcMar>
              <w:top w:w="60" w:type="dxa"/>
              <w:left w:w="60" w:type="dxa"/>
              <w:bottom w:w="60" w:type="dxa"/>
              <w:right w:w="60" w:type="dxa"/>
            </w:tcMar>
            <w:vAlign w:val="center"/>
            <w:hideMark/>
          </w:tcPr>
          <w:p w14:paraId="7EB4C822"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786EAB32" w14:textId="00CB4ED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63" w:history="1">
              <w:r w:rsidRPr="00505244">
                <w:rPr>
                  <w:rFonts w:ascii="Arial" w:eastAsia="Times New Roman" w:hAnsi="Arial" w:cs="Arial"/>
                  <w:color w:val="3A4E72"/>
                  <w:sz w:val="21"/>
                  <w:szCs w:val="21"/>
                </w:rPr>
                <w:t>SB 1194</w:t>
              </w:r>
            </w:hyperlink>
            <w:r w:rsidRPr="00505244">
              <w:rPr>
                <w:rFonts w:ascii="Arial" w:eastAsia="Times New Roman" w:hAnsi="Arial" w:cs="Arial"/>
                <w:noProof/>
                <w:color w:val="3C3D3F"/>
                <w:sz w:val="21"/>
                <w:szCs w:val="21"/>
              </w:rPr>
              <w:drawing>
                <wp:inline distT="0" distB="0" distL="0" distR="0" wp14:anchorId="6354F457" wp14:editId="7AA4011A">
                  <wp:extent cx="228600" cy="228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8AA9E44"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Transportation</w:t>
            </w:r>
          </w:p>
        </w:tc>
        <w:tc>
          <w:tcPr>
            <w:tcW w:w="0" w:type="auto"/>
            <w:gridSpan w:val="3"/>
            <w:tcMar>
              <w:top w:w="105" w:type="dxa"/>
              <w:left w:w="60" w:type="dxa"/>
              <w:bottom w:w="60" w:type="dxa"/>
              <w:right w:w="60" w:type="dxa"/>
            </w:tcMar>
            <w:vAlign w:val="center"/>
            <w:hideMark/>
          </w:tcPr>
          <w:p w14:paraId="54866F58" w14:textId="77777777" w:rsidR="00505244" w:rsidRPr="00505244" w:rsidRDefault="00505244" w:rsidP="00505244">
            <w:pPr>
              <w:spacing w:after="0" w:line="240" w:lineRule="auto"/>
              <w:rPr>
                <w:rFonts w:ascii="Arial" w:eastAsia="Times New Roman" w:hAnsi="Arial" w:cs="Arial"/>
                <w:color w:val="3C3D3F"/>
                <w:sz w:val="21"/>
                <w:szCs w:val="21"/>
              </w:rPr>
            </w:pPr>
            <w:hyperlink r:id="rId64" w:history="1">
              <w:r w:rsidRPr="00505244">
                <w:rPr>
                  <w:rFonts w:ascii="Arial" w:eastAsia="Times New Roman" w:hAnsi="Arial" w:cs="Arial"/>
                  <w:color w:val="3A4E72"/>
                  <w:sz w:val="21"/>
                  <w:szCs w:val="21"/>
                </w:rPr>
                <w:t>Hooper</w:t>
              </w:r>
            </w:hyperlink>
            <w:r w:rsidRPr="00505244">
              <w:rPr>
                <w:rFonts w:ascii="Arial" w:eastAsia="Times New Roman" w:hAnsi="Arial" w:cs="Arial"/>
                <w:color w:val="3C3D3F"/>
                <w:sz w:val="21"/>
                <w:szCs w:val="21"/>
              </w:rPr>
              <w:t>  </w:t>
            </w:r>
          </w:p>
        </w:tc>
      </w:tr>
      <w:tr w:rsidR="00505244" w:rsidRPr="00505244" w14:paraId="2E30A747" w14:textId="77777777" w:rsidTr="00505244">
        <w:tc>
          <w:tcPr>
            <w:tcW w:w="0" w:type="auto"/>
            <w:shd w:val="clear" w:color="auto" w:fill="F8F8F9"/>
            <w:tcMar>
              <w:top w:w="60" w:type="dxa"/>
              <w:left w:w="60" w:type="dxa"/>
              <w:bottom w:w="60" w:type="dxa"/>
              <w:right w:w="60" w:type="dxa"/>
            </w:tcMar>
            <w:vAlign w:val="center"/>
            <w:hideMark/>
          </w:tcPr>
          <w:p w14:paraId="3EC7EAC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686031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Transportation; Authorizing governing bodies of municipalities and counties to abandon and convey their interests in certain roads and rights-of-way dedicated in a recorded residential subdivision plat to community development districts under specified conditions; providing that certain governmental entities may not prohibit certain vendors from responding to competitive solicitations of certain contractual services; requiring contractors wishing to bid on certain contracts to first be certified by the department as qualified; repealing part III of </w:t>
            </w:r>
            <w:proofErr w:type="spellStart"/>
            <w:r w:rsidRPr="00505244">
              <w:rPr>
                <w:rFonts w:ascii="Arial" w:eastAsia="Times New Roman" w:hAnsi="Arial" w:cs="Arial"/>
                <w:color w:val="3C3D3F"/>
                <w:sz w:val="17"/>
                <w:szCs w:val="17"/>
              </w:rPr>
              <w:t>ch.</w:t>
            </w:r>
            <w:proofErr w:type="spellEnd"/>
            <w:r w:rsidRPr="00505244">
              <w:rPr>
                <w:rFonts w:ascii="Arial" w:eastAsia="Times New Roman" w:hAnsi="Arial" w:cs="Arial"/>
                <w:color w:val="3C3D3F"/>
                <w:sz w:val="17"/>
                <w:szCs w:val="17"/>
              </w:rPr>
              <w:t xml:space="preserve"> 343, F.S., relating to the creation and operation of the Northwest Florida Transportation Corridor Authority, etc. Effective Date: 7/1/2021</w:t>
            </w:r>
          </w:p>
        </w:tc>
      </w:tr>
      <w:tr w:rsidR="00505244" w:rsidRPr="00505244" w14:paraId="3A1208F1" w14:textId="77777777" w:rsidTr="00505244">
        <w:tc>
          <w:tcPr>
            <w:tcW w:w="0" w:type="auto"/>
            <w:shd w:val="clear" w:color="auto" w:fill="F8F8F9"/>
            <w:tcMar>
              <w:top w:w="60" w:type="dxa"/>
              <w:left w:w="60" w:type="dxa"/>
              <w:bottom w:w="60" w:type="dxa"/>
              <w:right w:w="60" w:type="dxa"/>
            </w:tcMar>
            <w:vAlign w:val="center"/>
            <w:hideMark/>
          </w:tcPr>
          <w:p w14:paraId="1B8E0B30"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34FF359" w14:textId="4FE71348"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65" w:history="1">
              <w:r w:rsidRPr="00505244">
                <w:rPr>
                  <w:rFonts w:ascii="Arial" w:eastAsia="Times New Roman" w:hAnsi="Arial" w:cs="Arial"/>
                  <w:color w:val="3A4E72"/>
                  <w:sz w:val="21"/>
                  <w:szCs w:val="21"/>
                </w:rPr>
                <w:t>SB 1408</w:t>
              </w:r>
            </w:hyperlink>
            <w:r w:rsidRPr="00505244">
              <w:rPr>
                <w:rFonts w:ascii="Arial" w:eastAsia="Times New Roman" w:hAnsi="Arial" w:cs="Arial"/>
                <w:noProof/>
                <w:color w:val="3C3D3F"/>
                <w:sz w:val="21"/>
                <w:szCs w:val="21"/>
              </w:rPr>
              <w:drawing>
                <wp:inline distT="0" distB="0" distL="0" distR="0" wp14:anchorId="4D2E9A7A" wp14:editId="72F58473">
                  <wp:extent cx="228600" cy="228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1D377F0A"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Financial Services</w:t>
            </w:r>
          </w:p>
        </w:tc>
        <w:tc>
          <w:tcPr>
            <w:tcW w:w="0" w:type="auto"/>
            <w:gridSpan w:val="3"/>
            <w:tcMar>
              <w:top w:w="105" w:type="dxa"/>
              <w:left w:w="60" w:type="dxa"/>
              <w:bottom w:w="60" w:type="dxa"/>
              <w:right w:w="60" w:type="dxa"/>
            </w:tcMar>
            <w:vAlign w:val="center"/>
            <w:hideMark/>
          </w:tcPr>
          <w:p w14:paraId="75117713" w14:textId="77777777" w:rsidR="00505244" w:rsidRPr="00505244" w:rsidRDefault="00505244" w:rsidP="00505244">
            <w:pPr>
              <w:spacing w:after="0" w:line="240" w:lineRule="auto"/>
              <w:rPr>
                <w:rFonts w:ascii="Arial" w:eastAsia="Times New Roman" w:hAnsi="Arial" w:cs="Arial"/>
                <w:color w:val="3C3D3F"/>
                <w:sz w:val="21"/>
                <w:szCs w:val="21"/>
              </w:rPr>
            </w:pPr>
            <w:hyperlink r:id="rId66"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5F9FDDB2" w14:textId="77777777" w:rsidTr="00505244">
        <w:tc>
          <w:tcPr>
            <w:tcW w:w="0" w:type="auto"/>
            <w:shd w:val="clear" w:color="auto" w:fill="F8F8F9"/>
            <w:tcMar>
              <w:top w:w="60" w:type="dxa"/>
              <w:left w:w="60" w:type="dxa"/>
              <w:bottom w:w="60" w:type="dxa"/>
              <w:right w:w="60" w:type="dxa"/>
            </w:tcMar>
            <w:vAlign w:val="center"/>
            <w:hideMark/>
          </w:tcPr>
          <w:p w14:paraId="60EDD4E6"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F0D631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Department of Financial Services; Specifying powers and duties of the Division of Public Assistance Fraud; specifying a condition that must be met before certain firefighter cancer-related benefits may be paid from the State Risk Management Trust Fund; specifying a criminal penalty for the willful and knowing dissemination of a sexual harassment victim’s personal identifying information, except under certain circumstances; prohibiting persons from acting as or advertising themselves as being funeral directors, embalmers, direct disposers, or preneed sales agents unless they are so licensed; prohibiting a </w:t>
            </w:r>
            <w:proofErr w:type="spellStart"/>
            <w:r w:rsidRPr="00505244">
              <w:rPr>
                <w:rFonts w:ascii="Arial" w:eastAsia="Times New Roman" w:hAnsi="Arial" w:cs="Arial"/>
                <w:color w:val="3C3D3F"/>
                <w:sz w:val="17"/>
                <w:szCs w:val="17"/>
              </w:rPr>
              <w:t>firesafety</w:t>
            </w:r>
            <w:proofErr w:type="spellEnd"/>
            <w:r w:rsidRPr="00505244">
              <w:rPr>
                <w:rFonts w:ascii="Arial" w:eastAsia="Times New Roman" w:hAnsi="Arial" w:cs="Arial"/>
                <w:color w:val="3C3D3F"/>
                <w:sz w:val="17"/>
                <w:szCs w:val="17"/>
              </w:rPr>
              <w:t xml:space="preserve"> inspector from knowingly and intentionally requesting, soliciting, accepting, or agreeing to accept certain compensation, etc. Effective Date: Except as otherwise expressly provided in this act and except for this section, which shall take effect upon this act becoming a law, this act shall take effect July 1, 2021</w:t>
            </w:r>
          </w:p>
        </w:tc>
      </w:tr>
      <w:tr w:rsidR="00505244" w:rsidRPr="00505244" w14:paraId="5ED0CB73" w14:textId="77777777" w:rsidTr="00505244">
        <w:tc>
          <w:tcPr>
            <w:tcW w:w="0" w:type="auto"/>
            <w:shd w:val="clear" w:color="auto" w:fill="F8F8F9"/>
            <w:tcMar>
              <w:top w:w="60" w:type="dxa"/>
              <w:left w:w="60" w:type="dxa"/>
              <w:bottom w:w="60" w:type="dxa"/>
              <w:right w:w="60" w:type="dxa"/>
            </w:tcMar>
            <w:vAlign w:val="center"/>
            <w:hideMark/>
          </w:tcPr>
          <w:p w14:paraId="1308DC2B"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5F323AE" w14:textId="49BC128B"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67" w:history="1">
              <w:r w:rsidRPr="00505244">
                <w:rPr>
                  <w:rFonts w:ascii="Arial" w:eastAsia="Times New Roman" w:hAnsi="Arial" w:cs="Arial"/>
                  <w:color w:val="3A4E72"/>
                  <w:sz w:val="21"/>
                  <w:szCs w:val="21"/>
                </w:rPr>
                <w:t>SB 1966</w:t>
              </w:r>
            </w:hyperlink>
            <w:r w:rsidRPr="00505244">
              <w:rPr>
                <w:rFonts w:ascii="Arial" w:eastAsia="Times New Roman" w:hAnsi="Arial" w:cs="Arial"/>
                <w:noProof/>
                <w:color w:val="3C3D3F"/>
                <w:sz w:val="21"/>
                <w:szCs w:val="21"/>
              </w:rPr>
              <w:drawing>
                <wp:inline distT="0" distB="0" distL="0" distR="0" wp14:anchorId="0FE9113E" wp14:editId="361B208A">
                  <wp:extent cx="228600" cy="22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BAC9DA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Business and Professional Regulation</w:t>
            </w:r>
          </w:p>
        </w:tc>
        <w:tc>
          <w:tcPr>
            <w:tcW w:w="0" w:type="auto"/>
            <w:gridSpan w:val="3"/>
            <w:tcMar>
              <w:top w:w="105" w:type="dxa"/>
              <w:left w:w="60" w:type="dxa"/>
              <w:bottom w:w="60" w:type="dxa"/>
              <w:right w:w="60" w:type="dxa"/>
            </w:tcMar>
            <w:vAlign w:val="center"/>
            <w:hideMark/>
          </w:tcPr>
          <w:p w14:paraId="582A0363" w14:textId="77777777" w:rsidR="00505244" w:rsidRPr="00505244" w:rsidRDefault="00505244" w:rsidP="00505244">
            <w:pPr>
              <w:spacing w:after="0" w:line="240" w:lineRule="auto"/>
              <w:rPr>
                <w:rFonts w:ascii="Arial" w:eastAsia="Times New Roman" w:hAnsi="Arial" w:cs="Arial"/>
                <w:color w:val="3C3D3F"/>
                <w:sz w:val="21"/>
                <w:szCs w:val="21"/>
              </w:rPr>
            </w:pPr>
            <w:hyperlink r:id="rId68" w:history="1">
              <w:r w:rsidRPr="00505244">
                <w:rPr>
                  <w:rFonts w:ascii="Arial" w:eastAsia="Times New Roman" w:hAnsi="Arial" w:cs="Arial"/>
                  <w:color w:val="3A4E72"/>
                  <w:sz w:val="21"/>
                  <w:szCs w:val="21"/>
                </w:rPr>
                <w:t>Diaz</w:t>
              </w:r>
            </w:hyperlink>
            <w:r w:rsidRPr="00505244">
              <w:rPr>
                <w:rFonts w:ascii="Arial" w:eastAsia="Times New Roman" w:hAnsi="Arial" w:cs="Arial"/>
                <w:color w:val="3C3D3F"/>
                <w:sz w:val="21"/>
                <w:szCs w:val="21"/>
              </w:rPr>
              <w:t>  </w:t>
            </w:r>
          </w:p>
        </w:tc>
      </w:tr>
      <w:tr w:rsidR="00505244" w:rsidRPr="00505244" w14:paraId="1BD77A33" w14:textId="77777777" w:rsidTr="00505244">
        <w:tc>
          <w:tcPr>
            <w:tcW w:w="0" w:type="auto"/>
            <w:shd w:val="clear" w:color="auto" w:fill="F8F8F9"/>
            <w:tcMar>
              <w:top w:w="60" w:type="dxa"/>
              <w:left w:w="60" w:type="dxa"/>
              <w:bottom w:w="60" w:type="dxa"/>
              <w:right w:w="60" w:type="dxa"/>
            </w:tcMar>
            <w:vAlign w:val="center"/>
            <w:hideMark/>
          </w:tcPr>
          <w:p w14:paraId="0B19D67E"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9465FD5"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Department of Business and Professional Regulation; Requiring that certain reports relating to the transportation or possession of cigarettes be filed with the Division of Alcoholic Beverages and Tobacco through the division’s electronic data submission system; requiring that certain entities file reports, rather than returns, relating to tobacco products with the division; providing that specified records relating to tobacco products may be kept in an electronic or paper format; removing provisions relating to an additional fee for application and renewal, transfer of funds, recommendations by the Construction Industry Licensing Board for use of such funds, distribution of such funds by the department, and required reports of the department; deleting requirements relating to certain fees collected by the department for electrical and alarm system contracting, etc. Effective Date: 7/1/2021</w:t>
            </w:r>
          </w:p>
        </w:tc>
      </w:tr>
      <w:tr w:rsidR="00505244" w:rsidRPr="00505244" w14:paraId="3A77D20E" w14:textId="77777777" w:rsidTr="00505244">
        <w:tc>
          <w:tcPr>
            <w:tcW w:w="0" w:type="auto"/>
            <w:shd w:val="clear" w:color="auto" w:fill="F8F8F9"/>
            <w:tcMar>
              <w:top w:w="60" w:type="dxa"/>
              <w:left w:w="60" w:type="dxa"/>
              <w:bottom w:w="60" w:type="dxa"/>
              <w:right w:w="60" w:type="dxa"/>
            </w:tcMar>
            <w:vAlign w:val="center"/>
            <w:hideMark/>
          </w:tcPr>
          <w:p w14:paraId="3477A7E8"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D713DA7" w14:textId="78E17C2C"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69" w:history="1">
              <w:r w:rsidRPr="00505244">
                <w:rPr>
                  <w:rFonts w:ascii="Arial" w:eastAsia="Times New Roman" w:hAnsi="Arial" w:cs="Arial"/>
                  <w:color w:val="3A4E72"/>
                  <w:sz w:val="21"/>
                  <w:szCs w:val="21"/>
                </w:rPr>
                <w:t>SB 7002</w:t>
              </w:r>
            </w:hyperlink>
            <w:r w:rsidRPr="00505244">
              <w:rPr>
                <w:rFonts w:ascii="Arial" w:eastAsia="Times New Roman" w:hAnsi="Arial" w:cs="Arial"/>
                <w:noProof/>
                <w:color w:val="3C3D3F"/>
                <w:sz w:val="21"/>
                <w:szCs w:val="21"/>
              </w:rPr>
              <w:drawing>
                <wp:inline distT="0" distB="0" distL="0" distR="0" wp14:anchorId="7B471F9B" wp14:editId="2079BA01">
                  <wp:extent cx="228600" cy="228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C572FB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OGSR/Trade Secrets/Department of Health</w:t>
            </w:r>
          </w:p>
        </w:tc>
        <w:tc>
          <w:tcPr>
            <w:tcW w:w="0" w:type="auto"/>
            <w:gridSpan w:val="3"/>
            <w:tcMar>
              <w:top w:w="105" w:type="dxa"/>
              <w:left w:w="60" w:type="dxa"/>
              <w:bottom w:w="60" w:type="dxa"/>
              <w:right w:w="60" w:type="dxa"/>
            </w:tcMar>
            <w:vAlign w:val="center"/>
            <w:hideMark/>
          </w:tcPr>
          <w:p w14:paraId="27CE9005" w14:textId="77777777" w:rsidR="00505244" w:rsidRPr="00505244" w:rsidRDefault="00505244" w:rsidP="00505244">
            <w:pPr>
              <w:spacing w:after="0" w:line="240" w:lineRule="auto"/>
              <w:rPr>
                <w:rFonts w:ascii="Arial" w:eastAsia="Times New Roman" w:hAnsi="Arial" w:cs="Arial"/>
                <w:color w:val="3C3D3F"/>
                <w:sz w:val="21"/>
                <w:szCs w:val="21"/>
              </w:rPr>
            </w:pPr>
            <w:hyperlink r:id="rId70" w:history="1">
              <w:r w:rsidRPr="00505244">
                <w:rPr>
                  <w:rFonts w:ascii="Arial" w:eastAsia="Times New Roman" w:hAnsi="Arial" w:cs="Arial"/>
                  <w:color w:val="3A4E72"/>
                  <w:sz w:val="21"/>
                  <w:szCs w:val="21"/>
                </w:rPr>
                <w:t>Health Policy</w:t>
              </w:r>
            </w:hyperlink>
            <w:r w:rsidRPr="00505244">
              <w:rPr>
                <w:rFonts w:ascii="Arial" w:eastAsia="Times New Roman" w:hAnsi="Arial" w:cs="Arial"/>
                <w:color w:val="3C3D3F"/>
                <w:sz w:val="21"/>
                <w:szCs w:val="21"/>
              </w:rPr>
              <w:t>  </w:t>
            </w:r>
          </w:p>
        </w:tc>
      </w:tr>
      <w:tr w:rsidR="00505244" w:rsidRPr="00505244" w14:paraId="0FA15C03" w14:textId="77777777" w:rsidTr="00505244">
        <w:tc>
          <w:tcPr>
            <w:tcW w:w="0" w:type="auto"/>
            <w:shd w:val="clear" w:color="auto" w:fill="F8F8F9"/>
            <w:tcMar>
              <w:top w:w="60" w:type="dxa"/>
              <w:left w:w="60" w:type="dxa"/>
              <w:bottom w:w="60" w:type="dxa"/>
              <w:right w:w="60" w:type="dxa"/>
            </w:tcMar>
            <w:vAlign w:val="center"/>
            <w:hideMark/>
          </w:tcPr>
          <w:p w14:paraId="21C22C7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12FBE39"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OGSR/Trade Secrets/Department of Health; Amending a provision which provides an exemption from public records requirements for certain trade secrets contained in records, reports, or information submitted to the Department of Health; removing the scheduled repeal of the exemption, etc. Effective Date: 10/1/2021</w:t>
            </w:r>
          </w:p>
        </w:tc>
      </w:tr>
      <w:tr w:rsidR="00505244" w:rsidRPr="00505244" w14:paraId="79B97481" w14:textId="77777777" w:rsidTr="00505244">
        <w:tc>
          <w:tcPr>
            <w:tcW w:w="0" w:type="auto"/>
            <w:shd w:val="clear" w:color="auto" w:fill="F8F8F9"/>
            <w:tcMar>
              <w:top w:w="60" w:type="dxa"/>
              <w:left w:w="60" w:type="dxa"/>
              <w:bottom w:w="60" w:type="dxa"/>
              <w:right w:w="60" w:type="dxa"/>
            </w:tcMar>
            <w:vAlign w:val="center"/>
            <w:hideMark/>
          </w:tcPr>
          <w:p w14:paraId="3C53A79F"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70525201" w14:textId="1004148F"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71" w:history="1">
              <w:r w:rsidRPr="00505244">
                <w:rPr>
                  <w:rFonts w:ascii="Arial" w:eastAsia="Times New Roman" w:hAnsi="Arial" w:cs="Arial"/>
                  <w:color w:val="3A4E72"/>
                  <w:sz w:val="21"/>
                  <w:szCs w:val="21"/>
                </w:rPr>
                <w:t>SB 7032</w:t>
              </w:r>
            </w:hyperlink>
            <w:r w:rsidRPr="00505244">
              <w:rPr>
                <w:rFonts w:ascii="Arial" w:eastAsia="Times New Roman" w:hAnsi="Arial" w:cs="Arial"/>
                <w:noProof/>
                <w:color w:val="3C3D3F"/>
                <w:sz w:val="21"/>
                <w:szCs w:val="21"/>
              </w:rPr>
              <w:drawing>
                <wp:inline distT="0" distB="0" distL="0" distR="0" wp14:anchorId="72948454" wp14:editId="01D62989">
                  <wp:extent cx="2286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120E90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OGSR/Prescription Drug Purchase Lists</w:t>
            </w:r>
          </w:p>
        </w:tc>
        <w:tc>
          <w:tcPr>
            <w:tcW w:w="0" w:type="auto"/>
            <w:gridSpan w:val="3"/>
            <w:tcMar>
              <w:top w:w="105" w:type="dxa"/>
              <w:left w:w="60" w:type="dxa"/>
              <w:bottom w:w="60" w:type="dxa"/>
              <w:right w:w="60" w:type="dxa"/>
            </w:tcMar>
            <w:vAlign w:val="center"/>
            <w:hideMark/>
          </w:tcPr>
          <w:p w14:paraId="06976990" w14:textId="77777777" w:rsidR="00505244" w:rsidRPr="00505244" w:rsidRDefault="00505244" w:rsidP="00505244">
            <w:pPr>
              <w:spacing w:after="0" w:line="240" w:lineRule="auto"/>
              <w:rPr>
                <w:rFonts w:ascii="Arial" w:eastAsia="Times New Roman" w:hAnsi="Arial" w:cs="Arial"/>
                <w:color w:val="3C3D3F"/>
                <w:sz w:val="21"/>
                <w:szCs w:val="21"/>
              </w:rPr>
            </w:pPr>
            <w:hyperlink r:id="rId72" w:history="1">
              <w:r w:rsidRPr="00505244">
                <w:rPr>
                  <w:rFonts w:ascii="Arial" w:eastAsia="Times New Roman" w:hAnsi="Arial" w:cs="Arial"/>
                  <w:color w:val="3A4E72"/>
                  <w:sz w:val="21"/>
                  <w:szCs w:val="21"/>
                </w:rPr>
                <w:t>Regulated Industries</w:t>
              </w:r>
            </w:hyperlink>
            <w:r w:rsidRPr="00505244">
              <w:rPr>
                <w:rFonts w:ascii="Arial" w:eastAsia="Times New Roman" w:hAnsi="Arial" w:cs="Arial"/>
                <w:color w:val="3C3D3F"/>
                <w:sz w:val="21"/>
                <w:szCs w:val="21"/>
              </w:rPr>
              <w:t>  </w:t>
            </w:r>
          </w:p>
        </w:tc>
      </w:tr>
      <w:tr w:rsidR="00505244" w:rsidRPr="00505244" w14:paraId="09FF504E" w14:textId="77777777" w:rsidTr="00505244">
        <w:tc>
          <w:tcPr>
            <w:tcW w:w="0" w:type="auto"/>
            <w:shd w:val="clear" w:color="auto" w:fill="F8F8F9"/>
            <w:tcMar>
              <w:top w:w="60" w:type="dxa"/>
              <w:left w:w="60" w:type="dxa"/>
              <w:bottom w:w="60" w:type="dxa"/>
              <w:right w:w="60" w:type="dxa"/>
            </w:tcMar>
            <w:vAlign w:val="center"/>
            <w:hideMark/>
          </w:tcPr>
          <w:p w14:paraId="5AB765BC"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8C6B44A"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OGSR/Prescription Drug Purchase Lists; Amending a provision which provides an exemption from public records requirements for trade secrets contained in certain prescription drug purchase lists submitted to the Department of Business and Professional Regulation; removing the scheduled repeal of the exemption, etc. Effective Date: 10/1/2021</w:t>
            </w:r>
          </w:p>
        </w:tc>
      </w:tr>
      <w:tr w:rsidR="00505244" w:rsidRPr="00505244" w14:paraId="0021D4CC" w14:textId="77777777" w:rsidTr="00505244">
        <w:tc>
          <w:tcPr>
            <w:tcW w:w="0" w:type="auto"/>
            <w:shd w:val="clear" w:color="auto" w:fill="F8F8F9"/>
            <w:tcMar>
              <w:top w:w="60" w:type="dxa"/>
              <w:left w:w="60" w:type="dxa"/>
              <w:bottom w:w="60" w:type="dxa"/>
              <w:right w:w="60" w:type="dxa"/>
            </w:tcMar>
            <w:vAlign w:val="center"/>
            <w:hideMark/>
          </w:tcPr>
          <w:p w14:paraId="22B8768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9A73F95" w14:textId="05B75554"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73" w:history="1">
              <w:r w:rsidRPr="00505244">
                <w:rPr>
                  <w:rFonts w:ascii="Arial" w:eastAsia="Times New Roman" w:hAnsi="Arial" w:cs="Arial"/>
                  <w:color w:val="3A4E72"/>
                  <w:sz w:val="21"/>
                  <w:szCs w:val="21"/>
                </w:rPr>
                <w:t>SB 0418</w:t>
              </w:r>
            </w:hyperlink>
            <w:r w:rsidRPr="00505244">
              <w:rPr>
                <w:rFonts w:ascii="Arial" w:eastAsia="Times New Roman" w:hAnsi="Arial" w:cs="Arial"/>
                <w:noProof/>
                <w:color w:val="3C3D3F"/>
                <w:sz w:val="21"/>
                <w:szCs w:val="21"/>
              </w:rPr>
              <w:drawing>
                <wp:inline distT="0" distB="0" distL="0" distR="0" wp14:anchorId="46A570A5" wp14:editId="7F01DE3A">
                  <wp:extent cx="228600" cy="2286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03EEF4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Public Records/Persons Seeking Shelter</w:t>
            </w:r>
          </w:p>
        </w:tc>
        <w:tc>
          <w:tcPr>
            <w:tcW w:w="0" w:type="auto"/>
            <w:gridSpan w:val="3"/>
            <w:tcMar>
              <w:top w:w="105" w:type="dxa"/>
              <w:left w:w="60" w:type="dxa"/>
              <w:bottom w:w="60" w:type="dxa"/>
              <w:right w:w="60" w:type="dxa"/>
            </w:tcMar>
            <w:vAlign w:val="center"/>
            <w:hideMark/>
          </w:tcPr>
          <w:p w14:paraId="496D45F6" w14:textId="77777777" w:rsidR="00505244" w:rsidRPr="00505244" w:rsidRDefault="00505244" w:rsidP="00505244">
            <w:pPr>
              <w:spacing w:after="0" w:line="240" w:lineRule="auto"/>
              <w:rPr>
                <w:rFonts w:ascii="Arial" w:eastAsia="Times New Roman" w:hAnsi="Arial" w:cs="Arial"/>
                <w:color w:val="3C3D3F"/>
                <w:sz w:val="21"/>
                <w:szCs w:val="21"/>
              </w:rPr>
            </w:pPr>
            <w:hyperlink r:id="rId74"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65033D16" w14:textId="77777777" w:rsidTr="00505244">
        <w:tc>
          <w:tcPr>
            <w:tcW w:w="0" w:type="auto"/>
            <w:shd w:val="clear" w:color="auto" w:fill="F8F8F9"/>
            <w:tcMar>
              <w:top w:w="60" w:type="dxa"/>
              <w:left w:w="60" w:type="dxa"/>
              <w:bottom w:w="60" w:type="dxa"/>
              <w:right w:w="60" w:type="dxa"/>
            </w:tcMar>
            <w:vAlign w:val="center"/>
            <w:hideMark/>
          </w:tcPr>
          <w:p w14:paraId="2CED553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7EA5D1F"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Public Records/Persons Provided Public Emergency Shelter; Creating an exemption from public records requirements for the addresses and telephone numbers of persons provided public emergency shelter during a storm or catastrophic event and held by the agency that provided the emergency shelter; providing for future legislative review and repeal of the exemption; providing a statement of public necessity, etc. Effective Date: Upon becoming a law</w:t>
            </w:r>
          </w:p>
        </w:tc>
      </w:tr>
      <w:tr w:rsidR="00505244" w:rsidRPr="00505244" w14:paraId="534C61D4" w14:textId="77777777" w:rsidTr="00505244">
        <w:tc>
          <w:tcPr>
            <w:tcW w:w="0" w:type="auto"/>
            <w:shd w:val="clear" w:color="auto" w:fill="F8F8F9"/>
            <w:tcMar>
              <w:top w:w="60" w:type="dxa"/>
              <w:left w:w="60" w:type="dxa"/>
              <w:bottom w:w="60" w:type="dxa"/>
              <w:right w:w="60" w:type="dxa"/>
            </w:tcMar>
            <w:vAlign w:val="center"/>
            <w:hideMark/>
          </w:tcPr>
          <w:p w14:paraId="484B5221"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C9A8D5D" w14:textId="240B08BF"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75" w:history="1">
              <w:r w:rsidRPr="00505244">
                <w:rPr>
                  <w:rFonts w:ascii="Arial" w:eastAsia="Times New Roman" w:hAnsi="Arial" w:cs="Arial"/>
                  <w:color w:val="3A4E72"/>
                  <w:sz w:val="21"/>
                  <w:szCs w:val="21"/>
                </w:rPr>
                <w:t>SB 0420</w:t>
              </w:r>
            </w:hyperlink>
            <w:r w:rsidRPr="00505244">
              <w:rPr>
                <w:rFonts w:ascii="Arial" w:eastAsia="Times New Roman" w:hAnsi="Arial" w:cs="Arial"/>
                <w:noProof/>
                <w:color w:val="3C3D3F"/>
                <w:sz w:val="21"/>
                <w:szCs w:val="21"/>
              </w:rPr>
              <w:drawing>
                <wp:inline distT="0" distB="0" distL="0" distR="0" wp14:anchorId="53DF3398" wp14:editId="6DBDC3BD">
                  <wp:extent cx="228600" cy="228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02DE64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Motor Vehicle Insurance Coverage Exclusions</w:t>
            </w:r>
          </w:p>
        </w:tc>
        <w:tc>
          <w:tcPr>
            <w:tcW w:w="0" w:type="auto"/>
            <w:gridSpan w:val="3"/>
            <w:tcMar>
              <w:top w:w="105" w:type="dxa"/>
              <w:left w:w="60" w:type="dxa"/>
              <w:bottom w:w="60" w:type="dxa"/>
              <w:right w:w="60" w:type="dxa"/>
            </w:tcMar>
            <w:vAlign w:val="center"/>
            <w:hideMark/>
          </w:tcPr>
          <w:p w14:paraId="1BE8F6AF" w14:textId="77777777" w:rsidR="00505244" w:rsidRPr="00505244" w:rsidRDefault="00505244" w:rsidP="00505244">
            <w:pPr>
              <w:spacing w:after="0" w:line="240" w:lineRule="auto"/>
              <w:rPr>
                <w:rFonts w:ascii="Arial" w:eastAsia="Times New Roman" w:hAnsi="Arial" w:cs="Arial"/>
                <w:color w:val="3C3D3F"/>
                <w:sz w:val="21"/>
                <w:szCs w:val="21"/>
              </w:rPr>
            </w:pPr>
            <w:hyperlink r:id="rId76" w:history="1">
              <w:r w:rsidRPr="00505244">
                <w:rPr>
                  <w:rFonts w:ascii="Arial" w:eastAsia="Times New Roman" w:hAnsi="Arial" w:cs="Arial"/>
                  <w:color w:val="3A4E72"/>
                  <w:sz w:val="21"/>
                  <w:szCs w:val="21"/>
                </w:rPr>
                <w:t>Hooper</w:t>
              </w:r>
            </w:hyperlink>
            <w:r w:rsidRPr="00505244">
              <w:rPr>
                <w:rFonts w:ascii="Arial" w:eastAsia="Times New Roman" w:hAnsi="Arial" w:cs="Arial"/>
                <w:color w:val="3C3D3F"/>
                <w:sz w:val="21"/>
                <w:szCs w:val="21"/>
              </w:rPr>
              <w:t>  </w:t>
            </w:r>
          </w:p>
        </w:tc>
      </w:tr>
      <w:tr w:rsidR="00505244" w:rsidRPr="00505244" w14:paraId="73A3187E" w14:textId="77777777" w:rsidTr="00505244">
        <w:tc>
          <w:tcPr>
            <w:tcW w:w="0" w:type="auto"/>
            <w:shd w:val="clear" w:color="auto" w:fill="F8F8F9"/>
            <w:tcMar>
              <w:top w:w="60" w:type="dxa"/>
              <w:left w:w="60" w:type="dxa"/>
              <w:bottom w:w="60" w:type="dxa"/>
              <w:right w:w="60" w:type="dxa"/>
            </w:tcMar>
            <w:vAlign w:val="center"/>
            <w:hideMark/>
          </w:tcPr>
          <w:p w14:paraId="3451DC1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374D1D8"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Motor Vehicle Insurance Coverage </w:t>
            </w:r>
            <w:proofErr w:type="gramStart"/>
            <w:r w:rsidRPr="00505244">
              <w:rPr>
                <w:rFonts w:ascii="Arial" w:eastAsia="Times New Roman" w:hAnsi="Arial" w:cs="Arial"/>
                <w:color w:val="3C3D3F"/>
                <w:sz w:val="17"/>
                <w:szCs w:val="17"/>
              </w:rPr>
              <w:t>Exclusions;</w:t>
            </w:r>
            <w:proofErr w:type="gramEnd"/>
            <w:r w:rsidRPr="00505244">
              <w:rPr>
                <w:rFonts w:ascii="Arial" w:eastAsia="Times New Roman" w:hAnsi="Arial" w:cs="Arial"/>
                <w:color w:val="3C3D3F"/>
                <w:sz w:val="17"/>
                <w:szCs w:val="17"/>
              </w:rPr>
              <w:t xml:space="preserve"> Providing that private passenger motor vehicle policies may exclude certain identified individuals from specified coverages under certain circumstances; requiring excluded drivers to meet certain requirements for financial responsibility, etc. Effective Date: 7/1/2021</w:t>
            </w:r>
          </w:p>
        </w:tc>
      </w:tr>
      <w:tr w:rsidR="00505244" w:rsidRPr="00505244" w14:paraId="4C7B2258" w14:textId="77777777" w:rsidTr="00505244">
        <w:tc>
          <w:tcPr>
            <w:tcW w:w="0" w:type="auto"/>
            <w:shd w:val="clear" w:color="auto" w:fill="F8F8F9"/>
            <w:tcMar>
              <w:top w:w="60" w:type="dxa"/>
              <w:left w:w="60" w:type="dxa"/>
              <w:bottom w:w="60" w:type="dxa"/>
              <w:right w:w="60" w:type="dxa"/>
            </w:tcMar>
            <w:vAlign w:val="center"/>
            <w:hideMark/>
          </w:tcPr>
          <w:p w14:paraId="52EF8F7C"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4B606FAC" w14:textId="2C56B7DA"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77" w:history="1">
              <w:r w:rsidRPr="00505244">
                <w:rPr>
                  <w:rFonts w:ascii="Arial" w:eastAsia="Times New Roman" w:hAnsi="Arial" w:cs="Arial"/>
                  <w:color w:val="3A4E72"/>
                  <w:sz w:val="21"/>
                  <w:szCs w:val="21"/>
                </w:rPr>
                <w:t>SB 0716</w:t>
              </w:r>
            </w:hyperlink>
            <w:r w:rsidRPr="00505244">
              <w:rPr>
                <w:rFonts w:ascii="Arial" w:eastAsia="Times New Roman" w:hAnsi="Arial" w:cs="Arial"/>
                <w:noProof/>
                <w:color w:val="3C3D3F"/>
                <w:sz w:val="21"/>
                <w:szCs w:val="21"/>
              </w:rPr>
              <w:drawing>
                <wp:inline distT="0" distB="0" distL="0" distR="0" wp14:anchorId="34CB3D43" wp14:editId="2EF5F221">
                  <wp:extent cx="228600" cy="228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DA8FB5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Consent for Pelvic Examinations</w:t>
            </w:r>
          </w:p>
        </w:tc>
        <w:tc>
          <w:tcPr>
            <w:tcW w:w="0" w:type="auto"/>
            <w:gridSpan w:val="3"/>
            <w:tcMar>
              <w:top w:w="105" w:type="dxa"/>
              <w:left w:w="60" w:type="dxa"/>
              <w:bottom w:w="60" w:type="dxa"/>
              <w:right w:w="60" w:type="dxa"/>
            </w:tcMar>
            <w:vAlign w:val="center"/>
            <w:hideMark/>
          </w:tcPr>
          <w:p w14:paraId="66BF1AFC" w14:textId="77777777" w:rsidR="00505244" w:rsidRPr="00505244" w:rsidRDefault="00505244" w:rsidP="00505244">
            <w:pPr>
              <w:spacing w:after="0" w:line="240" w:lineRule="auto"/>
              <w:rPr>
                <w:rFonts w:ascii="Arial" w:eastAsia="Times New Roman" w:hAnsi="Arial" w:cs="Arial"/>
                <w:color w:val="3C3D3F"/>
                <w:sz w:val="21"/>
                <w:szCs w:val="21"/>
              </w:rPr>
            </w:pPr>
            <w:hyperlink r:id="rId78"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0D9E23D6" w14:textId="77777777" w:rsidTr="00505244">
        <w:tc>
          <w:tcPr>
            <w:tcW w:w="0" w:type="auto"/>
            <w:shd w:val="clear" w:color="auto" w:fill="F8F8F9"/>
            <w:tcMar>
              <w:top w:w="60" w:type="dxa"/>
              <w:left w:w="60" w:type="dxa"/>
              <w:bottom w:w="60" w:type="dxa"/>
              <w:right w:w="60" w:type="dxa"/>
            </w:tcMar>
            <w:vAlign w:val="center"/>
            <w:hideMark/>
          </w:tcPr>
          <w:p w14:paraId="2AE159EB"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2435EF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Consent for Pelvic Examinations; Revising the definition of the term “pelvic examination”; revising the circumstances under which a pelvic examination may be performed without consent; providing that certain health care practitioners and students need only obtain written consent for the initial pelvic examination for certain patients under certain circumstances; requiring such written consent form to inform the patient that multiple pelvic examinations may be conducted during the course of care and treatment, etc. Effective Date: 7/1/2021</w:t>
            </w:r>
          </w:p>
        </w:tc>
      </w:tr>
      <w:tr w:rsidR="00505244" w:rsidRPr="00505244" w14:paraId="46A51489" w14:textId="77777777" w:rsidTr="00505244">
        <w:tc>
          <w:tcPr>
            <w:tcW w:w="0" w:type="auto"/>
            <w:shd w:val="clear" w:color="auto" w:fill="F8F8F9"/>
            <w:tcMar>
              <w:top w:w="60" w:type="dxa"/>
              <w:left w:w="60" w:type="dxa"/>
              <w:bottom w:w="60" w:type="dxa"/>
              <w:right w:w="60" w:type="dxa"/>
            </w:tcMar>
            <w:vAlign w:val="center"/>
            <w:hideMark/>
          </w:tcPr>
          <w:p w14:paraId="06D18BE2"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FF006FD" w14:textId="245B75A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79" w:history="1">
              <w:r w:rsidRPr="00505244">
                <w:rPr>
                  <w:rFonts w:ascii="Arial" w:eastAsia="Times New Roman" w:hAnsi="Arial" w:cs="Arial"/>
                  <w:color w:val="3A4E72"/>
                  <w:sz w:val="21"/>
                  <w:szCs w:val="21"/>
                </w:rPr>
                <w:t>SB 0768</w:t>
              </w:r>
            </w:hyperlink>
            <w:r w:rsidRPr="00505244">
              <w:rPr>
                <w:rFonts w:ascii="Arial" w:eastAsia="Times New Roman" w:hAnsi="Arial" w:cs="Arial"/>
                <w:noProof/>
                <w:color w:val="3C3D3F"/>
                <w:sz w:val="21"/>
                <w:szCs w:val="21"/>
              </w:rPr>
              <w:drawing>
                <wp:inline distT="0" distB="0" distL="0" distR="0" wp14:anchorId="73FA1485" wp14:editId="1E364E02">
                  <wp:extent cx="22860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648DFF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Administration of Vaccines</w:t>
            </w:r>
          </w:p>
        </w:tc>
        <w:tc>
          <w:tcPr>
            <w:tcW w:w="0" w:type="auto"/>
            <w:gridSpan w:val="3"/>
            <w:tcMar>
              <w:top w:w="105" w:type="dxa"/>
              <w:left w:w="60" w:type="dxa"/>
              <w:bottom w:w="60" w:type="dxa"/>
              <w:right w:w="60" w:type="dxa"/>
            </w:tcMar>
            <w:vAlign w:val="center"/>
            <w:hideMark/>
          </w:tcPr>
          <w:p w14:paraId="54C5E312" w14:textId="77777777" w:rsidR="00505244" w:rsidRPr="00505244" w:rsidRDefault="00505244" w:rsidP="00505244">
            <w:pPr>
              <w:spacing w:after="0" w:line="240" w:lineRule="auto"/>
              <w:rPr>
                <w:rFonts w:ascii="Arial" w:eastAsia="Times New Roman" w:hAnsi="Arial" w:cs="Arial"/>
                <w:color w:val="3C3D3F"/>
                <w:sz w:val="21"/>
                <w:szCs w:val="21"/>
              </w:rPr>
            </w:pPr>
            <w:hyperlink r:id="rId80" w:history="1">
              <w:r w:rsidRPr="00505244">
                <w:rPr>
                  <w:rFonts w:ascii="Arial" w:eastAsia="Times New Roman" w:hAnsi="Arial" w:cs="Arial"/>
                  <w:color w:val="3A4E72"/>
                  <w:sz w:val="21"/>
                  <w:szCs w:val="21"/>
                </w:rPr>
                <w:t>Baxley</w:t>
              </w:r>
            </w:hyperlink>
            <w:r w:rsidRPr="00505244">
              <w:rPr>
                <w:rFonts w:ascii="Arial" w:eastAsia="Times New Roman" w:hAnsi="Arial" w:cs="Arial"/>
                <w:color w:val="3C3D3F"/>
                <w:sz w:val="21"/>
                <w:szCs w:val="21"/>
              </w:rPr>
              <w:t>  </w:t>
            </w:r>
          </w:p>
        </w:tc>
      </w:tr>
      <w:tr w:rsidR="00505244" w:rsidRPr="00505244" w14:paraId="6A40D2ED" w14:textId="77777777" w:rsidTr="00505244">
        <w:tc>
          <w:tcPr>
            <w:tcW w:w="0" w:type="auto"/>
            <w:shd w:val="clear" w:color="auto" w:fill="F8F8F9"/>
            <w:tcMar>
              <w:top w:w="60" w:type="dxa"/>
              <w:left w:w="60" w:type="dxa"/>
              <w:bottom w:w="60" w:type="dxa"/>
              <w:right w:w="60" w:type="dxa"/>
            </w:tcMar>
            <w:vAlign w:val="center"/>
            <w:hideMark/>
          </w:tcPr>
          <w:p w14:paraId="4611B44B"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03E89FF"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Administration of Vaccines; Revising the specified immunizations or vaccines that certified pharmacists and registered interns may administer to adults; authorizing certain pharmacists to administer influenza vaccines to individuals 7 years of age or older under certain circumstances, etc. Effective Date: 7/1/2021</w:t>
            </w:r>
          </w:p>
        </w:tc>
      </w:tr>
      <w:tr w:rsidR="00505244" w:rsidRPr="00505244" w14:paraId="4D7E4C21" w14:textId="77777777" w:rsidTr="00505244">
        <w:tc>
          <w:tcPr>
            <w:tcW w:w="0" w:type="auto"/>
            <w:shd w:val="clear" w:color="auto" w:fill="F8F8F9"/>
            <w:tcMar>
              <w:top w:w="60" w:type="dxa"/>
              <w:left w:w="60" w:type="dxa"/>
              <w:bottom w:w="60" w:type="dxa"/>
              <w:right w:w="60" w:type="dxa"/>
            </w:tcMar>
            <w:vAlign w:val="center"/>
            <w:hideMark/>
          </w:tcPr>
          <w:p w14:paraId="53E8BF6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3032B62" w14:textId="51A5F75E"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81" w:history="1">
              <w:r w:rsidRPr="00505244">
                <w:rPr>
                  <w:rFonts w:ascii="Arial" w:eastAsia="Times New Roman" w:hAnsi="Arial" w:cs="Arial"/>
                  <w:color w:val="3A4E72"/>
                  <w:sz w:val="21"/>
                  <w:szCs w:val="21"/>
                </w:rPr>
                <w:t>SB 0804</w:t>
              </w:r>
            </w:hyperlink>
            <w:r w:rsidRPr="00505244">
              <w:rPr>
                <w:rFonts w:ascii="Arial" w:eastAsia="Times New Roman" w:hAnsi="Arial" w:cs="Arial"/>
                <w:noProof/>
                <w:color w:val="3C3D3F"/>
                <w:sz w:val="21"/>
                <w:szCs w:val="21"/>
              </w:rPr>
              <w:drawing>
                <wp:inline distT="0" distB="0" distL="0" distR="0" wp14:anchorId="5BF222B5" wp14:editId="5043BC91">
                  <wp:extent cx="228600" cy="228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BA4101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Substance Abuse Services</w:t>
            </w:r>
          </w:p>
        </w:tc>
        <w:tc>
          <w:tcPr>
            <w:tcW w:w="0" w:type="auto"/>
            <w:gridSpan w:val="3"/>
            <w:tcMar>
              <w:top w:w="105" w:type="dxa"/>
              <w:left w:w="60" w:type="dxa"/>
              <w:bottom w:w="60" w:type="dxa"/>
              <w:right w:w="60" w:type="dxa"/>
            </w:tcMar>
            <w:vAlign w:val="center"/>
            <w:hideMark/>
          </w:tcPr>
          <w:p w14:paraId="700A12C0" w14:textId="77777777" w:rsidR="00505244" w:rsidRPr="00505244" w:rsidRDefault="00505244" w:rsidP="00505244">
            <w:pPr>
              <w:spacing w:after="0" w:line="240" w:lineRule="auto"/>
              <w:rPr>
                <w:rFonts w:ascii="Arial" w:eastAsia="Times New Roman" w:hAnsi="Arial" w:cs="Arial"/>
                <w:color w:val="3C3D3F"/>
                <w:sz w:val="21"/>
                <w:szCs w:val="21"/>
              </w:rPr>
            </w:pPr>
            <w:hyperlink r:id="rId82" w:history="1">
              <w:r w:rsidRPr="00505244">
                <w:rPr>
                  <w:rFonts w:ascii="Arial" w:eastAsia="Times New Roman" w:hAnsi="Arial" w:cs="Arial"/>
                  <w:color w:val="3A4E72"/>
                  <w:sz w:val="21"/>
                  <w:szCs w:val="21"/>
                </w:rPr>
                <w:t>Harrell</w:t>
              </w:r>
            </w:hyperlink>
            <w:r w:rsidRPr="00505244">
              <w:rPr>
                <w:rFonts w:ascii="Arial" w:eastAsia="Times New Roman" w:hAnsi="Arial" w:cs="Arial"/>
                <w:color w:val="3C3D3F"/>
                <w:sz w:val="21"/>
                <w:szCs w:val="21"/>
              </w:rPr>
              <w:t>  </w:t>
            </w:r>
          </w:p>
        </w:tc>
      </w:tr>
      <w:tr w:rsidR="00505244" w:rsidRPr="00505244" w14:paraId="36037107" w14:textId="77777777" w:rsidTr="00505244">
        <w:tc>
          <w:tcPr>
            <w:tcW w:w="0" w:type="auto"/>
            <w:shd w:val="clear" w:color="auto" w:fill="F8F8F9"/>
            <w:tcMar>
              <w:top w:w="60" w:type="dxa"/>
              <w:left w:w="60" w:type="dxa"/>
              <w:bottom w:w="60" w:type="dxa"/>
              <w:right w:w="60" w:type="dxa"/>
            </w:tcMar>
            <w:vAlign w:val="center"/>
            <w:hideMark/>
          </w:tcPr>
          <w:p w14:paraId="013B7BEA"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20D5F07"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Substance Abuse Services; Providing criminal penalties for making certain false representations or omissions of material facts when applying for service provider licenses; requiring the Department of Children and Families to suspend a service provider’s license under certain circumstances; expanding the applicability of certain exemptions for disqualification to applications for certification of a recovery residence or a recovery residence administrator, respectively; specifying that certain dwellings converted to recovery residences do not have a change of occupancy under the Florida Building Code due to such conversion, etc. Effective Date: 7/1/2021</w:t>
            </w:r>
          </w:p>
        </w:tc>
      </w:tr>
      <w:tr w:rsidR="00505244" w:rsidRPr="00505244" w14:paraId="3163DCA5" w14:textId="77777777" w:rsidTr="00505244">
        <w:tc>
          <w:tcPr>
            <w:tcW w:w="0" w:type="auto"/>
            <w:shd w:val="clear" w:color="auto" w:fill="F8F8F9"/>
            <w:tcMar>
              <w:top w:w="60" w:type="dxa"/>
              <w:left w:w="60" w:type="dxa"/>
              <w:bottom w:w="60" w:type="dxa"/>
              <w:right w:w="60" w:type="dxa"/>
            </w:tcMar>
            <w:vAlign w:val="center"/>
            <w:hideMark/>
          </w:tcPr>
          <w:p w14:paraId="3D13E48C"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F33A1E1" w14:textId="7DD59053"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83" w:history="1">
              <w:r w:rsidRPr="00505244">
                <w:rPr>
                  <w:rFonts w:ascii="Arial" w:eastAsia="Times New Roman" w:hAnsi="Arial" w:cs="Arial"/>
                  <w:color w:val="3A4E72"/>
                  <w:sz w:val="21"/>
                  <w:szCs w:val="21"/>
                </w:rPr>
                <w:t>SB 0826</w:t>
              </w:r>
            </w:hyperlink>
            <w:r w:rsidRPr="00505244">
              <w:rPr>
                <w:rFonts w:ascii="Arial" w:eastAsia="Times New Roman" w:hAnsi="Arial" w:cs="Arial"/>
                <w:noProof/>
                <w:color w:val="3C3D3F"/>
                <w:sz w:val="21"/>
                <w:szCs w:val="21"/>
              </w:rPr>
              <w:drawing>
                <wp:inline distT="0" distB="0" distL="0" distR="0" wp14:anchorId="732A6546" wp14:editId="553F70C1">
                  <wp:extent cx="228600" cy="228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3AD61878"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Child Protection Teams</w:t>
            </w:r>
          </w:p>
        </w:tc>
        <w:tc>
          <w:tcPr>
            <w:tcW w:w="0" w:type="auto"/>
            <w:gridSpan w:val="3"/>
            <w:tcMar>
              <w:top w:w="105" w:type="dxa"/>
              <w:left w:w="60" w:type="dxa"/>
              <w:bottom w:w="60" w:type="dxa"/>
              <w:right w:w="60" w:type="dxa"/>
            </w:tcMar>
            <w:vAlign w:val="center"/>
            <w:hideMark/>
          </w:tcPr>
          <w:p w14:paraId="4275845E" w14:textId="77777777" w:rsidR="00505244" w:rsidRPr="00505244" w:rsidRDefault="00505244" w:rsidP="00505244">
            <w:pPr>
              <w:spacing w:after="0" w:line="240" w:lineRule="auto"/>
              <w:rPr>
                <w:rFonts w:ascii="Arial" w:eastAsia="Times New Roman" w:hAnsi="Arial" w:cs="Arial"/>
                <w:color w:val="3C3D3F"/>
                <w:sz w:val="21"/>
                <w:szCs w:val="21"/>
              </w:rPr>
            </w:pPr>
            <w:hyperlink r:id="rId84" w:history="1">
              <w:r w:rsidRPr="00505244">
                <w:rPr>
                  <w:rFonts w:ascii="Arial" w:eastAsia="Times New Roman" w:hAnsi="Arial" w:cs="Arial"/>
                  <w:color w:val="3A4E72"/>
                  <w:sz w:val="21"/>
                  <w:szCs w:val="21"/>
                </w:rPr>
                <w:t>Baxley</w:t>
              </w:r>
            </w:hyperlink>
            <w:r w:rsidRPr="00505244">
              <w:rPr>
                <w:rFonts w:ascii="Arial" w:eastAsia="Times New Roman" w:hAnsi="Arial" w:cs="Arial"/>
                <w:color w:val="3C3D3F"/>
                <w:sz w:val="21"/>
                <w:szCs w:val="21"/>
              </w:rPr>
              <w:t>  </w:t>
            </w:r>
          </w:p>
        </w:tc>
      </w:tr>
      <w:tr w:rsidR="00505244" w:rsidRPr="00505244" w14:paraId="598EA3AB" w14:textId="77777777" w:rsidTr="00505244">
        <w:tc>
          <w:tcPr>
            <w:tcW w:w="0" w:type="auto"/>
            <w:shd w:val="clear" w:color="auto" w:fill="F8F8F9"/>
            <w:tcMar>
              <w:top w:w="60" w:type="dxa"/>
              <w:left w:w="60" w:type="dxa"/>
              <w:bottom w:w="60" w:type="dxa"/>
              <w:right w:w="60" w:type="dxa"/>
            </w:tcMar>
            <w:vAlign w:val="center"/>
            <w:hideMark/>
          </w:tcPr>
          <w:p w14:paraId="5F147F4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062CE3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Child Protection </w:t>
            </w:r>
            <w:proofErr w:type="gramStart"/>
            <w:r w:rsidRPr="00505244">
              <w:rPr>
                <w:rFonts w:ascii="Arial" w:eastAsia="Times New Roman" w:hAnsi="Arial" w:cs="Arial"/>
                <w:color w:val="3C3D3F"/>
                <w:sz w:val="17"/>
                <w:szCs w:val="17"/>
              </w:rPr>
              <w:t>Teams;</w:t>
            </w:r>
            <w:proofErr w:type="gramEnd"/>
            <w:r w:rsidRPr="00505244">
              <w:rPr>
                <w:rFonts w:ascii="Arial" w:eastAsia="Times New Roman" w:hAnsi="Arial" w:cs="Arial"/>
                <w:color w:val="3C3D3F"/>
                <w:sz w:val="17"/>
                <w:szCs w:val="17"/>
              </w:rPr>
              <w:t xml:space="preserve"> Revising the definition of the term “officer, employee, or agent” as it applies to immunity from personal liability in certain actions to include any member of a Child Protection Team established by the Department of Health in certain circumstances, etc. Effective Date: 7/1/2021</w:t>
            </w:r>
          </w:p>
        </w:tc>
      </w:tr>
      <w:tr w:rsidR="00505244" w:rsidRPr="00505244" w14:paraId="58A28638" w14:textId="77777777" w:rsidTr="00505244">
        <w:tc>
          <w:tcPr>
            <w:tcW w:w="0" w:type="auto"/>
            <w:shd w:val="clear" w:color="auto" w:fill="F8F8F9"/>
            <w:tcMar>
              <w:top w:w="60" w:type="dxa"/>
              <w:left w:w="60" w:type="dxa"/>
              <w:bottom w:w="60" w:type="dxa"/>
              <w:right w:w="60" w:type="dxa"/>
            </w:tcMar>
            <w:vAlign w:val="center"/>
            <w:hideMark/>
          </w:tcPr>
          <w:p w14:paraId="5029C916"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E143565" w14:textId="010261A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85" w:history="1">
              <w:r w:rsidRPr="00505244">
                <w:rPr>
                  <w:rFonts w:ascii="Arial" w:eastAsia="Times New Roman" w:hAnsi="Arial" w:cs="Arial"/>
                  <w:color w:val="3A4E72"/>
                  <w:sz w:val="21"/>
                  <w:szCs w:val="21"/>
                </w:rPr>
                <w:t>SB 0950</w:t>
              </w:r>
            </w:hyperlink>
            <w:r w:rsidRPr="00505244">
              <w:rPr>
                <w:rFonts w:ascii="Arial" w:eastAsia="Times New Roman" w:hAnsi="Arial" w:cs="Arial"/>
                <w:noProof/>
                <w:color w:val="3C3D3F"/>
                <w:sz w:val="21"/>
                <w:szCs w:val="21"/>
              </w:rPr>
              <w:drawing>
                <wp:inline distT="0" distB="0" distL="0" distR="0" wp14:anchorId="3C7C215F" wp14:editId="4D2AE0E4">
                  <wp:extent cx="228600" cy="2286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18514CD2"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Bicycle and Pedestrian Safety</w:t>
            </w:r>
          </w:p>
        </w:tc>
        <w:tc>
          <w:tcPr>
            <w:tcW w:w="0" w:type="auto"/>
            <w:gridSpan w:val="3"/>
            <w:tcMar>
              <w:top w:w="105" w:type="dxa"/>
              <w:left w:w="60" w:type="dxa"/>
              <w:bottom w:w="60" w:type="dxa"/>
              <w:right w:w="60" w:type="dxa"/>
            </w:tcMar>
            <w:vAlign w:val="center"/>
            <w:hideMark/>
          </w:tcPr>
          <w:p w14:paraId="01FCC1C6" w14:textId="77777777" w:rsidR="00505244" w:rsidRPr="00505244" w:rsidRDefault="00505244" w:rsidP="00505244">
            <w:pPr>
              <w:spacing w:after="0" w:line="240" w:lineRule="auto"/>
              <w:rPr>
                <w:rFonts w:ascii="Arial" w:eastAsia="Times New Roman" w:hAnsi="Arial" w:cs="Arial"/>
                <w:color w:val="3C3D3F"/>
                <w:sz w:val="21"/>
                <w:szCs w:val="21"/>
              </w:rPr>
            </w:pPr>
            <w:hyperlink r:id="rId86"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1FC26C91" w14:textId="77777777" w:rsidTr="00505244">
        <w:tc>
          <w:tcPr>
            <w:tcW w:w="0" w:type="auto"/>
            <w:shd w:val="clear" w:color="auto" w:fill="F8F8F9"/>
            <w:tcMar>
              <w:top w:w="60" w:type="dxa"/>
              <w:left w:w="60" w:type="dxa"/>
              <w:bottom w:w="60" w:type="dxa"/>
              <w:right w:w="60" w:type="dxa"/>
            </w:tcMar>
            <w:vAlign w:val="center"/>
            <w:hideMark/>
          </w:tcPr>
          <w:p w14:paraId="6E04028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AE14936"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Bicycle and Pedestrian Safety; Revising and providing requirements for the driver of a motor vehicle overtaking a bicycle or other nonmotorized vehicle, an electric bicycle, or a pedestrian; requiring the Department of Highway Safety and Motor Vehicles to provide an annual awareness and safety campaign regarding certain safety precautions; exempting a motor vehicle driver from certain provisions relating to no-passing zones when overtaking a bicycle or other nonmotorized vehicle, an electric bicycle, or a pedestrian; making a technical change; revising requirements for vehicles turning at intersections; prohibiting persons riding bicycles in a bicycle lane from riding more than two abreast, etc. Effective Date: 7/1/2021</w:t>
            </w:r>
          </w:p>
        </w:tc>
      </w:tr>
      <w:tr w:rsidR="00505244" w:rsidRPr="00505244" w14:paraId="78E647DB" w14:textId="77777777" w:rsidTr="00505244">
        <w:tc>
          <w:tcPr>
            <w:tcW w:w="0" w:type="auto"/>
            <w:shd w:val="clear" w:color="auto" w:fill="F8F8F9"/>
            <w:tcMar>
              <w:top w:w="60" w:type="dxa"/>
              <w:left w:w="60" w:type="dxa"/>
              <w:bottom w:w="60" w:type="dxa"/>
              <w:right w:w="60" w:type="dxa"/>
            </w:tcMar>
            <w:vAlign w:val="center"/>
            <w:hideMark/>
          </w:tcPr>
          <w:p w14:paraId="00CBC940"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4F4562C" w14:textId="55AFECDF"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87" w:history="1">
              <w:r w:rsidRPr="00505244">
                <w:rPr>
                  <w:rFonts w:ascii="Arial" w:eastAsia="Times New Roman" w:hAnsi="Arial" w:cs="Arial"/>
                  <w:color w:val="3A4E72"/>
                  <w:sz w:val="21"/>
                  <w:szCs w:val="21"/>
                </w:rPr>
                <w:t>SB 1080</w:t>
              </w:r>
            </w:hyperlink>
            <w:r w:rsidRPr="00505244">
              <w:rPr>
                <w:rFonts w:ascii="Arial" w:eastAsia="Times New Roman" w:hAnsi="Arial" w:cs="Arial"/>
                <w:noProof/>
                <w:color w:val="3C3D3F"/>
                <w:sz w:val="21"/>
                <w:szCs w:val="21"/>
              </w:rPr>
              <w:drawing>
                <wp:inline distT="0" distB="0" distL="0" distR="0" wp14:anchorId="01190591" wp14:editId="3A25C2D3">
                  <wp:extent cx="228600" cy="228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C9A991F"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Tobacco and Nicotine Products</w:t>
            </w:r>
          </w:p>
        </w:tc>
        <w:tc>
          <w:tcPr>
            <w:tcW w:w="0" w:type="auto"/>
            <w:gridSpan w:val="3"/>
            <w:tcMar>
              <w:top w:w="105" w:type="dxa"/>
              <w:left w:w="60" w:type="dxa"/>
              <w:bottom w:w="60" w:type="dxa"/>
              <w:right w:w="60" w:type="dxa"/>
            </w:tcMar>
            <w:vAlign w:val="center"/>
            <w:hideMark/>
          </w:tcPr>
          <w:p w14:paraId="61F11602" w14:textId="77777777" w:rsidR="00505244" w:rsidRPr="00505244" w:rsidRDefault="00505244" w:rsidP="00505244">
            <w:pPr>
              <w:spacing w:after="0" w:line="240" w:lineRule="auto"/>
              <w:rPr>
                <w:rFonts w:ascii="Arial" w:eastAsia="Times New Roman" w:hAnsi="Arial" w:cs="Arial"/>
                <w:color w:val="3C3D3F"/>
                <w:sz w:val="21"/>
                <w:szCs w:val="21"/>
              </w:rPr>
            </w:pPr>
            <w:hyperlink r:id="rId88" w:history="1">
              <w:r w:rsidRPr="00505244">
                <w:rPr>
                  <w:rFonts w:ascii="Arial" w:eastAsia="Times New Roman" w:hAnsi="Arial" w:cs="Arial"/>
                  <w:color w:val="3A4E72"/>
                  <w:sz w:val="21"/>
                  <w:szCs w:val="21"/>
                </w:rPr>
                <w:t>Hutson</w:t>
              </w:r>
            </w:hyperlink>
            <w:r w:rsidRPr="00505244">
              <w:rPr>
                <w:rFonts w:ascii="Arial" w:eastAsia="Times New Roman" w:hAnsi="Arial" w:cs="Arial"/>
                <w:color w:val="3C3D3F"/>
                <w:sz w:val="21"/>
                <w:szCs w:val="21"/>
              </w:rPr>
              <w:t>  </w:t>
            </w:r>
          </w:p>
        </w:tc>
      </w:tr>
      <w:tr w:rsidR="00505244" w:rsidRPr="00505244" w14:paraId="002AA9CF" w14:textId="77777777" w:rsidTr="00505244">
        <w:tc>
          <w:tcPr>
            <w:tcW w:w="0" w:type="auto"/>
            <w:shd w:val="clear" w:color="auto" w:fill="F8F8F9"/>
            <w:tcMar>
              <w:top w:w="60" w:type="dxa"/>
              <w:left w:w="60" w:type="dxa"/>
              <w:bottom w:w="60" w:type="dxa"/>
              <w:right w:w="60" w:type="dxa"/>
            </w:tcMar>
            <w:vAlign w:val="center"/>
            <w:hideMark/>
          </w:tcPr>
          <w:p w14:paraId="355F8370"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C42224D"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Tobacco and Nicotine Products; Revising age limitations relating to mail order, Internet, and remote sales of tobacco products; providing that it is unlawful for persons under 21 years of age to smoke tobacco or vape in, on, or within 1,000 feet of the real property comprising a public or private elementary, middle, or secondary school during specified hours; preempting the establishment of the minimum age for purchasing and possessing, and the regulation for the marketing, sale, or delivery of, tobacco products to the state; requiring retail nicotine product dealers to acquire a permit, etc. Effective Date: 10/1/2021</w:t>
            </w:r>
          </w:p>
        </w:tc>
      </w:tr>
      <w:tr w:rsidR="00505244" w:rsidRPr="00505244" w14:paraId="6DDA118D" w14:textId="77777777" w:rsidTr="00505244">
        <w:tc>
          <w:tcPr>
            <w:tcW w:w="0" w:type="auto"/>
            <w:shd w:val="clear" w:color="auto" w:fill="F8F8F9"/>
            <w:tcMar>
              <w:top w:w="60" w:type="dxa"/>
              <w:left w:w="60" w:type="dxa"/>
              <w:bottom w:w="60" w:type="dxa"/>
              <w:right w:w="60" w:type="dxa"/>
            </w:tcMar>
            <w:vAlign w:val="center"/>
            <w:hideMark/>
          </w:tcPr>
          <w:p w14:paraId="7FC128C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045B462" w14:textId="526D1091"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89" w:history="1">
              <w:r w:rsidRPr="00505244">
                <w:rPr>
                  <w:rFonts w:ascii="Arial" w:eastAsia="Times New Roman" w:hAnsi="Arial" w:cs="Arial"/>
                  <w:color w:val="3A4E72"/>
                  <w:sz w:val="21"/>
                  <w:szCs w:val="21"/>
                </w:rPr>
                <w:t>SB 1934</w:t>
              </w:r>
            </w:hyperlink>
            <w:r w:rsidRPr="00505244">
              <w:rPr>
                <w:rFonts w:ascii="Arial" w:eastAsia="Times New Roman" w:hAnsi="Arial" w:cs="Arial"/>
                <w:noProof/>
                <w:color w:val="3C3D3F"/>
                <w:sz w:val="21"/>
                <w:szCs w:val="21"/>
              </w:rPr>
              <w:drawing>
                <wp:inline distT="0" distB="0" distL="0" distR="0" wp14:anchorId="37F74D2A" wp14:editId="0C090E0F">
                  <wp:extent cx="228600" cy="228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D25D8E8"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Health Care Practitioner Discipline</w:t>
            </w:r>
          </w:p>
        </w:tc>
        <w:tc>
          <w:tcPr>
            <w:tcW w:w="0" w:type="auto"/>
            <w:gridSpan w:val="3"/>
            <w:tcMar>
              <w:top w:w="105" w:type="dxa"/>
              <w:left w:w="60" w:type="dxa"/>
              <w:bottom w:w="60" w:type="dxa"/>
              <w:right w:w="60" w:type="dxa"/>
            </w:tcMar>
            <w:vAlign w:val="center"/>
            <w:hideMark/>
          </w:tcPr>
          <w:p w14:paraId="2FFF3D29" w14:textId="77777777" w:rsidR="00505244" w:rsidRPr="00505244" w:rsidRDefault="00505244" w:rsidP="00505244">
            <w:pPr>
              <w:spacing w:after="0" w:line="240" w:lineRule="auto"/>
              <w:rPr>
                <w:rFonts w:ascii="Arial" w:eastAsia="Times New Roman" w:hAnsi="Arial" w:cs="Arial"/>
                <w:color w:val="3C3D3F"/>
                <w:sz w:val="21"/>
                <w:szCs w:val="21"/>
              </w:rPr>
            </w:pPr>
            <w:hyperlink r:id="rId90"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2A37E5FF" w14:textId="77777777" w:rsidTr="00505244">
        <w:tc>
          <w:tcPr>
            <w:tcW w:w="0" w:type="auto"/>
            <w:shd w:val="clear" w:color="auto" w:fill="F8F8F9"/>
            <w:tcMar>
              <w:top w:w="60" w:type="dxa"/>
              <w:left w:w="60" w:type="dxa"/>
              <w:bottom w:w="60" w:type="dxa"/>
              <w:right w:w="60" w:type="dxa"/>
            </w:tcMar>
            <w:vAlign w:val="center"/>
            <w:hideMark/>
          </w:tcPr>
          <w:p w14:paraId="61E04F3F"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54D1BFE"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Health Care Practitioner Discipline; Subjecting health care practitioners to disciplinary action for specified offenses; revising provisions relating to immediate suspension of licensure to apply to all health care practitioners; requiring the Department of Health to issue emergency orders to suspend health care practitioners’ licenses if they enter a criminal plea to, or are convicted or found guilty of, a felony relating to homicide or are arrested for committing or attempting, soliciting, or conspiring to commit acts that would constitute violations of specified criminal offenses, etc. Effective Date: 7/1/2021</w:t>
            </w:r>
          </w:p>
        </w:tc>
      </w:tr>
      <w:tr w:rsidR="00505244" w:rsidRPr="00505244" w14:paraId="53A9D1E4" w14:textId="77777777" w:rsidTr="00505244">
        <w:tc>
          <w:tcPr>
            <w:tcW w:w="0" w:type="auto"/>
            <w:gridSpan w:val="6"/>
            <w:tcMar>
              <w:top w:w="60" w:type="dxa"/>
              <w:left w:w="60" w:type="dxa"/>
              <w:bottom w:w="60" w:type="dxa"/>
              <w:right w:w="60" w:type="dxa"/>
            </w:tcMar>
            <w:vAlign w:val="center"/>
            <w:hideMark/>
          </w:tcPr>
          <w:p w14:paraId="3D7F31E4"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3EFFF4B4" w14:textId="77777777" w:rsidTr="00505244">
        <w:tc>
          <w:tcPr>
            <w:tcW w:w="1524" w:type="dxa"/>
            <w:shd w:val="clear" w:color="auto" w:fill="EDEFF1"/>
            <w:tcMar>
              <w:top w:w="60" w:type="dxa"/>
              <w:left w:w="60" w:type="dxa"/>
              <w:bottom w:w="60" w:type="dxa"/>
              <w:right w:w="60" w:type="dxa"/>
            </w:tcMar>
            <w:vAlign w:val="center"/>
            <w:hideMark/>
          </w:tcPr>
          <w:p w14:paraId="34E5FE68"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10:00AM</w:t>
            </w:r>
          </w:p>
        </w:tc>
        <w:tc>
          <w:tcPr>
            <w:tcW w:w="2969" w:type="dxa"/>
            <w:shd w:val="clear" w:color="auto" w:fill="EDEFF1"/>
            <w:tcMar>
              <w:top w:w="60" w:type="dxa"/>
              <w:left w:w="60" w:type="dxa"/>
              <w:bottom w:w="60" w:type="dxa"/>
              <w:right w:w="60" w:type="dxa"/>
            </w:tcMar>
            <w:vAlign w:val="center"/>
            <w:hideMark/>
          </w:tcPr>
          <w:p w14:paraId="765DA8CE"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Event</w:t>
            </w:r>
          </w:p>
        </w:tc>
        <w:tc>
          <w:tcPr>
            <w:tcW w:w="0" w:type="auto"/>
            <w:shd w:val="clear" w:color="auto" w:fill="EDEFF1"/>
            <w:tcMar>
              <w:top w:w="60" w:type="dxa"/>
              <w:left w:w="60" w:type="dxa"/>
              <w:bottom w:w="60" w:type="dxa"/>
              <w:right w:w="60" w:type="dxa"/>
            </w:tcMar>
            <w:vAlign w:val="center"/>
            <w:hideMark/>
          </w:tcPr>
          <w:p w14:paraId="0221DC8D"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0" w:type="auto"/>
            <w:shd w:val="clear" w:color="auto" w:fill="EDEFF1"/>
            <w:tcMar>
              <w:top w:w="60" w:type="dxa"/>
              <w:left w:w="60" w:type="dxa"/>
              <w:bottom w:w="60" w:type="dxa"/>
              <w:right w:w="60" w:type="dxa"/>
            </w:tcMar>
            <w:vAlign w:val="center"/>
            <w:hideMark/>
          </w:tcPr>
          <w:p w14:paraId="6816CE7C"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Location</w:t>
            </w:r>
          </w:p>
        </w:tc>
        <w:tc>
          <w:tcPr>
            <w:tcW w:w="3953" w:type="dxa"/>
            <w:shd w:val="clear" w:color="auto" w:fill="EDEFF1"/>
            <w:tcMar>
              <w:top w:w="60" w:type="dxa"/>
              <w:left w:w="60" w:type="dxa"/>
              <w:bottom w:w="60" w:type="dxa"/>
              <w:right w:w="60" w:type="dxa"/>
            </w:tcMar>
            <w:vAlign w:val="center"/>
            <w:hideMark/>
          </w:tcPr>
          <w:p w14:paraId="4DFC4CE8"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1979" w:type="dxa"/>
            <w:shd w:val="clear" w:color="auto" w:fill="EDEFF1"/>
            <w:tcMar>
              <w:top w:w="60" w:type="dxa"/>
              <w:left w:w="60" w:type="dxa"/>
              <w:bottom w:w="60" w:type="dxa"/>
              <w:right w:w="60" w:type="dxa"/>
            </w:tcMar>
            <w:vAlign w:val="center"/>
            <w:hideMark/>
          </w:tcPr>
          <w:p w14:paraId="631F334D"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r>
      <w:tr w:rsidR="00505244" w:rsidRPr="00505244" w14:paraId="79A95B25" w14:textId="77777777" w:rsidTr="00505244">
        <w:tc>
          <w:tcPr>
            <w:tcW w:w="0" w:type="auto"/>
            <w:shd w:val="clear" w:color="auto" w:fill="F8F8F9"/>
            <w:tcMar>
              <w:top w:w="60" w:type="dxa"/>
              <w:left w:w="60" w:type="dxa"/>
              <w:bottom w:w="60" w:type="dxa"/>
              <w:right w:w="60" w:type="dxa"/>
            </w:tcMar>
            <w:vAlign w:val="center"/>
            <w:hideMark/>
          </w:tcPr>
          <w:p w14:paraId="7C5B6E2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2"/>
            <w:tcBorders>
              <w:bottom w:val="single" w:sz="6" w:space="0" w:color="949A9C"/>
            </w:tcBorders>
            <w:tcMar>
              <w:top w:w="60" w:type="dxa"/>
              <w:left w:w="60" w:type="dxa"/>
              <w:bottom w:w="60" w:type="dxa"/>
              <w:right w:w="60" w:type="dxa"/>
            </w:tcMar>
            <w:vAlign w:val="center"/>
            <w:hideMark/>
          </w:tcPr>
          <w:p w14:paraId="5A9E13C1"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FFFFFF"/>
                <w:sz w:val="21"/>
                <w:szCs w:val="21"/>
                <w:shd w:val="clear" w:color="auto" w:fill="CC0000"/>
              </w:rPr>
              <w:t>H</w:t>
            </w:r>
            <w:r w:rsidRPr="00505244">
              <w:rPr>
                <w:rFonts w:ascii="Arial" w:eastAsia="Times New Roman" w:hAnsi="Arial" w:cs="Arial"/>
                <w:b/>
                <w:bCs/>
                <w:color w:val="000000"/>
                <w:sz w:val="21"/>
                <w:szCs w:val="21"/>
              </w:rPr>
              <w:t> </w:t>
            </w:r>
            <w:hyperlink r:id="rId91" w:history="1">
              <w:r w:rsidRPr="00505244">
                <w:rPr>
                  <w:rFonts w:ascii="Arial" w:eastAsia="Times New Roman" w:hAnsi="Arial" w:cs="Arial"/>
                  <w:b/>
                  <w:bCs/>
                  <w:color w:val="3A4E72"/>
                  <w:sz w:val="21"/>
                  <w:szCs w:val="21"/>
                </w:rPr>
                <w:t>SESSION</w:t>
              </w:r>
            </w:hyperlink>
          </w:p>
        </w:tc>
        <w:tc>
          <w:tcPr>
            <w:tcW w:w="6802" w:type="dxa"/>
            <w:tcBorders>
              <w:bottom w:val="single" w:sz="6" w:space="0" w:color="949A9C"/>
            </w:tcBorders>
            <w:noWrap/>
            <w:tcMar>
              <w:top w:w="60" w:type="dxa"/>
              <w:left w:w="60" w:type="dxa"/>
              <w:bottom w:w="60" w:type="dxa"/>
              <w:right w:w="60" w:type="dxa"/>
            </w:tcMar>
            <w:vAlign w:val="center"/>
            <w:hideMark/>
          </w:tcPr>
          <w:p w14:paraId="7D68AC80"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 </w:t>
            </w:r>
          </w:p>
        </w:tc>
        <w:tc>
          <w:tcPr>
            <w:tcW w:w="0" w:type="auto"/>
            <w:tcBorders>
              <w:bottom w:val="single" w:sz="6" w:space="0" w:color="949A9C"/>
            </w:tcBorders>
            <w:tcMar>
              <w:top w:w="60" w:type="dxa"/>
              <w:left w:w="60" w:type="dxa"/>
              <w:bottom w:w="60" w:type="dxa"/>
              <w:right w:w="60" w:type="dxa"/>
            </w:tcMar>
            <w:vAlign w:val="center"/>
            <w:hideMark/>
          </w:tcPr>
          <w:p w14:paraId="33AE9F17"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10:00AM-N/A</w:t>
            </w:r>
          </w:p>
        </w:tc>
        <w:tc>
          <w:tcPr>
            <w:tcW w:w="0" w:type="auto"/>
            <w:tcBorders>
              <w:bottom w:val="single" w:sz="6" w:space="0" w:color="949A9C"/>
            </w:tcBorders>
            <w:tcMar>
              <w:top w:w="60" w:type="dxa"/>
              <w:left w:w="60" w:type="dxa"/>
              <w:bottom w:w="60" w:type="dxa"/>
              <w:right w:w="60" w:type="dxa"/>
            </w:tcMar>
            <w:vAlign w:val="center"/>
            <w:hideMark/>
          </w:tcPr>
          <w:p w14:paraId="4D1A011C"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p>
        </w:tc>
      </w:tr>
      <w:tr w:rsidR="00505244" w:rsidRPr="00505244" w14:paraId="3D2E0489" w14:textId="77777777" w:rsidTr="00505244">
        <w:tc>
          <w:tcPr>
            <w:tcW w:w="0" w:type="auto"/>
            <w:shd w:val="clear" w:color="auto" w:fill="F8F8F9"/>
            <w:tcMar>
              <w:top w:w="60" w:type="dxa"/>
              <w:left w:w="60" w:type="dxa"/>
              <w:bottom w:w="60" w:type="dxa"/>
              <w:right w:w="60" w:type="dxa"/>
            </w:tcMar>
            <w:vAlign w:val="center"/>
            <w:hideMark/>
          </w:tcPr>
          <w:p w14:paraId="711AA1AF" w14:textId="77777777" w:rsidR="00505244" w:rsidRPr="00505244" w:rsidRDefault="00505244" w:rsidP="00505244">
            <w:pPr>
              <w:spacing w:after="0" w:line="240" w:lineRule="auto"/>
              <w:jc w:val="right"/>
              <w:rPr>
                <w:rFonts w:ascii="Times New Roman" w:eastAsia="Times New Roman" w:hAnsi="Times New Roman" w:cs="Times New Roman"/>
                <w:sz w:val="20"/>
                <w:szCs w:val="20"/>
              </w:rPr>
            </w:pPr>
          </w:p>
        </w:tc>
        <w:tc>
          <w:tcPr>
            <w:tcW w:w="0" w:type="auto"/>
            <w:gridSpan w:val="5"/>
            <w:tcMar>
              <w:top w:w="60" w:type="dxa"/>
              <w:left w:w="60" w:type="dxa"/>
              <w:bottom w:w="60" w:type="dxa"/>
              <w:right w:w="60" w:type="dxa"/>
            </w:tcMar>
            <w:vAlign w:val="center"/>
            <w:hideMark/>
          </w:tcPr>
          <w:p w14:paraId="25B9B189"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Third Reading:</w:t>
            </w:r>
            <w:r w:rsidRPr="00505244">
              <w:rPr>
                <w:rFonts w:ascii="Arial" w:eastAsia="Times New Roman" w:hAnsi="Arial" w:cs="Arial"/>
                <w:color w:val="3C3D3F"/>
                <w:sz w:val="19"/>
                <w:szCs w:val="19"/>
              </w:rPr>
              <w:br/>
              <w:t>Main Amendment Filing Deadline: Tuesday, April 20, 2021 9:00 AM</w:t>
            </w:r>
            <w:r w:rsidRPr="00505244">
              <w:rPr>
                <w:rFonts w:ascii="Arial" w:eastAsia="Times New Roman" w:hAnsi="Arial" w:cs="Arial"/>
                <w:color w:val="3C3D3F"/>
                <w:sz w:val="19"/>
                <w:szCs w:val="19"/>
              </w:rPr>
              <w:br/>
              <w:t>Adhering Amendment Filing Deadline: Tuesday, April 20, 2021 9:00 AM</w:t>
            </w:r>
          </w:p>
          <w:p w14:paraId="5FDC8B17"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r w:rsidRPr="00505244">
              <w:rPr>
                <w:rFonts w:ascii="Arial" w:eastAsia="Times New Roman" w:hAnsi="Arial" w:cs="Arial"/>
                <w:color w:val="3C3D3F"/>
                <w:sz w:val="19"/>
                <w:szCs w:val="19"/>
              </w:rPr>
              <w:t>Special Order:</w:t>
            </w:r>
            <w:r w:rsidRPr="00505244">
              <w:rPr>
                <w:rFonts w:ascii="Arial" w:eastAsia="Times New Roman" w:hAnsi="Arial" w:cs="Arial"/>
                <w:color w:val="3C3D3F"/>
                <w:sz w:val="19"/>
                <w:szCs w:val="19"/>
              </w:rPr>
              <w:br/>
              <w:t>Main Amendment Filing Deadline: Friday, April 16, 2021 4:00 PM</w:t>
            </w:r>
            <w:r w:rsidRPr="00505244">
              <w:rPr>
                <w:rFonts w:ascii="Arial" w:eastAsia="Times New Roman" w:hAnsi="Arial" w:cs="Arial"/>
                <w:color w:val="3C3D3F"/>
                <w:sz w:val="19"/>
                <w:szCs w:val="19"/>
              </w:rPr>
              <w:br/>
              <w:t>Adhering Amendment Filing Deadline: Friday, April 16, 2021 7:00 PM</w:t>
            </w:r>
          </w:p>
          <w:p w14:paraId="2AD0E5A5"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hyperlink r:id="rId92" w:tgtFrame="_blank" w:history="1">
              <w:r w:rsidRPr="00505244">
                <w:rPr>
                  <w:rFonts w:ascii="Arial" w:eastAsia="Times New Roman" w:hAnsi="Arial" w:cs="Arial"/>
                  <w:color w:val="3A4E72"/>
                  <w:sz w:val="19"/>
                  <w:szCs w:val="19"/>
                  <w:u w:val="single"/>
                </w:rPr>
                <w:t>Follow along with floor activity via LobbyTools' Session Live</w:t>
              </w:r>
            </w:hyperlink>
          </w:p>
          <w:p w14:paraId="2B06C12F"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hyperlink r:id="rId93" w:tgtFrame="_blank" w:history="1">
              <w:r w:rsidRPr="00505244">
                <w:rPr>
                  <w:rFonts w:ascii="Arial" w:eastAsia="Times New Roman" w:hAnsi="Arial" w:cs="Arial"/>
                  <w:color w:val="3A4E72"/>
                  <w:sz w:val="19"/>
                  <w:szCs w:val="19"/>
                  <w:u w:val="single"/>
                </w:rPr>
                <w:t>Special Debate Procedures</w:t>
              </w:r>
            </w:hyperlink>
          </w:p>
        </w:tc>
      </w:tr>
      <w:tr w:rsidR="00505244" w:rsidRPr="00505244" w14:paraId="78DF0C44" w14:textId="77777777" w:rsidTr="00505244">
        <w:tc>
          <w:tcPr>
            <w:tcW w:w="0" w:type="auto"/>
            <w:shd w:val="clear" w:color="auto" w:fill="F8F8F9"/>
            <w:tcMar>
              <w:top w:w="60" w:type="dxa"/>
              <w:left w:w="60" w:type="dxa"/>
              <w:bottom w:w="60" w:type="dxa"/>
              <w:right w:w="60" w:type="dxa"/>
            </w:tcMar>
            <w:vAlign w:val="center"/>
            <w:hideMark/>
          </w:tcPr>
          <w:p w14:paraId="2970DB28"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lastRenderedPageBreak/>
              <w:t> </w:t>
            </w:r>
          </w:p>
        </w:tc>
        <w:tc>
          <w:tcPr>
            <w:tcW w:w="0" w:type="auto"/>
            <w:gridSpan w:val="5"/>
            <w:shd w:val="clear" w:color="auto" w:fill="EDEFF1"/>
            <w:tcMar>
              <w:top w:w="60" w:type="dxa"/>
              <w:left w:w="60" w:type="dxa"/>
              <w:bottom w:w="60" w:type="dxa"/>
              <w:right w:w="60" w:type="dxa"/>
            </w:tcMar>
            <w:vAlign w:val="center"/>
            <w:hideMark/>
          </w:tcPr>
          <w:p w14:paraId="699449C5"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Special Orders</w:t>
            </w:r>
          </w:p>
        </w:tc>
      </w:tr>
      <w:tr w:rsidR="00505244" w:rsidRPr="00505244" w14:paraId="153D73EC" w14:textId="77777777" w:rsidTr="00505244">
        <w:tc>
          <w:tcPr>
            <w:tcW w:w="0" w:type="auto"/>
            <w:shd w:val="clear" w:color="auto" w:fill="F8F8F9"/>
            <w:tcMar>
              <w:top w:w="60" w:type="dxa"/>
              <w:left w:w="60" w:type="dxa"/>
              <w:bottom w:w="60" w:type="dxa"/>
              <w:right w:w="60" w:type="dxa"/>
            </w:tcMar>
            <w:vAlign w:val="center"/>
            <w:hideMark/>
          </w:tcPr>
          <w:p w14:paraId="1FE676A7" w14:textId="77777777" w:rsidR="00505244" w:rsidRPr="00505244" w:rsidRDefault="00505244" w:rsidP="00505244">
            <w:pPr>
              <w:spacing w:after="0" w:line="240" w:lineRule="auto"/>
              <w:rPr>
                <w:rFonts w:ascii="Arial" w:eastAsia="Times New Roman" w:hAnsi="Arial" w:cs="Arial"/>
                <w:b/>
                <w:bCs/>
                <w:color w:val="3C3D3F"/>
                <w:sz w:val="21"/>
                <w:szCs w:val="21"/>
              </w:rPr>
            </w:pPr>
          </w:p>
        </w:tc>
        <w:tc>
          <w:tcPr>
            <w:tcW w:w="0" w:type="auto"/>
            <w:tcMar>
              <w:top w:w="105" w:type="dxa"/>
              <w:left w:w="60" w:type="dxa"/>
              <w:bottom w:w="60" w:type="dxa"/>
              <w:right w:w="60" w:type="dxa"/>
            </w:tcMar>
            <w:vAlign w:val="center"/>
            <w:hideMark/>
          </w:tcPr>
          <w:p w14:paraId="6762B883" w14:textId="5A7FAC81"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94" w:history="1">
              <w:r w:rsidRPr="00505244">
                <w:rPr>
                  <w:rFonts w:ascii="Arial" w:eastAsia="Times New Roman" w:hAnsi="Arial" w:cs="Arial"/>
                  <w:color w:val="3A4E72"/>
                  <w:sz w:val="21"/>
                  <w:szCs w:val="21"/>
                </w:rPr>
                <w:t>HB 1579</w:t>
              </w:r>
            </w:hyperlink>
            <w:r w:rsidRPr="00505244">
              <w:rPr>
                <w:rFonts w:ascii="Arial" w:eastAsia="Times New Roman" w:hAnsi="Arial" w:cs="Arial"/>
                <w:noProof/>
                <w:color w:val="3C3D3F"/>
                <w:sz w:val="21"/>
                <w:szCs w:val="21"/>
              </w:rPr>
              <w:drawing>
                <wp:inline distT="0" distB="0" distL="0" distR="0" wp14:anchorId="255814A9" wp14:editId="5E9D7ADF">
                  <wp:extent cx="228600" cy="228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514D5D3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Health Care Practitioner Discipline</w:t>
            </w:r>
          </w:p>
        </w:tc>
        <w:tc>
          <w:tcPr>
            <w:tcW w:w="0" w:type="auto"/>
            <w:gridSpan w:val="3"/>
            <w:tcMar>
              <w:top w:w="105" w:type="dxa"/>
              <w:left w:w="60" w:type="dxa"/>
              <w:bottom w:w="60" w:type="dxa"/>
              <w:right w:w="60" w:type="dxa"/>
            </w:tcMar>
            <w:vAlign w:val="center"/>
            <w:hideMark/>
          </w:tcPr>
          <w:p w14:paraId="1FFF03B2" w14:textId="77777777" w:rsidR="00505244" w:rsidRPr="00505244" w:rsidRDefault="00505244" w:rsidP="00505244">
            <w:pPr>
              <w:spacing w:after="0" w:line="240" w:lineRule="auto"/>
              <w:rPr>
                <w:rFonts w:ascii="Arial" w:eastAsia="Times New Roman" w:hAnsi="Arial" w:cs="Arial"/>
                <w:color w:val="3C3D3F"/>
                <w:sz w:val="21"/>
                <w:szCs w:val="21"/>
              </w:rPr>
            </w:pPr>
            <w:hyperlink r:id="rId95" w:history="1">
              <w:proofErr w:type="spellStart"/>
              <w:r w:rsidRPr="00505244">
                <w:rPr>
                  <w:rFonts w:ascii="Arial" w:eastAsia="Times New Roman" w:hAnsi="Arial" w:cs="Arial"/>
                  <w:color w:val="3A4E72"/>
                  <w:sz w:val="21"/>
                  <w:szCs w:val="21"/>
                </w:rPr>
                <w:t>Aloupis</w:t>
              </w:r>
              <w:proofErr w:type="spellEnd"/>
              <w:r w:rsidRPr="00505244">
                <w:rPr>
                  <w:rFonts w:ascii="Arial" w:eastAsia="Times New Roman" w:hAnsi="Arial" w:cs="Arial"/>
                  <w:color w:val="3A4E72"/>
                  <w:sz w:val="21"/>
                  <w:szCs w:val="21"/>
                </w:rPr>
                <w:t>, Jr.</w:t>
              </w:r>
            </w:hyperlink>
            <w:r w:rsidRPr="00505244">
              <w:rPr>
                <w:rFonts w:ascii="Arial" w:eastAsia="Times New Roman" w:hAnsi="Arial" w:cs="Arial"/>
                <w:color w:val="3C3D3F"/>
                <w:sz w:val="21"/>
                <w:szCs w:val="21"/>
              </w:rPr>
              <w:t>  </w:t>
            </w:r>
          </w:p>
        </w:tc>
      </w:tr>
      <w:tr w:rsidR="00505244" w:rsidRPr="00505244" w14:paraId="1A4F36BD" w14:textId="77777777" w:rsidTr="00505244">
        <w:tc>
          <w:tcPr>
            <w:tcW w:w="0" w:type="auto"/>
            <w:shd w:val="clear" w:color="auto" w:fill="F8F8F9"/>
            <w:tcMar>
              <w:top w:w="60" w:type="dxa"/>
              <w:left w:w="60" w:type="dxa"/>
              <w:bottom w:w="60" w:type="dxa"/>
              <w:right w:w="60" w:type="dxa"/>
            </w:tcMar>
            <w:vAlign w:val="center"/>
            <w:hideMark/>
          </w:tcPr>
          <w:p w14:paraId="7194D74F"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614E2D7"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Health Care Practitioner Discipline: Subjects health care practitioners to disciplinary action for specified offenses; revises provisions relating to immediate suspension of licensure to apply to all health care practitioners; requires DOH to issue emergency orders to suspend health care practitioner's license if he or she pleads guilty to, is convicted or found guilty of, or enters plea of nolo contendere to, regardless of adjudication, felony relating to homicide or is arrested for committing or attempting, soliciting, or conspiring to commit acts that would constitute violations of specified criminal offenses. Effective Date: July 1, 2021</w:t>
            </w:r>
          </w:p>
        </w:tc>
      </w:tr>
      <w:tr w:rsidR="00505244" w:rsidRPr="00505244" w14:paraId="4A1F8998" w14:textId="77777777" w:rsidTr="00505244">
        <w:tc>
          <w:tcPr>
            <w:tcW w:w="0" w:type="auto"/>
            <w:shd w:val="clear" w:color="auto" w:fill="F8F8F9"/>
            <w:tcMar>
              <w:top w:w="60" w:type="dxa"/>
              <w:left w:w="60" w:type="dxa"/>
              <w:bottom w:w="60" w:type="dxa"/>
              <w:right w:w="60" w:type="dxa"/>
            </w:tcMar>
            <w:vAlign w:val="center"/>
            <w:hideMark/>
          </w:tcPr>
          <w:p w14:paraId="6BF3A209"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7C9C2801" w14:textId="2B8151B4"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96" w:history="1">
              <w:r w:rsidRPr="00505244">
                <w:rPr>
                  <w:rFonts w:ascii="Arial" w:eastAsia="Times New Roman" w:hAnsi="Arial" w:cs="Arial"/>
                  <w:color w:val="3A4E72"/>
                  <w:sz w:val="21"/>
                  <w:szCs w:val="21"/>
                </w:rPr>
                <w:t>HB 1551</w:t>
              </w:r>
            </w:hyperlink>
            <w:r w:rsidRPr="00505244">
              <w:rPr>
                <w:rFonts w:ascii="Arial" w:eastAsia="Times New Roman" w:hAnsi="Arial" w:cs="Arial"/>
                <w:noProof/>
                <w:color w:val="3C3D3F"/>
                <w:sz w:val="21"/>
                <w:szCs w:val="21"/>
              </w:rPr>
              <w:drawing>
                <wp:inline distT="0" distB="0" distL="0" distR="0" wp14:anchorId="3F1D5283" wp14:editId="2F109DC5">
                  <wp:extent cx="228600" cy="2286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DB7AE92"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Medication Technicians</w:t>
            </w:r>
          </w:p>
        </w:tc>
        <w:tc>
          <w:tcPr>
            <w:tcW w:w="0" w:type="auto"/>
            <w:gridSpan w:val="3"/>
            <w:tcMar>
              <w:top w:w="105" w:type="dxa"/>
              <w:left w:w="60" w:type="dxa"/>
              <w:bottom w:w="60" w:type="dxa"/>
              <w:right w:w="60" w:type="dxa"/>
            </w:tcMar>
            <w:vAlign w:val="center"/>
            <w:hideMark/>
          </w:tcPr>
          <w:p w14:paraId="5AB0C26C" w14:textId="77777777" w:rsidR="00505244" w:rsidRPr="00505244" w:rsidRDefault="00505244" w:rsidP="00505244">
            <w:pPr>
              <w:spacing w:after="0" w:line="240" w:lineRule="auto"/>
              <w:rPr>
                <w:rFonts w:ascii="Arial" w:eastAsia="Times New Roman" w:hAnsi="Arial" w:cs="Arial"/>
                <w:color w:val="3C3D3F"/>
                <w:sz w:val="21"/>
                <w:szCs w:val="21"/>
              </w:rPr>
            </w:pPr>
            <w:hyperlink r:id="rId97" w:history="1">
              <w:r w:rsidRPr="00505244">
                <w:rPr>
                  <w:rFonts w:ascii="Arial" w:eastAsia="Times New Roman" w:hAnsi="Arial" w:cs="Arial"/>
                  <w:color w:val="3A4E72"/>
                  <w:sz w:val="21"/>
                  <w:szCs w:val="21"/>
                </w:rPr>
                <w:t>Buchanan</w:t>
              </w:r>
            </w:hyperlink>
            <w:r w:rsidRPr="00505244">
              <w:rPr>
                <w:rFonts w:ascii="Arial" w:eastAsia="Times New Roman" w:hAnsi="Arial" w:cs="Arial"/>
                <w:color w:val="3C3D3F"/>
                <w:sz w:val="21"/>
                <w:szCs w:val="21"/>
              </w:rPr>
              <w:t>  </w:t>
            </w:r>
          </w:p>
        </w:tc>
      </w:tr>
      <w:tr w:rsidR="00505244" w:rsidRPr="00505244" w14:paraId="72C9E49C" w14:textId="77777777" w:rsidTr="00505244">
        <w:tc>
          <w:tcPr>
            <w:tcW w:w="0" w:type="auto"/>
            <w:shd w:val="clear" w:color="auto" w:fill="F8F8F9"/>
            <w:tcMar>
              <w:top w:w="60" w:type="dxa"/>
              <w:left w:w="60" w:type="dxa"/>
              <w:bottom w:w="60" w:type="dxa"/>
              <w:right w:w="60" w:type="dxa"/>
            </w:tcMar>
            <w:vAlign w:val="center"/>
            <w:hideMark/>
          </w:tcPr>
          <w:p w14:paraId="36EE565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0727A47"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Medication Technicians: Provides minimum requirements &amp; specifications for training of medication technicians. Effective Date: July 1, 2021</w:t>
            </w:r>
          </w:p>
        </w:tc>
      </w:tr>
      <w:tr w:rsidR="00505244" w:rsidRPr="00505244" w14:paraId="528E7B5C" w14:textId="77777777" w:rsidTr="00505244">
        <w:tc>
          <w:tcPr>
            <w:tcW w:w="0" w:type="auto"/>
            <w:shd w:val="clear" w:color="auto" w:fill="F8F8F9"/>
            <w:tcMar>
              <w:top w:w="60" w:type="dxa"/>
              <w:left w:w="60" w:type="dxa"/>
              <w:bottom w:w="60" w:type="dxa"/>
              <w:right w:w="60" w:type="dxa"/>
            </w:tcMar>
            <w:vAlign w:val="center"/>
            <w:hideMark/>
          </w:tcPr>
          <w:p w14:paraId="4654276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577DE67" w14:textId="630A10BB"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98" w:history="1">
              <w:r w:rsidRPr="00505244">
                <w:rPr>
                  <w:rFonts w:ascii="Arial" w:eastAsia="Times New Roman" w:hAnsi="Arial" w:cs="Arial"/>
                  <w:color w:val="3A4E72"/>
                  <w:sz w:val="21"/>
                  <w:szCs w:val="21"/>
                </w:rPr>
                <w:t>HB 1447</w:t>
              </w:r>
            </w:hyperlink>
            <w:r w:rsidRPr="00505244">
              <w:rPr>
                <w:rFonts w:ascii="Arial" w:eastAsia="Times New Roman" w:hAnsi="Arial" w:cs="Arial"/>
                <w:noProof/>
                <w:color w:val="3C3D3F"/>
                <w:sz w:val="21"/>
                <w:szCs w:val="21"/>
              </w:rPr>
              <w:drawing>
                <wp:inline distT="0" distB="0" distL="0" distR="0" wp14:anchorId="62F3517E" wp14:editId="616B0E22">
                  <wp:extent cx="2286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29BDC4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Commission on Mental Health and Substance Abuse</w:t>
            </w:r>
          </w:p>
        </w:tc>
        <w:tc>
          <w:tcPr>
            <w:tcW w:w="0" w:type="auto"/>
            <w:gridSpan w:val="3"/>
            <w:tcMar>
              <w:top w:w="105" w:type="dxa"/>
              <w:left w:w="60" w:type="dxa"/>
              <w:bottom w:w="60" w:type="dxa"/>
              <w:right w:w="60" w:type="dxa"/>
            </w:tcMar>
            <w:vAlign w:val="center"/>
            <w:hideMark/>
          </w:tcPr>
          <w:p w14:paraId="305F495E" w14:textId="77777777" w:rsidR="00505244" w:rsidRPr="00505244" w:rsidRDefault="00505244" w:rsidP="00505244">
            <w:pPr>
              <w:spacing w:after="0" w:line="240" w:lineRule="auto"/>
              <w:rPr>
                <w:rFonts w:ascii="Arial" w:eastAsia="Times New Roman" w:hAnsi="Arial" w:cs="Arial"/>
                <w:color w:val="3C3D3F"/>
                <w:sz w:val="21"/>
                <w:szCs w:val="21"/>
              </w:rPr>
            </w:pPr>
            <w:hyperlink r:id="rId99" w:history="1">
              <w:proofErr w:type="spellStart"/>
              <w:r w:rsidRPr="00505244">
                <w:rPr>
                  <w:rFonts w:ascii="Arial" w:eastAsia="Times New Roman" w:hAnsi="Arial" w:cs="Arial"/>
                  <w:color w:val="3A4E72"/>
                  <w:sz w:val="21"/>
                  <w:szCs w:val="21"/>
                </w:rPr>
                <w:t>Hunschofsky</w:t>
              </w:r>
              <w:proofErr w:type="spellEnd"/>
            </w:hyperlink>
            <w:r w:rsidRPr="00505244">
              <w:rPr>
                <w:rFonts w:ascii="Arial" w:eastAsia="Times New Roman" w:hAnsi="Arial" w:cs="Arial"/>
                <w:color w:val="3C3D3F"/>
                <w:sz w:val="21"/>
                <w:szCs w:val="21"/>
              </w:rPr>
              <w:t>  </w:t>
            </w:r>
          </w:p>
        </w:tc>
      </w:tr>
      <w:tr w:rsidR="00505244" w:rsidRPr="00505244" w14:paraId="5DA9CA35" w14:textId="77777777" w:rsidTr="00505244">
        <w:tc>
          <w:tcPr>
            <w:tcW w:w="0" w:type="auto"/>
            <w:shd w:val="clear" w:color="auto" w:fill="F8F8F9"/>
            <w:tcMar>
              <w:top w:w="60" w:type="dxa"/>
              <w:left w:w="60" w:type="dxa"/>
              <w:bottom w:w="60" w:type="dxa"/>
              <w:right w:w="60" w:type="dxa"/>
            </w:tcMar>
            <w:vAlign w:val="center"/>
            <w:hideMark/>
          </w:tcPr>
          <w:p w14:paraId="3F1F4B98"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EA3D186"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Commission on Mental Health and Substance Abuse: Creates Commission on Mental Health &amp; Substance Abuse; requires DCF to provide administrative &amp; staff support services; provides purposes; provides for membership, term limits, meetings, &amp; duties of commission; requires commission to submit reports of its findings &amp; recommendations to Legislature &amp; Governor; provides for future repeal unless saved by Legislature through reenactment. Effective Date: upon becoming a law</w:t>
            </w:r>
          </w:p>
        </w:tc>
      </w:tr>
      <w:tr w:rsidR="00505244" w:rsidRPr="00505244" w14:paraId="75F17BBE" w14:textId="77777777" w:rsidTr="00505244">
        <w:tc>
          <w:tcPr>
            <w:tcW w:w="0" w:type="auto"/>
            <w:shd w:val="clear" w:color="auto" w:fill="F8F8F9"/>
            <w:tcMar>
              <w:top w:w="60" w:type="dxa"/>
              <w:left w:w="60" w:type="dxa"/>
              <w:bottom w:w="60" w:type="dxa"/>
              <w:right w:w="60" w:type="dxa"/>
            </w:tcMar>
            <w:vAlign w:val="center"/>
            <w:hideMark/>
          </w:tcPr>
          <w:p w14:paraId="55BF4CDD"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6F48C8F" w14:textId="7FA6C090"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00" w:history="1">
              <w:r w:rsidRPr="00505244">
                <w:rPr>
                  <w:rFonts w:ascii="Arial" w:eastAsia="Times New Roman" w:hAnsi="Arial" w:cs="Arial"/>
                  <w:color w:val="3A4E72"/>
                  <w:sz w:val="21"/>
                  <w:szCs w:val="21"/>
                </w:rPr>
                <w:t>HB 1381</w:t>
              </w:r>
            </w:hyperlink>
            <w:r w:rsidRPr="00505244">
              <w:rPr>
                <w:rFonts w:ascii="Arial" w:eastAsia="Times New Roman" w:hAnsi="Arial" w:cs="Arial"/>
                <w:noProof/>
                <w:color w:val="3C3D3F"/>
                <w:sz w:val="21"/>
                <w:szCs w:val="21"/>
              </w:rPr>
              <w:drawing>
                <wp:inline distT="0" distB="0" distL="0" distR="0" wp14:anchorId="2B8A29D0" wp14:editId="47541497">
                  <wp:extent cx="228600" cy="228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EC10E5D"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Maternal Health Outcomes</w:t>
            </w:r>
          </w:p>
        </w:tc>
        <w:tc>
          <w:tcPr>
            <w:tcW w:w="0" w:type="auto"/>
            <w:gridSpan w:val="3"/>
            <w:tcMar>
              <w:top w:w="105" w:type="dxa"/>
              <w:left w:w="60" w:type="dxa"/>
              <w:bottom w:w="60" w:type="dxa"/>
              <w:right w:w="60" w:type="dxa"/>
            </w:tcMar>
            <w:vAlign w:val="center"/>
            <w:hideMark/>
          </w:tcPr>
          <w:p w14:paraId="1F50B30B" w14:textId="77777777" w:rsidR="00505244" w:rsidRPr="00505244" w:rsidRDefault="00505244" w:rsidP="00505244">
            <w:pPr>
              <w:spacing w:after="0" w:line="240" w:lineRule="auto"/>
              <w:rPr>
                <w:rFonts w:ascii="Arial" w:eastAsia="Times New Roman" w:hAnsi="Arial" w:cs="Arial"/>
                <w:color w:val="3C3D3F"/>
                <w:sz w:val="21"/>
                <w:szCs w:val="21"/>
              </w:rPr>
            </w:pPr>
            <w:hyperlink r:id="rId101" w:history="1">
              <w:r w:rsidRPr="00505244">
                <w:rPr>
                  <w:rFonts w:ascii="Arial" w:eastAsia="Times New Roman" w:hAnsi="Arial" w:cs="Arial"/>
                  <w:color w:val="3A4E72"/>
                  <w:sz w:val="21"/>
                  <w:szCs w:val="21"/>
                </w:rPr>
                <w:t>Brown</w:t>
              </w:r>
            </w:hyperlink>
            <w:r w:rsidRPr="00505244">
              <w:rPr>
                <w:rFonts w:ascii="Arial" w:eastAsia="Times New Roman" w:hAnsi="Arial" w:cs="Arial"/>
                <w:color w:val="3C3D3F"/>
                <w:sz w:val="21"/>
                <w:szCs w:val="21"/>
              </w:rPr>
              <w:t>  </w:t>
            </w:r>
          </w:p>
        </w:tc>
      </w:tr>
      <w:tr w:rsidR="00505244" w:rsidRPr="00505244" w14:paraId="17856F84" w14:textId="77777777" w:rsidTr="00505244">
        <w:tc>
          <w:tcPr>
            <w:tcW w:w="0" w:type="auto"/>
            <w:shd w:val="clear" w:color="auto" w:fill="F8F8F9"/>
            <w:tcMar>
              <w:top w:w="60" w:type="dxa"/>
              <w:left w:w="60" w:type="dxa"/>
              <w:bottom w:w="60" w:type="dxa"/>
              <w:right w:w="60" w:type="dxa"/>
            </w:tcMar>
            <w:vAlign w:val="center"/>
            <w:hideMark/>
          </w:tcPr>
          <w:p w14:paraId="4C25248E"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7F8313B"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Maternal Health Outcomes: Revises DOH's duties under Closing the Gap grant program; revises requirements for Closing the Gap grant proposals; requires DOH to establish telehealth minority maternity care pilot programs in specified counties by specified date; provides for funding of pilot programs. Effective Date: July 1, 2021</w:t>
            </w:r>
          </w:p>
        </w:tc>
      </w:tr>
      <w:tr w:rsidR="00505244" w:rsidRPr="00505244" w14:paraId="0F8FC73E" w14:textId="77777777" w:rsidTr="00505244">
        <w:tc>
          <w:tcPr>
            <w:tcW w:w="0" w:type="auto"/>
            <w:shd w:val="clear" w:color="auto" w:fill="F8F8F9"/>
            <w:tcMar>
              <w:top w:w="60" w:type="dxa"/>
              <w:left w:w="60" w:type="dxa"/>
              <w:bottom w:w="60" w:type="dxa"/>
              <w:right w:w="60" w:type="dxa"/>
            </w:tcMar>
            <w:vAlign w:val="center"/>
            <w:hideMark/>
          </w:tcPr>
          <w:p w14:paraId="7513CE9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3E8E361" w14:textId="1BA860F2"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02" w:history="1">
              <w:r w:rsidRPr="00505244">
                <w:rPr>
                  <w:rFonts w:ascii="Arial" w:eastAsia="Times New Roman" w:hAnsi="Arial" w:cs="Arial"/>
                  <w:color w:val="3A4E72"/>
                  <w:sz w:val="21"/>
                  <w:szCs w:val="21"/>
                </w:rPr>
                <w:t>HB 1209</w:t>
              </w:r>
            </w:hyperlink>
            <w:r w:rsidRPr="00505244">
              <w:rPr>
                <w:rFonts w:ascii="Arial" w:eastAsia="Times New Roman" w:hAnsi="Arial" w:cs="Arial"/>
                <w:noProof/>
                <w:color w:val="3C3D3F"/>
                <w:sz w:val="21"/>
                <w:szCs w:val="21"/>
              </w:rPr>
              <w:drawing>
                <wp:inline distT="0" distB="0" distL="0" distR="0" wp14:anchorId="6E72DEA3" wp14:editId="6284CC8E">
                  <wp:extent cx="228600" cy="22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867AB05"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Financial Services</w:t>
            </w:r>
          </w:p>
        </w:tc>
        <w:tc>
          <w:tcPr>
            <w:tcW w:w="0" w:type="auto"/>
            <w:gridSpan w:val="3"/>
            <w:tcMar>
              <w:top w:w="105" w:type="dxa"/>
              <w:left w:w="60" w:type="dxa"/>
              <w:bottom w:w="60" w:type="dxa"/>
              <w:right w:w="60" w:type="dxa"/>
            </w:tcMar>
            <w:vAlign w:val="center"/>
            <w:hideMark/>
          </w:tcPr>
          <w:p w14:paraId="6C18D427" w14:textId="77777777" w:rsidR="00505244" w:rsidRPr="00505244" w:rsidRDefault="00505244" w:rsidP="00505244">
            <w:pPr>
              <w:spacing w:after="0" w:line="240" w:lineRule="auto"/>
              <w:rPr>
                <w:rFonts w:ascii="Arial" w:eastAsia="Times New Roman" w:hAnsi="Arial" w:cs="Arial"/>
                <w:color w:val="3C3D3F"/>
                <w:sz w:val="21"/>
                <w:szCs w:val="21"/>
              </w:rPr>
            </w:pPr>
            <w:hyperlink r:id="rId103" w:history="1">
              <w:proofErr w:type="spellStart"/>
              <w:r w:rsidRPr="00505244">
                <w:rPr>
                  <w:rFonts w:ascii="Arial" w:eastAsia="Times New Roman" w:hAnsi="Arial" w:cs="Arial"/>
                  <w:color w:val="3A4E72"/>
                  <w:sz w:val="21"/>
                  <w:szCs w:val="21"/>
                </w:rPr>
                <w:t>Fetterhoff</w:t>
              </w:r>
              <w:proofErr w:type="spellEnd"/>
            </w:hyperlink>
            <w:r w:rsidRPr="00505244">
              <w:rPr>
                <w:rFonts w:ascii="Arial" w:eastAsia="Times New Roman" w:hAnsi="Arial" w:cs="Arial"/>
                <w:color w:val="3C3D3F"/>
                <w:sz w:val="21"/>
                <w:szCs w:val="21"/>
              </w:rPr>
              <w:t>  </w:t>
            </w:r>
          </w:p>
        </w:tc>
      </w:tr>
      <w:tr w:rsidR="00505244" w:rsidRPr="00505244" w14:paraId="6AA9D22A" w14:textId="77777777" w:rsidTr="00505244">
        <w:tc>
          <w:tcPr>
            <w:tcW w:w="0" w:type="auto"/>
            <w:shd w:val="clear" w:color="auto" w:fill="F8F8F9"/>
            <w:tcMar>
              <w:top w:w="60" w:type="dxa"/>
              <w:left w:w="60" w:type="dxa"/>
              <w:bottom w:w="60" w:type="dxa"/>
              <w:right w:w="60" w:type="dxa"/>
            </w:tcMar>
            <w:vAlign w:val="center"/>
            <w:hideMark/>
          </w:tcPr>
          <w:p w14:paraId="19DB5EBB"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FCDF12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Department of Financial Services: Requires State Risk Management Trust Fund to provide insurance for certain firefighter cancer-related benefits; prohibits unlicensed persons from acting as or advertising themselves as funeral directors, embalmers, direct disposers, or preneed sales agents unless they are so licensed; authorizes licensed funeral director interns &amp; licensed combination funeral director &amp; embalmer interns to continue performing certain tasks while transitioning to licensed funeral directors &amp; licensed combination funeral director &amp; embalmers; requires monument retailers to comply with specified requirements relating to place of business &amp; operations; subjecting monument retailers to inspection; prohibits </w:t>
            </w:r>
            <w:proofErr w:type="spellStart"/>
            <w:r w:rsidRPr="00505244">
              <w:rPr>
                <w:rFonts w:ascii="Arial" w:eastAsia="Times New Roman" w:hAnsi="Arial" w:cs="Arial"/>
                <w:color w:val="3C3D3F"/>
                <w:sz w:val="17"/>
                <w:szCs w:val="17"/>
              </w:rPr>
              <w:t>firesafety</w:t>
            </w:r>
            <w:proofErr w:type="spellEnd"/>
            <w:r w:rsidRPr="00505244">
              <w:rPr>
                <w:rFonts w:ascii="Arial" w:eastAsia="Times New Roman" w:hAnsi="Arial" w:cs="Arial"/>
                <w:color w:val="3C3D3F"/>
                <w:sz w:val="17"/>
                <w:szCs w:val="17"/>
              </w:rPr>
              <w:t xml:space="preserve"> inspector from knowingly &amp; intentionally requesting, soliciting, accepting, or agreeing to accept compensation offered to induce violation of certain codes, rules, or laws; provides that certain persons serving as volunteer firefighters may serve as regular or permanent firefighters for limited period; prohibits aiding or abetting of unlicensed activity of bail bond agent or temporary bail bond agent. Effective Date: July 1, 2021</w:t>
            </w:r>
          </w:p>
        </w:tc>
      </w:tr>
      <w:tr w:rsidR="00505244" w:rsidRPr="00505244" w14:paraId="2C360E2F" w14:textId="77777777" w:rsidTr="00505244">
        <w:tc>
          <w:tcPr>
            <w:tcW w:w="0" w:type="auto"/>
            <w:shd w:val="clear" w:color="auto" w:fill="F8F8F9"/>
            <w:tcMar>
              <w:top w:w="60" w:type="dxa"/>
              <w:left w:w="60" w:type="dxa"/>
              <w:bottom w:w="60" w:type="dxa"/>
              <w:right w:w="60" w:type="dxa"/>
            </w:tcMar>
            <w:vAlign w:val="center"/>
            <w:hideMark/>
          </w:tcPr>
          <w:p w14:paraId="0FF08368"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8EDE0B6" w14:textId="267926EC"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04" w:history="1">
              <w:r w:rsidRPr="00505244">
                <w:rPr>
                  <w:rFonts w:ascii="Arial" w:eastAsia="Times New Roman" w:hAnsi="Arial" w:cs="Arial"/>
                  <w:color w:val="3A4E72"/>
                  <w:sz w:val="21"/>
                  <w:szCs w:val="21"/>
                </w:rPr>
                <w:t>HB 1067</w:t>
              </w:r>
            </w:hyperlink>
            <w:r w:rsidRPr="00505244">
              <w:rPr>
                <w:rFonts w:ascii="Arial" w:eastAsia="Times New Roman" w:hAnsi="Arial" w:cs="Arial"/>
                <w:noProof/>
                <w:color w:val="3C3D3F"/>
                <w:sz w:val="21"/>
                <w:szCs w:val="21"/>
              </w:rPr>
              <w:drawing>
                <wp:inline distT="0" distB="0" distL="0" distR="0" wp14:anchorId="47D3F765" wp14:editId="2070E7CB">
                  <wp:extent cx="228600" cy="228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8D254DF"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Health Care Expenses</w:t>
            </w:r>
          </w:p>
        </w:tc>
        <w:tc>
          <w:tcPr>
            <w:tcW w:w="0" w:type="auto"/>
            <w:gridSpan w:val="3"/>
            <w:tcMar>
              <w:top w:w="105" w:type="dxa"/>
              <w:left w:w="60" w:type="dxa"/>
              <w:bottom w:w="60" w:type="dxa"/>
              <w:right w:w="60" w:type="dxa"/>
            </w:tcMar>
            <w:vAlign w:val="center"/>
            <w:hideMark/>
          </w:tcPr>
          <w:p w14:paraId="380ED60A" w14:textId="77777777" w:rsidR="00505244" w:rsidRPr="00505244" w:rsidRDefault="00505244" w:rsidP="00505244">
            <w:pPr>
              <w:spacing w:after="0" w:line="240" w:lineRule="auto"/>
              <w:rPr>
                <w:rFonts w:ascii="Arial" w:eastAsia="Times New Roman" w:hAnsi="Arial" w:cs="Arial"/>
                <w:color w:val="3C3D3F"/>
                <w:sz w:val="21"/>
                <w:szCs w:val="21"/>
              </w:rPr>
            </w:pPr>
            <w:hyperlink r:id="rId105" w:history="1">
              <w:r w:rsidRPr="00505244">
                <w:rPr>
                  <w:rFonts w:ascii="Arial" w:eastAsia="Times New Roman" w:hAnsi="Arial" w:cs="Arial"/>
                  <w:color w:val="3A4E72"/>
                  <w:sz w:val="21"/>
                  <w:szCs w:val="21"/>
                </w:rPr>
                <w:t>Rommel</w:t>
              </w:r>
            </w:hyperlink>
            <w:r w:rsidRPr="00505244">
              <w:rPr>
                <w:rFonts w:ascii="Arial" w:eastAsia="Times New Roman" w:hAnsi="Arial" w:cs="Arial"/>
                <w:color w:val="3C3D3F"/>
                <w:sz w:val="21"/>
                <w:szCs w:val="21"/>
              </w:rPr>
              <w:t>  </w:t>
            </w:r>
          </w:p>
        </w:tc>
      </w:tr>
      <w:tr w:rsidR="00505244" w:rsidRPr="00505244" w14:paraId="61565FD2" w14:textId="77777777" w:rsidTr="00505244">
        <w:tc>
          <w:tcPr>
            <w:tcW w:w="0" w:type="auto"/>
            <w:shd w:val="clear" w:color="auto" w:fill="F8F8F9"/>
            <w:tcMar>
              <w:top w:w="60" w:type="dxa"/>
              <w:left w:w="60" w:type="dxa"/>
              <w:bottom w:w="60" w:type="dxa"/>
              <w:right w:w="60" w:type="dxa"/>
            </w:tcMar>
            <w:vAlign w:val="center"/>
            <w:hideMark/>
          </w:tcPr>
          <w:p w14:paraId="30CADEAB"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71CD056F"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Health Care Expenses: Provides personal property exemptions for medical debts; requires licensed facility to post information on its website regarding services &amp; provide estimate to patient &amp; health insurer; prohibits facility from charging amount exceeding cost estimate; revises penalty; requires facility to establish patient internal grievance process; prohibits certain collection activities by facility; requires health insurer to provide advance explanation of benefits; provides that shared savings incentive constitutes medical expense for certain purposes. Effective Date: July 1, 2021</w:t>
            </w:r>
          </w:p>
        </w:tc>
      </w:tr>
      <w:tr w:rsidR="00505244" w:rsidRPr="00505244" w14:paraId="62EF5097" w14:textId="77777777" w:rsidTr="00505244">
        <w:tc>
          <w:tcPr>
            <w:tcW w:w="0" w:type="auto"/>
            <w:shd w:val="clear" w:color="auto" w:fill="F8F8F9"/>
            <w:tcMar>
              <w:top w:w="60" w:type="dxa"/>
              <w:left w:w="60" w:type="dxa"/>
              <w:bottom w:w="60" w:type="dxa"/>
              <w:right w:w="60" w:type="dxa"/>
            </w:tcMar>
            <w:vAlign w:val="center"/>
            <w:hideMark/>
          </w:tcPr>
          <w:p w14:paraId="49A6D5BA"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06223A1" w14:textId="314E427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06" w:history="1">
              <w:r w:rsidRPr="00505244">
                <w:rPr>
                  <w:rFonts w:ascii="Arial" w:eastAsia="Times New Roman" w:hAnsi="Arial" w:cs="Arial"/>
                  <w:color w:val="3A4E72"/>
                  <w:sz w:val="21"/>
                  <w:szCs w:val="21"/>
                </w:rPr>
                <w:t>HB 0871</w:t>
              </w:r>
            </w:hyperlink>
            <w:r w:rsidRPr="00505244">
              <w:rPr>
                <w:rFonts w:ascii="Arial" w:eastAsia="Times New Roman" w:hAnsi="Arial" w:cs="Arial"/>
                <w:noProof/>
                <w:color w:val="3C3D3F"/>
                <w:sz w:val="21"/>
                <w:szCs w:val="21"/>
              </w:rPr>
              <w:drawing>
                <wp:inline distT="0" distB="0" distL="0" distR="0" wp14:anchorId="29C6B1FD" wp14:editId="067428CF">
                  <wp:extent cx="2286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FFD8FE8"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Sovereign Immunity for Child Protection Teams</w:t>
            </w:r>
          </w:p>
        </w:tc>
        <w:tc>
          <w:tcPr>
            <w:tcW w:w="0" w:type="auto"/>
            <w:gridSpan w:val="3"/>
            <w:tcMar>
              <w:top w:w="105" w:type="dxa"/>
              <w:left w:w="60" w:type="dxa"/>
              <w:bottom w:w="60" w:type="dxa"/>
              <w:right w:w="60" w:type="dxa"/>
            </w:tcMar>
            <w:vAlign w:val="center"/>
            <w:hideMark/>
          </w:tcPr>
          <w:p w14:paraId="6D86AEDD" w14:textId="77777777" w:rsidR="00505244" w:rsidRPr="00505244" w:rsidRDefault="00505244" w:rsidP="00505244">
            <w:pPr>
              <w:spacing w:after="0" w:line="240" w:lineRule="auto"/>
              <w:rPr>
                <w:rFonts w:ascii="Arial" w:eastAsia="Times New Roman" w:hAnsi="Arial" w:cs="Arial"/>
                <w:color w:val="3C3D3F"/>
                <w:sz w:val="21"/>
                <w:szCs w:val="21"/>
              </w:rPr>
            </w:pPr>
            <w:hyperlink r:id="rId107" w:history="1">
              <w:r w:rsidRPr="00505244">
                <w:rPr>
                  <w:rFonts w:ascii="Arial" w:eastAsia="Times New Roman" w:hAnsi="Arial" w:cs="Arial"/>
                  <w:color w:val="3A4E72"/>
                  <w:sz w:val="21"/>
                  <w:szCs w:val="21"/>
                </w:rPr>
                <w:t>Snyder</w:t>
              </w:r>
            </w:hyperlink>
            <w:r w:rsidRPr="00505244">
              <w:rPr>
                <w:rFonts w:ascii="Arial" w:eastAsia="Times New Roman" w:hAnsi="Arial" w:cs="Arial"/>
                <w:color w:val="3C3D3F"/>
                <w:sz w:val="21"/>
                <w:szCs w:val="21"/>
              </w:rPr>
              <w:t>  </w:t>
            </w:r>
          </w:p>
        </w:tc>
      </w:tr>
      <w:tr w:rsidR="00505244" w:rsidRPr="00505244" w14:paraId="00A8A964" w14:textId="77777777" w:rsidTr="00505244">
        <w:tc>
          <w:tcPr>
            <w:tcW w:w="0" w:type="auto"/>
            <w:shd w:val="clear" w:color="auto" w:fill="F8F8F9"/>
            <w:tcMar>
              <w:top w:w="60" w:type="dxa"/>
              <w:left w:w="60" w:type="dxa"/>
              <w:bottom w:w="60" w:type="dxa"/>
              <w:right w:w="60" w:type="dxa"/>
            </w:tcMar>
            <w:vAlign w:val="center"/>
            <w:hideMark/>
          </w:tcPr>
          <w:p w14:paraId="11F397E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916899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Sovereign Immunity for Child Protection Teams: </w:t>
            </w:r>
            <w:proofErr w:type="gramStart"/>
            <w:r w:rsidRPr="00505244">
              <w:rPr>
                <w:rFonts w:ascii="Arial" w:eastAsia="Times New Roman" w:hAnsi="Arial" w:cs="Arial"/>
                <w:color w:val="3C3D3F"/>
                <w:sz w:val="17"/>
                <w:szCs w:val="17"/>
              </w:rPr>
              <w:t>Revises</w:t>
            </w:r>
            <w:proofErr w:type="gramEnd"/>
            <w:r w:rsidRPr="00505244">
              <w:rPr>
                <w:rFonts w:ascii="Arial" w:eastAsia="Times New Roman" w:hAnsi="Arial" w:cs="Arial"/>
                <w:color w:val="3C3D3F"/>
                <w:sz w:val="17"/>
                <w:szCs w:val="17"/>
              </w:rPr>
              <w:t xml:space="preserve"> term "officer, employee, or agent" as it applies to immunity from personal liability to include members of Child Protection Teams in certain circumstances. Effective Date: July 1, 2021</w:t>
            </w:r>
          </w:p>
        </w:tc>
      </w:tr>
      <w:tr w:rsidR="00505244" w:rsidRPr="00505244" w14:paraId="5893A7BE" w14:textId="77777777" w:rsidTr="00505244">
        <w:tc>
          <w:tcPr>
            <w:tcW w:w="0" w:type="auto"/>
            <w:shd w:val="clear" w:color="auto" w:fill="F8F8F9"/>
            <w:tcMar>
              <w:top w:w="60" w:type="dxa"/>
              <w:left w:w="60" w:type="dxa"/>
              <w:bottom w:w="60" w:type="dxa"/>
              <w:right w:w="60" w:type="dxa"/>
            </w:tcMar>
            <w:vAlign w:val="center"/>
            <w:hideMark/>
          </w:tcPr>
          <w:p w14:paraId="617724C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2CA38F7" w14:textId="5E5624CF"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08" w:history="1">
              <w:r w:rsidRPr="00505244">
                <w:rPr>
                  <w:rFonts w:ascii="Arial" w:eastAsia="Times New Roman" w:hAnsi="Arial" w:cs="Arial"/>
                  <w:color w:val="3A4E72"/>
                  <w:sz w:val="21"/>
                  <w:szCs w:val="21"/>
                </w:rPr>
                <w:t>HB 0803</w:t>
              </w:r>
            </w:hyperlink>
            <w:r w:rsidRPr="00505244">
              <w:rPr>
                <w:rFonts w:ascii="Arial" w:eastAsia="Times New Roman" w:hAnsi="Arial" w:cs="Arial"/>
                <w:noProof/>
                <w:color w:val="3C3D3F"/>
                <w:sz w:val="21"/>
                <w:szCs w:val="21"/>
              </w:rPr>
              <w:drawing>
                <wp:inline distT="0" distB="0" distL="0" distR="0" wp14:anchorId="46A6F7A6" wp14:editId="43EFB742">
                  <wp:extent cx="228600" cy="228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12F81ECB"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Access to Health Care Practitioner Services</w:t>
            </w:r>
          </w:p>
        </w:tc>
        <w:tc>
          <w:tcPr>
            <w:tcW w:w="0" w:type="auto"/>
            <w:gridSpan w:val="3"/>
            <w:tcMar>
              <w:top w:w="105" w:type="dxa"/>
              <w:left w:w="60" w:type="dxa"/>
              <w:bottom w:w="60" w:type="dxa"/>
              <w:right w:w="60" w:type="dxa"/>
            </w:tcMar>
            <w:vAlign w:val="center"/>
            <w:hideMark/>
          </w:tcPr>
          <w:p w14:paraId="53C21B06" w14:textId="77777777" w:rsidR="00505244" w:rsidRPr="00505244" w:rsidRDefault="00505244" w:rsidP="00505244">
            <w:pPr>
              <w:spacing w:after="0" w:line="240" w:lineRule="auto"/>
              <w:rPr>
                <w:rFonts w:ascii="Arial" w:eastAsia="Times New Roman" w:hAnsi="Arial" w:cs="Arial"/>
                <w:color w:val="3C3D3F"/>
                <w:sz w:val="21"/>
                <w:szCs w:val="21"/>
              </w:rPr>
            </w:pPr>
            <w:hyperlink r:id="rId109" w:history="1">
              <w:r w:rsidRPr="00505244">
                <w:rPr>
                  <w:rFonts w:ascii="Arial" w:eastAsia="Times New Roman" w:hAnsi="Arial" w:cs="Arial"/>
                  <w:color w:val="3A4E72"/>
                  <w:sz w:val="21"/>
                  <w:szCs w:val="21"/>
                </w:rPr>
                <w:t>Caruso</w:t>
              </w:r>
            </w:hyperlink>
            <w:r w:rsidRPr="00505244">
              <w:rPr>
                <w:rFonts w:ascii="Arial" w:eastAsia="Times New Roman" w:hAnsi="Arial" w:cs="Arial"/>
                <w:color w:val="3C3D3F"/>
                <w:sz w:val="21"/>
                <w:szCs w:val="21"/>
              </w:rPr>
              <w:t>  </w:t>
            </w:r>
          </w:p>
        </w:tc>
      </w:tr>
      <w:tr w:rsidR="00505244" w:rsidRPr="00505244" w14:paraId="3649519D" w14:textId="77777777" w:rsidTr="00505244">
        <w:tc>
          <w:tcPr>
            <w:tcW w:w="0" w:type="auto"/>
            <w:shd w:val="clear" w:color="auto" w:fill="F8F8F9"/>
            <w:tcMar>
              <w:top w:w="60" w:type="dxa"/>
              <w:left w:w="60" w:type="dxa"/>
              <w:bottom w:w="60" w:type="dxa"/>
              <w:right w:w="60" w:type="dxa"/>
            </w:tcMar>
            <w:vAlign w:val="center"/>
            <w:hideMark/>
          </w:tcPr>
          <w:p w14:paraId="339719D0"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6C608B8"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Access to Health Care Practitioner Services: Exempts physicians &amp; osteopathic physicians who provide pro bono services from continuing education requirements; revises eligibility criteria for restricted license; establishes registration program for volunteer retired physicians &amp; osteopathic physicians; authorizes Board of Medicine &amp; Board of Osteopathic Medicine to deny, revoke, or impose restrictions or conditions on registration for certain violations &amp; noncompliance; revises licensure criteria for Canadian applicants. Effective Date: July 1, 2021</w:t>
            </w:r>
          </w:p>
        </w:tc>
      </w:tr>
      <w:tr w:rsidR="00505244" w:rsidRPr="00505244" w14:paraId="5F0127DA" w14:textId="77777777" w:rsidTr="00505244">
        <w:tc>
          <w:tcPr>
            <w:tcW w:w="0" w:type="auto"/>
            <w:shd w:val="clear" w:color="auto" w:fill="F8F8F9"/>
            <w:tcMar>
              <w:top w:w="60" w:type="dxa"/>
              <w:left w:w="60" w:type="dxa"/>
              <w:bottom w:w="60" w:type="dxa"/>
              <w:right w:w="60" w:type="dxa"/>
            </w:tcMar>
            <w:vAlign w:val="center"/>
            <w:hideMark/>
          </w:tcPr>
          <w:p w14:paraId="35CCB48D"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93747C3" w14:textId="0457BA5F"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10" w:history="1">
              <w:r w:rsidRPr="00505244">
                <w:rPr>
                  <w:rFonts w:ascii="Arial" w:eastAsia="Times New Roman" w:hAnsi="Arial" w:cs="Arial"/>
                  <w:color w:val="3A4E72"/>
                  <w:sz w:val="21"/>
                  <w:szCs w:val="21"/>
                </w:rPr>
                <w:t>HB 0625</w:t>
              </w:r>
            </w:hyperlink>
            <w:r w:rsidRPr="00505244">
              <w:rPr>
                <w:rFonts w:ascii="Arial" w:eastAsia="Times New Roman" w:hAnsi="Arial" w:cs="Arial"/>
                <w:noProof/>
                <w:color w:val="3C3D3F"/>
                <w:sz w:val="21"/>
                <w:szCs w:val="21"/>
              </w:rPr>
              <w:drawing>
                <wp:inline distT="0" distB="0" distL="0" distR="0" wp14:anchorId="0E7772C0" wp14:editId="5B7721C7">
                  <wp:extent cx="22860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8C8C2B5"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Attorney Compensation</w:t>
            </w:r>
          </w:p>
        </w:tc>
        <w:tc>
          <w:tcPr>
            <w:tcW w:w="0" w:type="auto"/>
            <w:gridSpan w:val="3"/>
            <w:tcMar>
              <w:top w:w="105" w:type="dxa"/>
              <w:left w:w="60" w:type="dxa"/>
              <w:bottom w:w="60" w:type="dxa"/>
              <w:right w:w="60" w:type="dxa"/>
            </w:tcMar>
            <w:vAlign w:val="center"/>
            <w:hideMark/>
          </w:tcPr>
          <w:p w14:paraId="38E25C71" w14:textId="77777777" w:rsidR="00505244" w:rsidRPr="00505244" w:rsidRDefault="00505244" w:rsidP="00505244">
            <w:pPr>
              <w:spacing w:after="0" w:line="240" w:lineRule="auto"/>
              <w:rPr>
                <w:rFonts w:ascii="Arial" w:eastAsia="Times New Roman" w:hAnsi="Arial" w:cs="Arial"/>
                <w:color w:val="3C3D3F"/>
                <w:sz w:val="21"/>
                <w:szCs w:val="21"/>
              </w:rPr>
            </w:pPr>
            <w:hyperlink r:id="rId111" w:history="1">
              <w:r w:rsidRPr="00505244">
                <w:rPr>
                  <w:rFonts w:ascii="Arial" w:eastAsia="Times New Roman" w:hAnsi="Arial" w:cs="Arial"/>
                  <w:color w:val="3A4E72"/>
                  <w:sz w:val="21"/>
                  <w:szCs w:val="21"/>
                </w:rPr>
                <w:t>Yarborough</w:t>
              </w:r>
            </w:hyperlink>
            <w:r w:rsidRPr="00505244">
              <w:rPr>
                <w:rFonts w:ascii="Arial" w:eastAsia="Times New Roman" w:hAnsi="Arial" w:cs="Arial"/>
                <w:color w:val="3C3D3F"/>
                <w:sz w:val="21"/>
                <w:szCs w:val="21"/>
              </w:rPr>
              <w:t>  </w:t>
            </w:r>
          </w:p>
        </w:tc>
      </w:tr>
      <w:tr w:rsidR="00505244" w:rsidRPr="00505244" w14:paraId="2C92E0C6" w14:textId="77777777" w:rsidTr="00505244">
        <w:tc>
          <w:tcPr>
            <w:tcW w:w="0" w:type="auto"/>
            <w:shd w:val="clear" w:color="auto" w:fill="F8F8F9"/>
            <w:tcMar>
              <w:top w:w="60" w:type="dxa"/>
              <w:left w:w="60" w:type="dxa"/>
              <w:bottom w:w="60" w:type="dxa"/>
              <w:right w:w="60" w:type="dxa"/>
            </w:tcMar>
            <w:vAlign w:val="center"/>
            <w:hideMark/>
          </w:tcPr>
          <w:p w14:paraId="4A62B70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8136EEA"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Attorney Compensation: Requires attorney representing personal representative in estate administration or trustee in initial administration of trust who intends to charge certain fee to make specified written disclosures; requires attorney to obtain certain signature; prohibits attorney who does not make such disclosures from being paid for legal services except in certain circumstances; provides that complexity of estate or trust may be considered when determining what is extraordinary service; requires court to consider certain agreements &amp; written disclosures when determining reasonable compensation of attorney. Effective Date: October 1, 2021</w:t>
            </w:r>
          </w:p>
        </w:tc>
      </w:tr>
      <w:tr w:rsidR="00505244" w:rsidRPr="00505244" w14:paraId="55C7E25C" w14:textId="77777777" w:rsidTr="00505244">
        <w:tc>
          <w:tcPr>
            <w:tcW w:w="0" w:type="auto"/>
            <w:gridSpan w:val="6"/>
            <w:tcMar>
              <w:top w:w="60" w:type="dxa"/>
              <w:left w:w="60" w:type="dxa"/>
              <w:bottom w:w="60" w:type="dxa"/>
              <w:right w:w="60" w:type="dxa"/>
            </w:tcMar>
            <w:vAlign w:val="center"/>
            <w:hideMark/>
          </w:tcPr>
          <w:p w14:paraId="19C5D6A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75B4577C" w14:textId="77777777" w:rsidTr="00505244">
        <w:tc>
          <w:tcPr>
            <w:tcW w:w="0" w:type="auto"/>
            <w:gridSpan w:val="6"/>
            <w:tcMar>
              <w:top w:w="60" w:type="dxa"/>
              <w:left w:w="60" w:type="dxa"/>
              <w:bottom w:w="60" w:type="dxa"/>
              <w:right w:w="60" w:type="dxa"/>
            </w:tcMar>
            <w:vAlign w:val="center"/>
            <w:hideMark/>
          </w:tcPr>
          <w:p w14:paraId="7043D7A2"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145F9CF0" w14:textId="77777777" w:rsidTr="00505244">
        <w:tc>
          <w:tcPr>
            <w:tcW w:w="0" w:type="auto"/>
            <w:gridSpan w:val="3"/>
            <w:shd w:val="clear" w:color="auto" w:fill="E5E7EB"/>
            <w:tcMar>
              <w:top w:w="90" w:type="dxa"/>
              <w:left w:w="90" w:type="dxa"/>
              <w:bottom w:w="90" w:type="dxa"/>
              <w:right w:w="90" w:type="dxa"/>
            </w:tcMar>
            <w:vAlign w:val="center"/>
            <w:hideMark/>
          </w:tcPr>
          <w:p w14:paraId="228D3725"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Wednesday Apr 21, 2021</w:t>
            </w:r>
          </w:p>
        </w:tc>
        <w:tc>
          <w:tcPr>
            <w:tcW w:w="0" w:type="auto"/>
            <w:gridSpan w:val="3"/>
            <w:shd w:val="clear" w:color="auto" w:fill="E5E7EB"/>
            <w:tcMar>
              <w:top w:w="75" w:type="dxa"/>
              <w:left w:w="75" w:type="dxa"/>
              <w:bottom w:w="75" w:type="dxa"/>
              <w:right w:w="75" w:type="dxa"/>
            </w:tcMar>
            <w:vAlign w:val="center"/>
            <w:hideMark/>
          </w:tcPr>
          <w:p w14:paraId="1E894D1A" w14:textId="77777777" w:rsidR="00505244" w:rsidRPr="00505244" w:rsidRDefault="00505244" w:rsidP="00505244">
            <w:pPr>
              <w:spacing w:after="0" w:line="240" w:lineRule="auto"/>
              <w:rPr>
                <w:rFonts w:ascii="Arial" w:eastAsia="Times New Roman" w:hAnsi="Arial" w:cs="Arial"/>
                <w:b/>
                <w:bCs/>
                <w:color w:val="3C3D3F"/>
                <w:sz w:val="21"/>
                <w:szCs w:val="21"/>
              </w:rPr>
            </w:pPr>
          </w:p>
        </w:tc>
      </w:tr>
      <w:tr w:rsidR="00505244" w:rsidRPr="00505244" w14:paraId="5FCF4576" w14:textId="77777777" w:rsidTr="00505244">
        <w:tc>
          <w:tcPr>
            <w:tcW w:w="1524" w:type="dxa"/>
            <w:shd w:val="clear" w:color="auto" w:fill="EDEFF1"/>
            <w:tcMar>
              <w:top w:w="60" w:type="dxa"/>
              <w:left w:w="60" w:type="dxa"/>
              <w:bottom w:w="60" w:type="dxa"/>
              <w:right w:w="60" w:type="dxa"/>
            </w:tcMar>
            <w:vAlign w:val="center"/>
            <w:hideMark/>
          </w:tcPr>
          <w:p w14:paraId="33146965"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10:00AM</w:t>
            </w:r>
          </w:p>
        </w:tc>
        <w:tc>
          <w:tcPr>
            <w:tcW w:w="2969" w:type="dxa"/>
            <w:shd w:val="clear" w:color="auto" w:fill="EDEFF1"/>
            <w:tcMar>
              <w:top w:w="60" w:type="dxa"/>
              <w:left w:w="60" w:type="dxa"/>
              <w:bottom w:w="60" w:type="dxa"/>
              <w:right w:w="60" w:type="dxa"/>
            </w:tcMar>
            <w:vAlign w:val="center"/>
            <w:hideMark/>
          </w:tcPr>
          <w:p w14:paraId="311C2919"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Event</w:t>
            </w:r>
          </w:p>
        </w:tc>
        <w:tc>
          <w:tcPr>
            <w:tcW w:w="0" w:type="auto"/>
            <w:shd w:val="clear" w:color="auto" w:fill="EDEFF1"/>
            <w:tcMar>
              <w:top w:w="60" w:type="dxa"/>
              <w:left w:w="60" w:type="dxa"/>
              <w:bottom w:w="60" w:type="dxa"/>
              <w:right w:w="60" w:type="dxa"/>
            </w:tcMar>
            <w:vAlign w:val="center"/>
            <w:hideMark/>
          </w:tcPr>
          <w:p w14:paraId="20618305"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0" w:type="auto"/>
            <w:shd w:val="clear" w:color="auto" w:fill="EDEFF1"/>
            <w:tcMar>
              <w:top w:w="60" w:type="dxa"/>
              <w:left w:w="60" w:type="dxa"/>
              <w:bottom w:w="60" w:type="dxa"/>
              <w:right w:w="60" w:type="dxa"/>
            </w:tcMar>
            <w:vAlign w:val="center"/>
            <w:hideMark/>
          </w:tcPr>
          <w:p w14:paraId="57EC0F9C"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Location</w:t>
            </w:r>
          </w:p>
        </w:tc>
        <w:tc>
          <w:tcPr>
            <w:tcW w:w="3953" w:type="dxa"/>
            <w:shd w:val="clear" w:color="auto" w:fill="EDEFF1"/>
            <w:tcMar>
              <w:top w:w="60" w:type="dxa"/>
              <w:left w:w="60" w:type="dxa"/>
              <w:bottom w:w="60" w:type="dxa"/>
              <w:right w:w="60" w:type="dxa"/>
            </w:tcMar>
            <w:vAlign w:val="center"/>
            <w:hideMark/>
          </w:tcPr>
          <w:p w14:paraId="161FC7BD"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c>
          <w:tcPr>
            <w:tcW w:w="1979" w:type="dxa"/>
            <w:shd w:val="clear" w:color="auto" w:fill="EDEFF1"/>
            <w:tcMar>
              <w:top w:w="60" w:type="dxa"/>
              <w:left w:w="60" w:type="dxa"/>
              <w:bottom w:w="60" w:type="dxa"/>
              <w:right w:w="60" w:type="dxa"/>
            </w:tcMar>
            <w:vAlign w:val="center"/>
            <w:hideMark/>
          </w:tcPr>
          <w:p w14:paraId="5C3E5EFF"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w:t>
            </w:r>
          </w:p>
        </w:tc>
      </w:tr>
      <w:tr w:rsidR="00505244" w:rsidRPr="00505244" w14:paraId="10EA990E" w14:textId="77777777" w:rsidTr="00505244">
        <w:tc>
          <w:tcPr>
            <w:tcW w:w="0" w:type="auto"/>
            <w:shd w:val="clear" w:color="auto" w:fill="F8F8F9"/>
            <w:tcMar>
              <w:top w:w="60" w:type="dxa"/>
              <w:left w:w="60" w:type="dxa"/>
              <w:bottom w:w="60" w:type="dxa"/>
              <w:right w:w="60" w:type="dxa"/>
            </w:tcMar>
            <w:vAlign w:val="center"/>
            <w:hideMark/>
          </w:tcPr>
          <w:p w14:paraId="2DA89E21"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2"/>
            <w:tcBorders>
              <w:bottom w:val="single" w:sz="6" w:space="0" w:color="949A9C"/>
            </w:tcBorders>
            <w:tcMar>
              <w:top w:w="60" w:type="dxa"/>
              <w:left w:w="60" w:type="dxa"/>
              <w:bottom w:w="60" w:type="dxa"/>
              <w:right w:w="60" w:type="dxa"/>
            </w:tcMar>
            <w:vAlign w:val="center"/>
            <w:hideMark/>
          </w:tcPr>
          <w:p w14:paraId="38C71ECC"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FFFFFF"/>
                <w:sz w:val="21"/>
                <w:szCs w:val="21"/>
                <w:shd w:val="clear" w:color="auto" w:fill="3B82F6"/>
              </w:rPr>
              <w:t>S</w:t>
            </w:r>
            <w:r w:rsidRPr="00505244">
              <w:rPr>
                <w:rFonts w:ascii="Arial" w:eastAsia="Times New Roman" w:hAnsi="Arial" w:cs="Arial"/>
                <w:b/>
                <w:bCs/>
                <w:color w:val="000000"/>
                <w:sz w:val="21"/>
                <w:szCs w:val="21"/>
              </w:rPr>
              <w:t> </w:t>
            </w:r>
            <w:hyperlink r:id="rId112" w:history="1">
              <w:r w:rsidRPr="00505244">
                <w:rPr>
                  <w:rFonts w:ascii="Arial" w:eastAsia="Times New Roman" w:hAnsi="Arial" w:cs="Arial"/>
                  <w:b/>
                  <w:bCs/>
                  <w:color w:val="3A4E72"/>
                  <w:sz w:val="21"/>
                  <w:szCs w:val="21"/>
                </w:rPr>
                <w:t>SESSION</w:t>
              </w:r>
            </w:hyperlink>
          </w:p>
        </w:tc>
        <w:tc>
          <w:tcPr>
            <w:tcW w:w="6802" w:type="dxa"/>
            <w:tcBorders>
              <w:bottom w:val="single" w:sz="6" w:space="0" w:color="949A9C"/>
            </w:tcBorders>
            <w:noWrap/>
            <w:tcMar>
              <w:top w:w="60" w:type="dxa"/>
              <w:left w:w="60" w:type="dxa"/>
              <w:bottom w:w="60" w:type="dxa"/>
              <w:right w:w="60" w:type="dxa"/>
            </w:tcMar>
            <w:vAlign w:val="center"/>
            <w:hideMark/>
          </w:tcPr>
          <w:p w14:paraId="49F54489" w14:textId="77777777" w:rsidR="00505244" w:rsidRPr="00505244" w:rsidRDefault="00505244" w:rsidP="00505244">
            <w:pPr>
              <w:spacing w:after="0" w:line="240" w:lineRule="auto"/>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 </w:t>
            </w:r>
          </w:p>
        </w:tc>
        <w:tc>
          <w:tcPr>
            <w:tcW w:w="0" w:type="auto"/>
            <w:tcBorders>
              <w:bottom w:val="single" w:sz="6" w:space="0" w:color="949A9C"/>
            </w:tcBorders>
            <w:tcMar>
              <w:top w:w="60" w:type="dxa"/>
              <w:left w:w="60" w:type="dxa"/>
              <w:bottom w:w="60" w:type="dxa"/>
              <w:right w:w="60" w:type="dxa"/>
            </w:tcMar>
            <w:vAlign w:val="center"/>
            <w:hideMark/>
          </w:tcPr>
          <w:p w14:paraId="61532019"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r w:rsidRPr="00505244">
              <w:rPr>
                <w:rFonts w:ascii="Arial" w:eastAsia="Times New Roman" w:hAnsi="Arial" w:cs="Arial"/>
                <w:b/>
                <w:bCs/>
                <w:color w:val="000000"/>
                <w:sz w:val="21"/>
                <w:szCs w:val="21"/>
              </w:rPr>
              <w:t>10:00AM-6:00AM</w:t>
            </w:r>
          </w:p>
        </w:tc>
        <w:tc>
          <w:tcPr>
            <w:tcW w:w="0" w:type="auto"/>
            <w:tcBorders>
              <w:bottom w:val="single" w:sz="6" w:space="0" w:color="949A9C"/>
            </w:tcBorders>
            <w:tcMar>
              <w:top w:w="60" w:type="dxa"/>
              <w:left w:w="60" w:type="dxa"/>
              <w:bottom w:w="60" w:type="dxa"/>
              <w:right w:w="60" w:type="dxa"/>
            </w:tcMar>
            <w:vAlign w:val="center"/>
            <w:hideMark/>
          </w:tcPr>
          <w:p w14:paraId="4D03413D" w14:textId="77777777" w:rsidR="00505244" w:rsidRPr="00505244" w:rsidRDefault="00505244" w:rsidP="00505244">
            <w:pPr>
              <w:spacing w:after="0" w:line="240" w:lineRule="auto"/>
              <w:jc w:val="center"/>
              <w:rPr>
                <w:rFonts w:ascii="Arial" w:eastAsia="Times New Roman" w:hAnsi="Arial" w:cs="Arial"/>
                <w:b/>
                <w:bCs/>
                <w:color w:val="000000"/>
                <w:sz w:val="21"/>
                <w:szCs w:val="21"/>
              </w:rPr>
            </w:pPr>
          </w:p>
        </w:tc>
      </w:tr>
      <w:tr w:rsidR="00505244" w:rsidRPr="00505244" w14:paraId="5F1A1D54" w14:textId="77777777" w:rsidTr="00505244">
        <w:tc>
          <w:tcPr>
            <w:tcW w:w="0" w:type="auto"/>
            <w:shd w:val="clear" w:color="auto" w:fill="F8F8F9"/>
            <w:tcMar>
              <w:top w:w="60" w:type="dxa"/>
              <w:left w:w="60" w:type="dxa"/>
              <w:bottom w:w="60" w:type="dxa"/>
              <w:right w:w="60" w:type="dxa"/>
            </w:tcMar>
            <w:vAlign w:val="center"/>
            <w:hideMark/>
          </w:tcPr>
          <w:p w14:paraId="12FE640A" w14:textId="77777777" w:rsidR="00505244" w:rsidRPr="00505244" w:rsidRDefault="00505244" w:rsidP="00505244">
            <w:pPr>
              <w:spacing w:after="0" w:line="240" w:lineRule="auto"/>
              <w:jc w:val="right"/>
              <w:rPr>
                <w:rFonts w:ascii="Times New Roman" w:eastAsia="Times New Roman" w:hAnsi="Times New Roman" w:cs="Times New Roman"/>
                <w:sz w:val="20"/>
                <w:szCs w:val="20"/>
              </w:rPr>
            </w:pPr>
          </w:p>
        </w:tc>
        <w:tc>
          <w:tcPr>
            <w:tcW w:w="0" w:type="auto"/>
            <w:gridSpan w:val="5"/>
            <w:tcMar>
              <w:top w:w="60" w:type="dxa"/>
              <w:left w:w="60" w:type="dxa"/>
              <w:bottom w:w="60" w:type="dxa"/>
              <w:right w:w="60" w:type="dxa"/>
            </w:tcMar>
            <w:vAlign w:val="center"/>
            <w:hideMark/>
          </w:tcPr>
          <w:p w14:paraId="44507EB7" w14:textId="77777777" w:rsidR="00505244" w:rsidRPr="00505244" w:rsidRDefault="00505244" w:rsidP="00505244">
            <w:pPr>
              <w:spacing w:before="100" w:beforeAutospacing="1" w:after="100" w:afterAutospacing="1" w:line="240" w:lineRule="auto"/>
              <w:rPr>
                <w:rFonts w:ascii="Arial" w:eastAsia="Times New Roman" w:hAnsi="Arial" w:cs="Arial"/>
                <w:color w:val="3C3D3F"/>
                <w:sz w:val="19"/>
                <w:szCs w:val="19"/>
              </w:rPr>
            </w:pPr>
            <w:hyperlink r:id="rId113" w:tgtFrame="_blank" w:history="1">
              <w:r w:rsidRPr="00505244">
                <w:rPr>
                  <w:rFonts w:ascii="Arial" w:eastAsia="Times New Roman" w:hAnsi="Arial" w:cs="Arial"/>
                  <w:color w:val="3A4E72"/>
                  <w:sz w:val="19"/>
                  <w:szCs w:val="19"/>
                  <w:u w:val="single"/>
                </w:rPr>
                <w:t>Follow along with LobbyTools' Session Live</w:t>
              </w:r>
            </w:hyperlink>
          </w:p>
        </w:tc>
      </w:tr>
      <w:tr w:rsidR="00505244" w:rsidRPr="00505244" w14:paraId="7790A73A" w14:textId="77777777" w:rsidTr="00505244">
        <w:tc>
          <w:tcPr>
            <w:tcW w:w="0" w:type="auto"/>
            <w:shd w:val="clear" w:color="auto" w:fill="F8F8F9"/>
            <w:tcMar>
              <w:top w:w="60" w:type="dxa"/>
              <w:left w:w="60" w:type="dxa"/>
              <w:bottom w:w="60" w:type="dxa"/>
              <w:right w:w="60" w:type="dxa"/>
            </w:tcMar>
            <w:vAlign w:val="center"/>
            <w:hideMark/>
          </w:tcPr>
          <w:p w14:paraId="07E3FA1C"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shd w:val="clear" w:color="auto" w:fill="EDEFF1"/>
            <w:tcMar>
              <w:top w:w="60" w:type="dxa"/>
              <w:left w:w="60" w:type="dxa"/>
              <w:bottom w:w="60" w:type="dxa"/>
              <w:right w:w="60" w:type="dxa"/>
            </w:tcMar>
            <w:vAlign w:val="center"/>
            <w:hideMark/>
          </w:tcPr>
          <w:p w14:paraId="4FFEA870"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Special order as determined by the Committee on Rules and Calendar</w:t>
            </w:r>
          </w:p>
        </w:tc>
      </w:tr>
      <w:tr w:rsidR="00505244" w:rsidRPr="00505244" w14:paraId="0F51D841" w14:textId="77777777" w:rsidTr="00505244">
        <w:tc>
          <w:tcPr>
            <w:tcW w:w="0" w:type="auto"/>
            <w:shd w:val="clear" w:color="auto" w:fill="F8F8F9"/>
            <w:tcMar>
              <w:top w:w="60" w:type="dxa"/>
              <w:left w:w="60" w:type="dxa"/>
              <w:bottom w:w="60" w:type="dxa"/>
              <w:right w:w="60" w:type="dxa"/>
            </w:tcMar>
            <w:vAlign w:val="center"/>
            <w:hideMark/>
          </w:tcPr>
          <w:p w14:paraId="036C5469" w14:textId="77777777" w:rsidR="00505244" w:rsidRPr="00505244" w:rsidRDefault="00505244" w:rsidP="00505244">
            <w:pPr>
              <w:spacing w:after="0" w:line="240" w:lineRule="auto"/>
              <w:rPr>
                <w:rFonts w:ascii="Arial" w:eastAsia="Times New Roman" w:hAnsi="Arial" w:cs="Arial"/>
                <w:b/>
                <w:bCs/>
                <w:color w:val="3C3D3F"/>
                <w:sz w:val="21"/>
                <w:szCs w:val="21"/>
              </w:rPr>
            </w:pPr>
          </w:p>
        </w:tc>
        <w:tc>
          <w:tcPr>
            <w:tcW w:w="0" w:type="auto"/>
            <w:tcMar>
              <w:top w:w="105" w:type="dxa"/>
              <w:left w:w="60" w:type="dxa"/>
              <w:bottom w:w="60" w:type="dxa"/>
              <w:right w:w="60" w:type="dxa"/>
            </w:tcMar>
            <w:vAlign w:val="center"/>
            <w:hideMark/>
          </w:tcPr>
          <w:p w14:paraId="6DEEE8D4" w14:textId="4801EB23"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14" w:history="1">
              <w:r w:rsidRPr="00505244">
                <w:rPr>
                  <w:rFonts w:ascii="Arial" w:eastAsia="Times New Roman" w:hAnsi="Arial" w:cs="Arial"/>
                  <w:color w:val="3A4E72"/>
                  <w:sz w:val="21"/>
                  <w:szCs w:val="21"/>
                </w:rPr>
                <w:t>SB 0998</w:t>
              </w:r>
            </w:hyperlink>
            <w:r w:rsidRPr="00505244">
              <w:rPr>
                <w:rFonts w:ascii="Arial" w:eastAsia="Times New Roman" w:hAnsi="Arial" w:cs="Arial"/>
                <w:noProof/>
                <w:color w:val="3C3D3F"/>
                <w:sz w:val="21"/>
                <w:szCs w:val="21"/>
              </w:rPr>
              <w:drawing>
                <wp:inline distT="0" distB="0" distL="0" distR="0" wp14:anchorId="1779E241" wp14:editId="2D73A15B">
                  <wp:extent cx="228600" cy="228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166FF1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Contractor Advertising</w:t>
            </w:r>
          </w:p>
        </w:tc>
        <w:tc>
          <w:tcPr>
            <w:tcW w:w="0" w:type="auto"/>
            <w:gridSpan w:val="3"/>
            <w:tcMar>
              <w:top w:w="105" w:type="dxa"/>
              <w:left w:w="60" w:type="dxa"/>
              <w:bottom w:w="60" w:type="dxa"/>
              <w:right w:w="60" w:type="dxa"/>
            </w:tcMar>
            <w:vAlign w:val="center"/>
            <w:hideMark/>
          </w:tcPr>
          <w:p w14:paraId="6753A79B" w14:textId="77777777" w:rsidR="00505244" w:rsidRPr="00505244" w:rsidRDefault="00505244" w:rsidP="00505244">
            <w:pPr>
              <w:spacing w:after="0" w:line="240" w:lineRule="auto"/>
              <w:rPr>
                <w:rFonts w:ascii="Arial" w:eastAsia="Times New Roman" w:hAnsi="Arial" w:cs="Arial"/>
                <w:color w:val="3C3D3F"/>
                <w:sz w:val="21"/>
                <w:szCs w:val="21"/>
              </w:rPr>
            </w:pPr>
            <w:hyperlink r:id="rId115" w:history="1">
              <w:r w:rsidRPr="00505244">
                <w:rPr>
                  <w:rFonts w:ascii="Arial" w:eastAsia="Times New Roman" w:hAnsi="Arial" w:cs="Arial"/>
                  <w:color w:val="3A4E72"/>
                  <w:sz w:val="21"/>
                  <w:szCs w:val="21"/>
                </w:rPr>
                <w:t>Brodeur</w:t>
              </w:r>
            </w:hyperlink>
            <w:r w:rsidRPr="00505244">
              <w:rPr>
                <w:rFonts w:ascii="Arial" w:eastAsia="Times New Roman" w:hAnsi="Arial" w:cs="Arial"/>
                <w:color w:val="3C3D3F"/>
                <w:sz w:val="21"/>
                <w:szCs w:val="21"/>
              </w:rPr>
              <w:t>  </w:t>
            </w:r>
          </w:p>
        </w:tc>
      </w:tr>
      <w:tr w:rsidR="00505244" w:rsidRPr="00505244" w14:paraId="0D5FE48B" w14:textId="77777777" w:rsidTr="00505244">
        <w:tc>
          <w:tcPr>
            <w:tcW w:w="0" w:type="auto"/>
            <w:shd w:val="clear" w:color="auto" w:fill="F8F8F9"/>
            <w:tcMar>
              <w:top w:w="60" w:type="dxa"/>
              <w:left w:w="60" w:type="dxa"/>
              <w:bottom w:w="60" w:type="dxa"/>
              <w:right w:w="60" w:type="dxa"/>
            </w:tcMar>
            <w:vAlign w:val="center"/>
            <w:hideMark/>
          </w:tcPr>
          <w:p w14:paraId="51E1E69E"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2590D4B"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Contractor </w:t>
            </w:r>
            <w:proofErr w:type="gramStart"/>
            <w:r w:rsidRPr="00505244">
              <w:rPr>
                <w:rFonts w:ascii="Arial" w:eastAsia="Times New Roman" w:hAnsi="Arial" w:cs="Arial"/>
                <w:color w:val="3C3D3F"/>
                <w:sz w:val="17"/>
                <w:szCs w:val="17"/>
              </w:rPr>
              <w:t>Advertising;</w:t>
            </w:r>
            <w:proofErr w:type="gramEnd"/>
            <w:r w:rsidRPr="00505244">
              <w:rPr>
                <w:rFonts w:ascii="Arial" w:eastAsia="Times New Roman" w:hAnsi="Arial" w:cs="Arial"/>
                <w:color w:val="3C3D3F"/>
                <w:sz w:val="17"/>
                <w:szCs w:val="17"/>
              </w:rPr>
              <w:t xml:space="preserve"> Providing that alarm system contractors are not required to state their certification and registration numbers in or on certain advertisements if the contractor maintains an Internet website that displays such information and the advertisement directs consumers to the website; authorizing a contractor to begin repairing certain fire alarm systems after filing an application for a required permit but before receiving the permit, etc. Effective Date: 7/1/2021</w:t>
            </w:r>
          </w:p>
        </w:tc>
      </w:tr>
      <w:tr w:rsidR="00505244" w:rsidRPr="00505244" w14:paraId="55E11AD5" w14:textId="77777777" w:rsidTr="00505244">
        <w:tc>
          <w:tcPr>
            <w:tcW w:w="0" w:type="auto"/>
            <w:shd w:val="clear" w:color="auto" w:fill="F8F8F9"/>
            <w:tcMar>
              <w:top w:w="60" w:type="dxa"/>
              <w:left w:w="60" w:type="dxa"/>
              <w:bottom w:w="60" w:type="dxa"/>
              <w:right w:w="60" w:type="dxa"/>
            </w:tcMar>
            <w:vAlign w:val="center"/>
            <w:hideMark/>
          </w:tcPr>
          <w:p w14:paraId="32CF6A5C"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A30184C" w14:textId="7A3BA47B"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16" w:history="1">
              <w:r w:rsidRPr="00505244">
                <w:rPr>
                  <w:rFonts w:ascii="Arial" w:eastAsia="Times New Roman" w:hAnsi="Arial" w:cs="Arial"/>
                  <w:color w:val="3A4E72"/>
                  <w:sz w:val="21"/>
                  <w:szCs w:val="21"/>
                </w:rPr>
                <w:t>HB 0823</w:t>
              </w:r>
            </w:hyperlink>
            <w:r w:rsidRPr="00505244">
              <w:rPr>
                <w:rFonts w:ascii="Arial" w:eastAsia="Times New Roman" w:hAnsi="Arial" w:cs="Arial"/>
                <w:noProof/>
                <w:color w:val="3C3D3F"/>
                <w:sz w:val="21"/>
                <w:szCs w:val="21"/>
              </w:rPr>
              <w:drawing>
                <wp:inline distT="0" distB="0" distL="0" distR="0" wp14:anchorId="39E99B6D" wp14:editId="28FFD92F">
                  <wp:extent cx="22860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2210364"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Alarm System Contractors</w:t>
            </w:r>
          </w:p>
        </w:tc>
        <w:tc>
          <w:tcPr>
            <w:tcW w:w="0" w:type="auto"/>
            <w:gridSpan w:val="3"/>
            <w:tcMar>
              <w:top w:w="105" w:type="dxa"/>
              <w:left w:w="60" w:type="dxa"/>
              <w:bottom w:w="60" w:type="dxa"/>
              <w:right w:w="60" w:type="dxa"/>
            </w:tcMar>
            <w:vAlign w:val="center"/>
            <w:hideMark/>
          </w:tcPr>
          <w:p w14:paraId="478BB665" w14:textId="77777777" w:rsidR="00505244" w:rsidRPr="00505244" w:rsidRDefault="00505244" w:rsidP="00505244">
            <w:pPr>
              <w:spacing w:after="0" w:line="240" w:lineRule="auto"/>
              <w:rPr>
                <w:rFonts w:ascii="Arial" w:eastAsia="Times New Roman" w:hAnsi="Arial" w:cs="Arial"/>
                <w:color w:val="3C3D3F"/>
                <w:sz w:val="21"/>
                <w:szCs w:val="21"/>
              </w:rPr>
            </w:pPr>
            <w:hyperlink r:id="rId117" w:history="1">
              <w:r w:rsidRPr="00505244">
                <w:rPr>
                  <w:rFonts w:ascii="Arial" w:eastAsia="Times New Roman" w:hAnsi="Arial" w:cs="Arial"/>
                  <w:color w:val="3A4E72"/>
                  <w:sz w:val="21"/>
                  <w:szCs w:val="21"/>
                </w:rPr>
                <w:t>Mariano</w:t>
              </w:r>
            </w:hyperlink>
            <w:r w:rsidRPr="00505244">
              <w:rPr>
                <w:rFonts w:ascii="Arial" w:eastAsia="Times New Roman" w:hAnsi="Arial" w:cs="Arial"/>
                <w:color w:val="3C3D3F"/>
                <w:sz w:val="21"/>
                <w:szCs w:val="21"/>
              </w:rPr>
              <w:t>  </w:t>
            </w:r>
          </w:p>
        </w:tc>
      </w:tr>
      <w:tr w:rsidR="00505244" w:rsidRPr="00505244" w14:paraId="6A073D80" w14:textId="77777777" w:rsidTr="00505244">
        <w:tc>
          <w:tcPr>
            <w:tcW w:w="0" w:type="auto"/>
            <w:shd w:val="clear" w:color="auto" w:fill="F8F8F9"/>
            <w:tcMar>
              <w:top w:w="60" w:type="dxa"/>
              <w:left w:w="60" w:type="dxa"/>
              <w:bottom w:w="60" w:type="dxa"/>
              <w:right w:w="60" w:type="dxa"/>
            </w:tcMar>
            <w:vAlign w:val="center"/>
            <w:hideMark/>
          </w:tcPr>
          <w:p w14:paraId="37CF3B9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42CE984"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Alarm System Contractors: Provides that advertisements for alarm system contracting do not have to include contractor's registration or certification number; authorizes contractor to begin repairing specified fire alarm system under certain conditions; provides that repaired fire alarm system is not compliant with applicable codes &amp; standards until certain conditions are met. Effective Date: July 1, 2021</w:t>
            </w:r>
          </w:p>
        </w:tc>
      </w:tr>
      <w:tr w:rsidR="00505244" w:rsidRPr="00505244" w14:paraId="75872A89" w14:textId="77777777" w:rsidTr="00505244">
        <w:tc>
          <w:tcPr>
            <w:tcW w:w="0" w:type="auto"/>
            <w:shd w:val="clear" w:color="auto" w:fill="F8F8F9"/>
            <w:tcMar>
              <w:top w:w="60" w:type="dxa"/>
              <w:left w:w="60" w:type="dxa"/>
              <w:bottom w:w="60" w:type="dxa"/>
              <w:right w:w="60" w:type="dxa"/>
            </w:tcMar>
            <w:vAlign w:val="center"/>
            <w:hideMark/>
          </w:tcPr>
          <w:p w14:paraId="32CF3B75"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328B6D1" w14:textId="3C679638"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18" w:history="1">
              <w:r w:rsidRPr="00505244">
                <w:rPr>
                  <w:rFonts w:ascii="Arial" w:eastAsia="Times New Roman" w:hAnsi="Arial" w:cs="Arial"/>
                  <w:color w:val="3A4E72"/>
                  <w:sz w:val="21"/>
                  <w:szCs w:val="21"/>
                </w:rPr>
                <w:t>SB 1470</w:t>
              </w:r>
            </w:hyperlink>
            <w:r w:rsidRPr="00505244">
              <w:rPr>
                <w:rFonts w:ascii="Arial" w:eastAsia="Times New Roman" w:hAnsi="Arial" w:cs="Arial"/>
                <w:noProof/>
                <w:color w:val="3C3D3F"/>
                <w:sz w:val="21"/>
                <w:szCs w:val="21"/>
              </w:rPr>
              <w:drawing>
                <wp:inline distT="0" distB="0" distL="0" distR="0" wp14:anchorId="51FC66D5" wp14:editId="74A0158C">
                  <wp:extent cx="228600" cy="228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5BFA5C6C"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Florida Life and Health Insurance Guaranty Association</w:t>
            </w:r>
          </w:p>
        </w:tc>
        <w:tc>
          <w:tcPr>
            <w:tcW w:w="0" w:type="auto"/>
            <w:gridSpan w:val="3"/>
            <w:tcMar>
              <w:top w:w="105" w:type="dxa"/>
              <w:left w:w="60" w:type="dxa"/>
              <w:bottom w:w="60" w:type="dxa"/>
              <w:right w:w="60" w:type="dxa"/>
            </w:tcMar>
            <w:vAlign w:val="center"/>
            <w:hideMark/>
          </w:tcPr>
          <w:p w14:paraId="2EB875AD" w14:textId="77777777" w:rsidR="00505244" w:rsidRPr="00505244" w:rsidRDefault="00505244" w:rsidP="00505244">
            <w:pPr>
              <w:spacing w:after="0" w:line="240" w:lineRule="auto"/>
              <w:rPr>
                <w:rFonts w:ascii="Arial" w:eastAsia="Times New Roman" w:hAnsi="Arial" w:cs="Arial"/>
                <w:color w:val="3C3D3F"/>
                <w:sz w:val="21"/>
                <w:szCs w:val="21"/>
              </w:rPr>
            </w:pPr>
            <w:hyperlink r:id="rId119" w:history="1">
              <w:r w:rsidRPr="00505244">
                <w:rPr>
                  <w:rFonts w:ascii="Arial" w:eastAsia="Times New Roman" w:hAnsi="Arial" w:cs="Arial"/>
                  <w:color w:val="3A4E72"/>
                  <w:sz w:val="21"/>
                  <w:szCs w:val="21"/>
                </w:rPr>
                <w:t>Boyd</w:t>
              </w:r>
            </w:hyperlink>
            <w:r w:rsidRPr="00505244">
              <w:rPr>
                <w:rFonts w:ascii="Arial" w:eastAsia="Times New Roman" w:hAnsi="Arial" w:cs="Arial"/>
                <w:color w:val="3C3D3F"/>
                <w:sz w:val="21"/>
                <w:szCs w:val="21"/>
              </w:rPr>
              <w:t>  </w:t>
            </w:r>
          </w:p>
        </w:tc>
      </w:tr>
      <w:tr w:rsidR="00505244" w:rsidRPr="00505244" w14:paraId="24F02309" w14:textId="77777777" w:rsidTr="00505244">
        <w:tc>
          <w:tcPr>
            <w:tcW w:w="0" w:type="auto"/>
            <w:shd w:val="clear" w:color="auto" w:fill="F8F8F9"/>
            <w:tcMar>
              <w:top w:w="60" w:type="dxa"/>
              <w:left w:w="60" w:type="dxa"/>
              <w:bottom w:w="60" w:type="dxa"/>
              <w:right w:w="60" w:type="dxa"/>
            </w:tcMar>
            <w:vAlign w:val="center"/>
            <w:hideMark/>
          </w:tcPr>
          <w:p w14:paraId="5D77CEEA"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849DEAB"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Florida Life and Health Insurance Guaranty Association; Defining the term “Moody’s Corporate Bond Yield Average”; authorizing the association to assume or reissue covered policies of impaired insurers; granting the association the right to appear or intervene before a court or an agency in certain proceedings; revising the calculation of Class A assessments; specifying requirements for repayment of deferred assessments upon removal or rectification of the conditions causing a deferral, etc. Effective Date: 7/1/2021</w:t>
            </w:r>
          </w:p>
        </w:tc>
      </w:tr>
      <w:tr w:rsidR="00505244" w:rsidRPr="00505244" w14:paraId="2EB9CAC8" w14:textId="77777777" w:rsidTr="00505244">
        <w:tc>
          <w:tcPr>
            <w:tcW w:w="0" w:type="auto"/>
            <w:shd w:val="clear" w:color="auto" w:fill="F8F8F9"/>
            <w:tcMar>
              <w:top w:w="60" w:type="dxa"/>
              <w:left w:w="60" w:type="dxa"/>
              <w:bottom w:w="60" w:type="dxa"/>
              <w:right w:w="60" w:type="dxa"/>
            </w:tcMar>
            <w:vAlign w:val="center"/>
            <w:hideMark/>
          </w:tcPr>
          <w:p w14:paraId="2B7CCCBD"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DC73889" w14:textId="24B03B32"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20" w:history="1">
              <w:r w:rsidRPr="00505244">
                <w:rPr>
                  <w:rFonts w:ascii="Arial" w:eastAsia="Times New Roman" w:hAnsi="Arial" w:cs="Arial"/>
                  <w:color w:val="3A4E72"/>
                  <w:sz w:val="21"/>
                  <w:szCs w:val="21"/>
                </w:rPr>
                <w:t>HB 0797</w:t>
              </w:r>
            </w:hyperlink>
            <w:r w:rsidRPr="00505244">
              <w:rPr>
                <w:rFonts w:ascii="Arial" w:eastAsia="Times New Roman" w:hAnsi="Arial" w:cs="Arial"/>
                <w:noProof/>
                <w:color w:val="3C3D3F"/>
                <w:sz w:val="21"/>
                <w:szCs w:val="21"/>
              </w:rPr>
              <w:drawing>
                <wp:inline distT="0" distB="0" distL="0" distR="0" wp14:anchorId="5B01E918" wp14:editId="6E6E9DFF">
                  <wp:extent cx="22860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ED0E3B9"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xml:space="preserve">Florida Life and Health Insurance </w:t>
            </w:r>
            <w:r w:rsidRPr="00505244">
              <w:rPr>
                <w:rFonts w:ascii="Arial" w:eastAsia="Times New Roman" w:hAnsi="Arial" w:cs="Arial"/>
                <w:color w:val="3C3D3F"/>
                <w:sz w:val="21"/>
                <w:szCs w:val="21"/>
              </w:rPr>
              <w:lastRenderedPageBreak/>
              <w:t>Guaranty Association</w:t>
            </w:r>
          </w:p>
        </w:tc>
        <w:tc>
          <w:tcPr>
            <w:tcW w:w="0" w:type="auto"/>
            <w:gridSpan w:val="3"/>
            <w:tcMar>
              <w:top w:w="105" w:type="dxa"/>
              <w:left w:w="60" w:type="dxa"/>
              <w:bottom w:w="60" w:type="dxa"/>
              <w:right w:w="60" w:type="dxa"/>
            </w:tcMar>
            <w:vAlign w:val="center"/>
            <w:hideMark/>
          </w:tcPr>
          <w:p w14:paraId="7EBCDEBC" w14:textId="77777777" w:rsidR="00505244" w:rsidRPr="00505244" w:rsidRDefault="00505244" w:rsidP="00505244">
            <w:pPr>
              <w:spacing w:after="0" w:line="240" w:lineRule="auto"/>
              <w:rPr>
                <w:rFonts w:ascii="Arial" w:eastAsia="Times New Roman" w:hAnsi="Arial" w:cs="Arial"/>
                <w:color w:val="3C3D3F"/>
                <w:sz w:val="21"/>
                <w:szCs w:val="21"/>
              </w:rPr>
            </w:pPr>
            <w:hyperlink r:id="rId121" w:history="1">
              <w:r w:rsidRPr="00505244">
                <w:rPr>
                  <w:rFonts w:ascii="Arial" w:eastAsia="Times New Roman" w:hAnsi="Arial" w:cs="Arial"/>
                  <w:color w:val="3A4E72"/>
                  <w:sz w:val="21"/>
                  <w:szCs w:val="21"/>
                </w:rPr>
                <w:t>Robinson (W)</w:t>
              </w:r>
            </w:hyperlink>
            <w:r w:rsidRPr="00505244">
              <w:rPr>
                <w:rFonts w:ascii="Arial" w:eastAsia="Times New Roman" w:hAnsi="Arial" w:cs="Arial"/>
                <w:color w:val="3C3D3F"/>
                <w:sz w:val="21"/>
                <w:szCs w:val="21"/>
              </w:rPr>
              <w:t>  </w:t>
            </w:r>
          </w:p>
        </w:tc>
      </w:tr>
      <w:tr w:rsidR="00505244" w:rsidRPr="00505244" w14:paraId="180E1338" w14:textId="77777777" w:rsidTr="00505244">
        <w:tc>
          <w:tcPr>
            <w:tcW w:w="0" w:type="auto"/>
            <w:shd w:val="clear" w:color="auto" w:fill="F8F8F9"/>
            <w:tcMar>
              <w:top w:w="60" w:type="dxa"/>
              <w:left w:w="60" w:type="dxa"/>
              <w:bottom w:w="60" w:type="dxa"/>
              <w:right w:w="60" w:type="dxa"/>
            </w:tcMar>
            <w:vAlign w:val="center"/>
            <w:hideMark/>
          </w:tcPr>
          <w:p w14:paraId="28A5377F"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54EB8A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Florida Life and Health Insurance Guaranty Association: Redefines "person," to apply to provisions relating to life &amp; health insurance guaranty of payments; authorizes Florida Life &amp; Health Insurance Guaranty Association to assume, reissue, &amp; cause to be reissued covered polices of impaired insurers; revises association's standing before court; provides association has right to appear or intervene before court or agency in another state; authorizes board of directors of association to credit specified assessments against certain future assessments; requires member insurers to pay deferred assessments. Effective Date: July 1, 2021</w:t>
            </w:r>
          </w:p>
        </w:tc>
      </w:tr>
      <w:tr w:rsidR="00505244" w:rsidRPr="00505244" w14:paraId="69EA1BA3" w14:textId="77777777" w:rsidTr="00505244">
        <w:tc>
          <w:tcPr>
            <w:tcW w:w="0" w:type="auto"/>
            <w:shd w:val="clear" w:color="auto" w:fill="F8F8F9"/>
            <w:tcMar>
              <w:top w:w="60" w:type="dxa"/>
              <w:left w:w="60" w:type="dxa"/>
              <w:bottom w:w="60" w:type="dxa"/>
              <w:right w:w="60" w:type="dxa"/>
            </w:tcMar>
            <w:vAlign w:val="center"/>
            <w:hideMark/>
          </w:tcPr>
          <w:p w14:paraId="6F040230"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7D4EA25" w14:textId="0A62494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22" w:history="1">
              <w:r w:rsidRPr="00505244">
                <w:rPr>
                  <w:rFonts w:ascii="Arial" w:eastAsia="Times New Roman" w:hAnsi="Arial" w:cs="Arial"/>
                  <w:color w:val="3A4E72"/>
                  <w:sz w:val="21"/>
                  <w:szCs w:val="21"/>
                </w:rPr>
                <w:t>SB 0130</w:t>
              </w:r>
            </w:hyperlink>
            <w:r w:rsidRPr="00505244">
              <w:rPr>
                <w:rFonts w:ascii="Arial" w:eastAsia="Times New Roman" w:hAnsi="Arial" w:cs="Arial"/>
                <w:noProof/>
                <w:color w:val="3C3D3F"/>
                <w:sz w:val="21"/>
                <w:szCs w:val="21"/>
              </w:rPr>
              <w:drawing>
                <wp:inline distT="0" distB="0" distL="0" distR="0" wp14:anchorId="73583740" wp14:editId="5C3C24F2">
                  <wp:extent cx="2286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E2746EA"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Mental Health and Substance Use Disorders</w:t>
            </w:r>
          </w:p>
        </w:tc>
        <w:tc>
          <w:tcPr>
            <w:tcW w:w="0" w:type="auto"/>
            <w:gridSpan w:val="3"/>
            <w:tcMar>
              <w:top w:w="105" w:type="dxa"/>
              <w:left w:w="60" w:type="dxa"/>
              <w:bottom w:w="60" w:type="dxa"/>
              <w:right w:w="60" w:type="dxa"/>
            </w:tcMar>
            <w:vAlign w:val="center"/>
            <w:hideMark/>
          </w:tcPr>
          <w:p w14:paraId="13D83EB3" w14:textId="77777777" w:rsidR="00505244" w:rsidRPr="00505244" w:rsidRDefault="00505244" w:rsidP="00505244">
            <w:pPr>
              <w:spacing w:after="0" w:line="240" w:lineRule="auto"/>
              <w:rPr>
                <w:rFonts w:ascii="Arial" w:eastAsia="Times New Roman" w:hAnsi="Arial" w:cs="Arial"/>
                <w:color w:val="3C3D3F"/>
                <w:sz w:val="21"/>
                <w:szCs w:val="21"/>
              </w:rPr>
            </w:pPr>
            <w:hyperlink r:id="rId123" w:history="1">
              <w:proofErr w:type="spellStart"/>
              <w:r w:rsidRPr="00505244">
                <w:rPr>
                  <w:rFonts w:ascii="Arial" w:eastAsia="Times New Roman" w:hAnsi="Arial" w:cs="Arial"/>
                  <w:color w:val="3A4E72"/>
                  <w:sz w:val="21"/>
                  <w:szCs w:val="21"/>
                </w:rPr>
                <w:t>Rouson</w:t>
              </w:r>
              <w:proofErr w:type="spellEnd"/>
            </w:hyperlink>
            <w:r w:rsidRPr="00505244">
              <w:rPr>
                <w:rFonts w:ascii="Arial" w:eastAsia="Times New Roman" w:hAnsi="Arial" w:cs="Arial"/>
                <w:color w:val="3C3D3F"/>
                <w:sz w:val="21"/>
                <w:szCs w:val="21"/>
              </w:rPr>
              <w:t>  </w:t>
            </w:r>
          </w:p>
        </w:tc>
      </w:tr>
      <w:tr w:rsidR="00505244" w:rsidRPr="00505244" w14:paraId="360E8B14" w14:textId="77777777" w:rsidTr="00505244">
        <w:tc>
          <w:tcPr>
            <w:tcW w:w="0" w:type="auto"/>
            <w:shd w:val="clear" w:color="auto" w:fill="F8F8F9"/>
            <w:tcMar>
              <w:top w:w="60" w:type="dxa"/>
              <w:left w:w="60" w:type="dxa"/>
              <w:bottom w:w="60" w:type="dxa"/>
              <w:right w:w="60" w:type="dxa"/>
            </w:tcMar>
            <w:vAlign w:val="center"/>
            <w:hideMark/>
          </w:tcPr>
          <w:p w14:paraId="55332869"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26A2291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Mental Health and Substance Use Disorders; Providing that the use of peer specialists is an essential element of a coordinated system of care in recovery from a substance use disorder or mental illness; requiring the department to certify peer specialists, either directly or by approving a third-party credentialing entity; requiring that a person providing recovery support services be certified or be supervised by a licensed behavioral health care professional or a certified peer specialist; requiring peer specialists and certain persons to meet the requirements of a background screening as a condition of employment and continued employment, etc. Effective Date: 7/1/2021</w:t>
            </w:r>
          </w:p>
        </w:tc>
      </w:tr>
      <w:tr w:rsidR="00505244" w:rsidRPr="00505244" w14:paraId="35EFCCB7" w14:textId="77777777" w:rsidTr="00505244">
        <w:tc>
          <w:tcPr>
            <w:tcW w:w="0" w:type="auto"/>
            <w:shd w:val="clear" w:color="auto" w:fill="F8F8F9"/>
            <w:tcMar>
              <w:top w:w="60" w:type="dxa"/>
              <w:left w:w="60" w:type="dxa"/>
              <w:bottom w:w="60" w:type="dxa"/>
              <w:right w:w="60" w:type="dxa"/>
            </w:tcMar>
            <w:vAlign w:val="center"/>
            <w:hideMark/>
          </w:tcPr>
          <w:p w14:paraId="66FA5B8D"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D970F88" w14:textId="1263ACB1"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24" w:history="1">
              <w:r w:rsidRPr="00505244">
                <w:rPr>
                  <w:rFonts w:ascii="Arial" w:eastAsia="Times New Roman" w:hAnsi="Arial" w:cs="Arial"/>
                  <w:color w:val="3A4E72"/>
                  <w:sz w:val="21"/>
                  <w:szCs w:val="21"/>
                </w:rPr>
                <w:t>SB 0622</w:t>
              </w:r>
            </w:hyperlink>
            <w:r w:rsidRPr="00505244">
              <w:rPr>
                <w:rFonts w:ascii="Arial" w:eastAsia="Times New Roman" w:hAnsi="Arial" w:cs="Arial"/>
                <w:noProof/>
                <w:color w:val="3C3D3F"/>
                <w:sz w:val="21"/>
                <w:szCs w:val="21"/>
              </w:rPr>
              <w:drawing>
                <wp:inline distT="0" distB="0" distL="0" distR="0" wp14:anchorId="1A4C83EB" wp14:editId="544C68F7">
                  <wp:extent cx="22860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173BB00C"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Liens and Bonds</w:t>
            </w:r>
          </w:p>
        </w:tc>
        <w:tc>
          <w:tcPr>
            <w:tcW w:w="0" w:type="auto"/>
            <w:gridSpan w:val="3"/>
            <w:tcMar>
              <w:top w:w="105" w:type="dxa"/>
              <w:left w:w="60" w:type="dxa"/>
              <w:bottom w:w="60" w:type="dxa"/>
              <w:right w:w="60" w:type="dxa"/>
            </w:tcMar>
            <w:vAlign w:val="center"/>
            <w:hideMark/>
          </w:tcPr>
          <w:p w14:paraId="67DD7574" w14:textId="77777777" w:rsidR="00505244" w:rsidRPr="00505244" w:rsidRDefault="00505244" w:rsidP="00505244">
            <w:pPr>
              <w:spacing w:after="0" w:line="240" w:lineRule="auto"/>
              <w:rPr>
                <w:rFonts w:ascii="Arial" w:eastAsia="Times New Roman" w:hAnsi="Arial" w:cs="Arial"/>
                <w:color w:val="3C3D3F"/>
                <w:sz w:val="21"/>
                <w:szCs w:val="21"/>
              </w:rPr>
            </w:pPr>
            <w:hyperlink r:id="rId125" w:history="1">
              <w:r w:rsidRPr="00505244">
                <w:rPr>
                  <w:rFonts w:ascii="Arial" w:eastAsia="Times New Roman" w:hAnsi="Arial" w:cs="Arial"/>
                  <w:color w:val="3A4E72"/>
                  <w:sz w:val="21"/>
                  <w:szCs w:val="21"/>
                </w:rPr>
                <w:t>Perry</w:t>
              </w:r>
            </w:hyperlink>
            <w:r w:rsidRPr="00505244">
              <w:rPr>
                <w:rFonts w:ascii="Arial" w:eastAsia="Times New Roman" w:hAnsi="Arial" w:cs="Arial"/>
                <w:color w:val="3C3D3F"/>
                <w:sz w:val="21"/>
                <w:szCs w:val="21"/>
              </w:rPr>
              <w:t>  </w:t>
            </w:r>
          </w:p>
        </w:tc>
      </w:tr>
      <w:tr w:rsidR="00505244" w:rsidRPr="00505244" w14:paraId="6AFACF15" w14:textId="77777777" w:rsidTr="00505244">
        <w:tc>
          <w:tcPr>
            <w:tcW w:w="0" w:type="auto"/>
            <w:shd w:val="clear" w:color="auto" w:fill="F8F8F9"/>
            <w:tcMar>
              <w:top w:w="60" w:type="dxa"/>
              <w:left w:w="60" w:type="dxa"/>
              <w:bottom w:w="60" w:type="dxa"/>
              <w:right w:w="60" w:type="dxa"/>
            </w:tcMar>
            <w:vAlign w:val="center"/>
            <w:hideMark/>
          </w:tcPr>
          <w:p w14:paraId="4B8D5FB2"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99D19FE"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Liens and Bonds; Requiring that a copy of a notice of nonpayment be served on the surety; prohibiting a person from requiring a claimant to furnish a certain waiver in exchange for or to induce certain payments; authorizing a lienor to record one claim of lien for multiple direct contracts; revising information to be included in a notice of commencement; requiring service of documents relating to construction bonds to be made in a specified manner, etc. Effective Date: 7/1/2021</w:t>
            </w:r>
          </w:p>
        </w:tc>
      </w:tr>
      <w:tr w:rsidR="00505244" w:rsidRPr="00505244" w14:paraId="39083807" w14:textId="77777777" w:rsidTr="00505244">
        <w:tc>
          <w:tcPr>
            <w:tcW w:w="0" w:type="auto"/>
            <w:shd w:val="clear" w:color="auto" w:fill="F8F8F9"/>
            <w:tcMar>
              <w:top w:w="60" w:type="dxa"/>
              <w:left w:w="60" w:type="dxa"/>
              <w:bottom w:w="60" w:type="dxa"/>
              <w:right w:w="60" w:type="dxa"/>
            </w:tcMar>
            <w:vAlign w:val="center"/>
            <w:hideMark/>
          </w:tcPr>
          <w:p w14:paraId="32E7401B"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6C931FCD" w14:textId="32265B6B"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26" w:history="1">
              <w:r w:rsidRPr="00505244">
                <w:rPr>
                  <w:rFonts w:ascii="Arial" w:eastAsia="Times New Roman" w:hAnsi="Arial" w:cs="Arial"/>
                  <w:color w:val="3A4E72"/>
                  <w:sz w:val="21"/>
                  <w:szCs w:val="21"/>
                </w:rPr>
                <w:t>SB 0804</w:t>
              </w:r>
            </w:hyperlink>
            <w:r w:rsidRPr="00505244">
              <w:rPr>
                <w:rFonts w:ascii="Arial" w:eastAsia="Times New Roman" w:hAnsi="Arial" w:cs="Arial"/>
                <w:noProof/>
                <w:color w:val="3C3D3F"/>
                <w:sz w:val="21"/>
                <w:szCs w:val="21"/>
              </w:rPr>
              <w:drawing>
                <wp:inline distT="0" distB="0" distL="0" distR="0" wp14:anchorId="046D96FB" wp14:editId="364FE58E">
                  <wp:extent cx="228600" cy="228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337ED1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Substance Abuse Services</w:t>
            </w:r>
          </w:p>
        </w:tc>
        <w:tc>
          <w:tcPr>
            <w:tcW w:w="0" w:type="auto"/>
            <w:gridSpan w:val="3"/>
            <w:tcMar>
              <w:top w:w="105" w:type="dxa"/>
              <w:left w:w="60" w:type="dxa"/>
              <w:bottom w:w="60" w:type="dxa"/>
              <w:right w:w="60" w:type="dxa"/>
            </w:tcMar>
            <w:vAlign w:val="center"/>
            <w:hideMark/>
          </w:tcPr>
          <w:p w14:paraId="738E66BC" w14:textId="77777777" w:rsidR="00505244" w:rsidRPr="00505244" w:rsidRDefault="00505244" w:rsidP="00505244">
            <w:pPr>
              <w:spacing w:after="0" w:line="240" w:lineRule="auto"/>
              <w:rPr>
                <w:rFonts w:ascii="Arial" w:eastAsia="Times New Roman" w:hAnsi="Arial" w:cs="Arial"/>
                <w:color w:val="3C3D3F"/>
                <w:sz w:val="21"/>
                <w:szCs w:val="21"/>
              </w:rPr>
            </w:pPr>
            <w:hyperlink r:id="rId127" w:history="1">
              <w:r w:rsidRPr="00505244">
                <w:rPr>
                  <w:rFonts w:ascii="Arial" w:eastAsia="Times New Roman" w:hAnsi="Arial" w:cs="Arial"/>
                  <w:color w:val="3A4E72"/>
                  <w:sz w:val="21"/>
                  <w:szCs w:val="21"/>
                </w:rPr>
                <w:t>Harrell</w:t>
              </w:r>
            </w:hyperlink>
            <w:r w:rsidRPr="00505244">
              <w:rPr>
                <w:rFonts w:ascii="Arial" w:eastAsia="Times New Roman" w:hAnsi="Arial" w:cs="Arial"/>
                <w:color w:val="3C3D3F"/>
                <w:sz w:val="21"/>
                <w:szCs w:val="21"/>
              </w:rPr>
              <w:t>  </w:t>
            </w:r>
          </w:p>
        </w:tc>
      </w:tr>
      <w:tr w:rsidR="00505244" w:rsidRPr="00505244" w14:paraId="0840DD32" w14:textId="77777777" w:rsidTr="00505244">
        <w:tc>
          <w:tcPr>
            <w:tcW w:w="0" w:type="auto"/>
            <w:shd w:val="clear" w:color="auto" w:fill="F8F8F9"/>
            <w:tcMar>
              <w:top w:w="60" w:type="dxa"/>
              <w:left w:w="60" w:type="dxa"/>
              <w:bottom w:w="60" w:type="dxa"/>
              <w:right w:w="60" w:type="dxa"/>
            </w:tcMar>
            <w:vAlign w:val="center"/>
            <w:hideMark/>
          </w:tcPr>
          <w:p w14:paraId="0B5A3698"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EED14BA"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Substance Abuse Services; Providing criminal penalties for making certain false representations or omissions of material facts when applying for service provider licenses; requiring the Department of Children and Families to suspend a service provider’s license under certain circumstances; expanding the applicability of certain exemptions for disqualification to applications for certification of a recovery residence or a recovery residence administrator, respectively; specifying that certain dwellings converted to recovery residences do not have a change of occupancy under the Florida Building Code due to such conversion, etc. Effective Date: 7/1/2021</w:t>
            </w:r>
          </w:p>
        </w:tc>
      </w:tr>
      <w:tr w:rsidR="00505244" w:rsidRPr="00505244" w14:paraId="06394972" w14:textId="77777777" w:rsidTr="00505244">
        <w:tc>
          <w:tcPr>
            <w:tcW w:w="0" w:type="auto"/>
            <w:shd w:val="clear" w:color="auto" w:fill="F8F8F9"/>
            <w:tcMar>
              <w:top w:w="60" w:type="dxa"/>
              <w:left w:w="60" w:type="dxa"/>
              <w:bottom w:w="60" w:type="dxa"/>
              <w:right w:w="60" w:type="dxa"/>
            </w:tcMar>
            <w:vAlign w:val="center"/>
            <w:hideMark/>
          </w:tcPr>
          <w:p w14:paraId="3B726E6D"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0032C55" w14:textId="348EA4C9"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28" w:history="1">
              <w:r w:rsidRPr="00505244">
                <w:rPr>
                  <w:rFonts w:ascii="Arial" w:eastAsia="Times New Roman" w:hAnsi="Arial" w:cs="Arial"/>
                  <w:color w:val="3A4E72"/>
                  <w:sz w:val="21"/>
                  <w:szCs w:val="21"/>
                </w:rPr>
                <w:t>SB 1024</w:t>
              </w:r>
            </w:hyperlink>
            <w:r w:rsidRPr="00505244">
              <w:rPr>
                <w:rFonts w:ascii="Arial" w:eastAsia="Times New Roman" w:hAnsi="Arial" w:cs="Arial"/>
                <w:noProof/>
                <w:color w:val="3C3D3F"/>
                <w:sz w:val="21"/>
                <w:szCs w:val="21"/>
              </w:rPr>
              <w:drawing>
                <wp:inline distT="0" distB="0" distL="0" distR="0" wp14:anchorId="7B45CF08" wp14:editId="730F7F2C">
                  <wp:extent cx="2286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4C87F7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Increasing Access to Mental Health Care</w:t>
            </w:r>
          </w:p>
        </w:tc>
        <w:tc>
          <w:tcPr>
            <w:tcW w:w="0" w:type="auto"/>
            <w:gridSpan w:val="3"/>
            <w:tcMar>
              <w:top w:w="105" w:type="dxa"/>
              <w:left w:w="60" w:type="dxa"/>
              <w:bottom w:w="60" w:type="dxa"/>
              <w:right w:w="60" w:type="dxa"/>
            </w:tcMar>
            <w:vAlign w:val="center"/>
            <w:hideMark/>
          </w:tcPr>
          <w:p w14:paraId="1ACEAFC1" w14:textId="77777777" w:rsidR="00505244" w:rsidRPr="00505244" w:rsidRDefault="00505244" w:rsidP="00505244">
            <w:pPr>
              <w:spacing w:after="0" w:line="240" w:lineRule="auto"/>
              <w:rPr>
                <w:rFonts w:ascii="Arial" w:eastAsia="Times New Roman" w:hAnsi="Arial" w:cs="Arial"/>
                <w:color w:val="3C3D3F"/>
                <w:sz w:val="21"/>
                <w:szCs w:val="21"/>
              </w:rPr>
            </w:pPr>
            <w:hyperlink r:id="rId129" w:history="1">
              <w:r w:rsidRPr="00505244">
                <w:rPr>
                  <w:rFonts w:ascii="Arial" w:eastAsia="Times New Roman" w:hAnsi="Arial" w:cs="Arial"/>
                  <w:color w:val="3A4E72"/>
                  <w:sz w:val="21"/>
                  <w:szCs w:val="21"/>
                </w:rPr>
                <w:t>Brodeur</w:t>
              </w:r>
            </w:hyperlink>
            <w:r w:rsidRPr="00505244">
              <w:rPr>
                <w:rFonts w:ascii="Arial" w:eastAsia="Times New Roman" w:hAnsi="Arial" w:cs="Arial"/>
                <w:color w:val="3C3D3F"/>
                <w:sz w:val="21"/>
                <w:szCs w:val="21"/>
              </w:rPr>
              <w:t>  </w:t>
            </w:r>
          </w:p>
        </w:tc>
      </w:tr>
      <w:tr w:rsidR="00505244" w:rsidRPr="00505244" w14:paraId="5931BE64" w14:textId="77777777" w:rsidTr="00505244">
        <w:tc>
          <w:tcPr>
            <w:tcW w:w="0" w:type="auto"/>
            <w:shd w:val="clear" w:color="auto" w:fill="F8F8F9"/>
            <w:tcMar>
              <w:top w:w="60" w:type="dxa"/>
              <w:left w:w="60" w:type="dxa"/>
              <w:bottom w:w="60" w:type="dxa"/>
              <w:right w:w="60" w:type="dxa"/>
            </w:tcMar>
            <w:vAlign w:val="center"/>
            <w:hideMark/>
          </w:tcPr>
          <w:p w14:paraId="5EC3551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6A3E917"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Increasing Access to Mental Health Care; Requiring the Department of Financial Services to submit a specified report to the Governor and Legislature by a specified date; specifying the minimum information the report must contain; requiring the department to make certain information available on its website; requiring insurers and health maintenance organizations, respectively, to disclose specified information on their websites; requiring insurers and health maintenance organizations, respectively, to annually provide certain written notices to insureds or subscribers, etc. Effective Date: 10/1/2021</w:t>
            </w:r>
          </w:p>
        </w:tc>
      </w:tr>
      <w:tr w:rsidR="00505244" w:rsidRPr="00505244" w14:paraId="00DFC5BB" w14:textId="77777777" w:rsidTr="00505244">
        <w:tc>
          <w:tcPr>
            <w:tcW w:w="0" w:type="auto"/>
            <w:shd w:val="clear" w:color="auto" w:fill="F8F8F9"/>
            <w:tcMar>
              <w:top w:w="60" w:type="dxa"/>
              <w:left w:w="60" w:type="dxa"/>
              <w:bottom w:w="60" w:type="dxa"/>
              <w:right w:w="60" w:type="dxa"/>
            </w:tcMar>
            <w:vAlign w:val="center"/>
            <w:hideMark/>
          </w:tcPr>
          <w:p w14:paraId="6461F484"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CEE6544" w14:textId="4A5F2446"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30" w:history="1">
              <w:r w:rsidRPr="00505244">
                <w:rPr>
                  <w:rFonts w:ascii="Arial" w:eastAsia="Times New Roman" w:hAnsi="Arial" w:cs="Arial"/>
                  <w:color w:val="3A4E72"/>
                  <w:sz w:val="21"/>
                  <w:szCs w:val="21"/>
                </w:rPr>
                <w:t>HB 0701</w:t>
              </w:r>
            </w:hyperlink>
            <w:r w:rsidRPr="00505244">
              <w:rPr>
                <w:rFonts w:ascii="Arial" w:eastAsia="Times New Roman" w:hAnsi="Arial" w:cs="Arial"/>
                <w:noProof/>
                <w:color w:val="3C3D3F"/>
                <w:sz w:val="21"/>
                <w:szCs w:val="21"/>
              </w:rPr>
              <w:drawing>
                <wp:inline distT="0" distB="0" distL="0" distR="0" wp14:anchorId="40245A6C" wp14:editId="0E1B5A2D">
                  <wp:extent cx="228600" cy="228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0AF981B"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Behavior Health Care Services Coverage and Access</w:t>
            </w:r>
          </w:p>
        </w:tc>
        <w:tc>
          <w:tcPr>
            <w:tcW w:w="0" w:type="auto"/>
            <w:gridSpan w:val="3"/>
            <w:tcMar>
              <w:top w:w="105" w:type="dxa"/>
              <w:left w:w="60" w:type="dxa"/>
              <w:bottom w:w="60" w:type="dxa"/>
              <w:right w:w="60" w:type="dxa"/>
            </w:tcMar>
            <w:vAlign w:val="center"/>
            <w:hideMark/>
          </w:tcPr>
          <w:p w14:paraId="6B6AF256" w14:textId="77777777" w:rsidR="00505244" w:rsidRPr="00505244" w:rsidRDefault="00505244" w:rsidP="00505244">
            <w:pPr>
              <w:spacing w:after="0" w:line="240" w:lineRule="auto"/>
              <w:rPr>
                <w:rFonts w:ascii="Arial" w:eastAsia="Times New Roman" w:hAnsi="Arial" w:cs="Arial"/>
                <w:color w:val="3C3D3F"/>
                <w:sz w:val="21"/>
                <w:szCs w:val="21"/>
              </w:rPr>
            </w:pPr>
            <w:hyperlink r:id="rId131" w:history="1">
              <w:r w:rsidRPr="00505244">
                <w:rPr>
                  <w:rFonts w:ascii="Arial" w:eastAsia="Times New Roman" w:hAnsi="Arial" w:cs="Arial"/>
                  <w:color w:val="3A4E72"/>
                  <w:sz w:val="21"/>
                  <w:szCs w:val="21"/>
                </w:rPr>
                <w:t>Stevenson</w:t>
              </w:r>
            </w:hyperlink>
            <w:r w:rsidRPr="00505244">
              <w:rPr>
                <w:rFonts w:ascii="Arial" w:eastAsia="Times New Roman" w:hAnsi="Arial" w:cs="Arial"/>
                <w:color w:val="3C3D3F"/>
                <w:sz w:val="21"/>
                <w:szCs w:val="21"/>
              </w:rPr>
              <w:t>  </w:t>
            </w:r>
          </w:p>
        </w:tc>
      </w:tr>
      <w:tr w:rsidR="00505244" w:rsidRPr="00505244" w14:paraId="62AAC89B" w14:textId="77777777" w:rsidTr="00505244">
        <w:tc>
          <w:tcPr>
            <w:tcW w:w="0" w:type="auto"/>
            <w:shd w:val="clear" w:color="auto" w:fill="F8F8F9"/>
            <w:tcMar>
              <w:top w:w="60" w:type="dxa"/>
              <w:left w:w="60" w:type="dxa"/>
              <w:bottom w:w="60" w:type="dxa"/>
              <w:right w:w="60" w:type="dxa"/>
            </w:tcMar>
            <w:vAlign w:val="center"/>
            <w:hideMark/>
          </w:tcPr>
          <w:p w14:paraId="23B158F3"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5AE16BA"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Behavior Health Care Services Coverage and Access: Requires DFS to submit report relating to behavioral health care services &amp; benefits to Governor &amp; Legislature by specified date; specifies minimum information report must contain; requires department to make certain information available on its website; requires health insurers &amp; health maintenance organizations to disclose specified information on their websites; requires health insurers &amp; health maintenance organizations to annually provide certain written notices to insureds or subscribers. Effective Date: October 1, 2021</w:t>
            </w:r>
          </w:p>
        </w:tc>
      </w:tr>
      <w:tr w:rsidR="00505244" w:rsidRPr="00505244" w14:paraId="517443EC" w14:textId="77777777" w:rsidTr="00505244">
        <w:tc>
          <w:tcPr>
            <w:tcW w:w="0" w:type="auto"/>
            <w:shd w:val="clear" w:color="auto" w:fill="F8F8F9"/>
            <w:tcMar>
              <w:top w:w="60" w:type="dxa"/>
              <w:left w:w="60" w:type="dxa"/>
              <w:bottom w:w="60" w:type="dxa"/>
              <w:right w:w="60" w:type="dxa"/>
            </w:tcMar>
            <w:vAlign w:val="center"/>
            <w:hideMark/>
          </w:tcPr>
          <w:p w14:paraId="4CDEBB2C"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7BF7129" w14:textId="5C3F1D06"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32" w:history="1">
              <w:r w:rsidRPr="00505244">
                <w:rPr>
                  <w:rFonts w:ascii="Arial" w:eastAsia="Times New Roman" w:hAnsi="Arial" w:cs="Arial"/>
                  <w:color w:val="3A4E72"/>
                  <w:sz w:val="21"/>
                  <w:szCs w:val="21"/>
                </w:rPr>
                <w:t>SB 1934</w:t>
              </w:r>
            </w:hyperlink>
            <w:r w:rsidRPr="00505244">
              <w:rPr>
                <w:rFonts w:ascii="Arial" w:eastAsia="Times New Roman" w:hAnsi="Arial" w:cs="Arial"/>
                <w:noProof/>
                <w:color w:val="3C3D3F"/>
                <w:sz w:val="21"/>
                <w:szCs w:val="21"/>
              </w:rPr>
              <w:drawing>
                <wp:inline distT="0" distB="0" distL="0" distR="0" wp14:anchorId="4DADA618" wp14:editId="2321A18B">
                  <wp:extent cx="2286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664F422"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Health Care Practitioner Discipline</w:t>
            </w:r>
          </w:p>
        </w:tc>
        <w:tc>
          <w:tcPr>
            <w:tcW w:w="0" w:type="auto"/>
            <w:gridSpan w:val="3"/>
            <w:tcMar>
              <w:top w:w="105" w:type="dxa"/>
              <w:left w:w="60" w:type="dxa"/>
              <w:bottom w:w="60" w:type="dxa"/>
              <w:right w:w="60" w:type="dxa"/>
            </w:tcMar>
            <w:vAlign w:val="center"/>
            <w:hideMark/>
          </w:tcPr>
          <w:p w14:paraId="09F685B6" w14:textId="77777777" w:rsidR="00505244" w:rsidRPr="00505244" w:rsidRDefault="00505244" w:rsidP="00505244">
            <w:pPr>
              <w:spacing w:after="0" w:line="240" w:lineRule="auto"/>
              <w:rPr>
                <w:rFonts w:ascii="Arial" w:eastAsia="Times New Roman" w:hAnsi="Arial" w:cs="Arial"/>
                <w:color w:val="3C3D3F"/>
                <w:sz w:val="21"/>
                <w:szCs w:val="21"/>
              </w:rPr>
            </w:pPr>
            <w:hyperlink r:id="rId133"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3D798E86" w14:textId="77777777" w:rsidTr="00505244">
        <w:tc>
          <w:tcPr>
            <w:tcW w:w="0" w:type="auto"/>
            <w:shd w:val="clear" w:color="auto" w:fill="F8F8F9"/>
            <w:tcMar>
              <w:top w:w="60" w:type="dxa"/>
              <w:left w:w="60" w:type="dxa"/>
              <w:bottom w:w="60" w:type="dxa"/>
              <w:right w:w="60" w:type="dxa"/>
            </w:tcMar>
            <w:vAlign w:val="center"/>
            <w:hideMark/>
          </w:tcPr>
          <w:p w14:paraId="745EA666"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E2285F2"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Health Care Practitioner Discipline; Subjecting health care practitioners to disciplinary action for specified offenses; revising provisions relating to immediate suspension of licensure to apply to all health care practitioners; requiring the Department of Health to issue emergency orders to suspend health care practitioners’ licenses if they enter a criminal plea to, or are convicted or found guilty of, a felony relating to homicide or are arrested for committing or attempting, soliciting, or conspiring to commit acts that would constitute violations of specified criminal offenses, etc. Effective Date: 7/1/2021</w:t>
            </w:r>
          </w:p>
        </w:tc>
      </w:tr>
      <w:tr w:rsidR="00505244" w:rsidRPr="00505244" w14:paraId="08D7B52A" w14:textId="77777777" w:rsidTr="00505244">
        <w:tc>
          <w:tcPr>
            <w:tcW w:w="0" w:type="auto"/>
            <w:shd w:val="clear" w:color="auto" w:fill="F8F8F9"/>
            <w:tcMar>
              <w:top w:w="60" w:type="dxa"/>
              <w:left w:w="60" w:type="dxa"/>
              <w:bottom w:w="60" w:type="dxa"/>
              <w:right w:w="60" w:type="dxa"/>
            </w:tcMar>
            <w:vAlign w:val="center"/>
            <w:hideMark/>
          </w:tcPr>
          <w:p w14:paraId="7B5D7D06"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4C9240EC" w14:textId="46082964"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34" w:history="1">
              <w:r w:rsidRPr="00505244">
                <w:rPr>
                  <w:rFonts w:ascii="Arial" w:eastAsia="Times New Roman" w:hAnsi="Arial" w:cs="Arial"/>
                  <w:color w:val="3A4E72"/>
                  <w:sz w:val="21"/>
                  <w:szCs w:val="21"/>
                </w:rPr>
                <w:t>SB 0716</w:t>
              </w:r>
            </w:hyperlink>
            <w:r w:rsidRPr="00505244">
              <w:rPr>
                <w:rFonts w:ascii="Arial" w:eastAsia="Times New Roman" w:hAnsi="Arial" w:cs="Arial"/>
                <w:noProof/>
                <w:color w:val="3C3D3F"/>
                <w:sz w:val="21"/>
                <w:szCs w:val="21"/>
              </w:rPr>
              <w:drawing>
                <wp:inline distT="0" distB="0" distL="0" distR="0" wp14:anchorId="19C9BDCA" wp14:editId="29D40673">
                  <wp:extent cx="228600" cy="228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1D16D6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Consent for Pelvic Examinations</w:t>
            </w:r>
          </w:p>
        </w:tc>
        <w:tc>
          <w:tcPr>
            <w:tcW w:w="0" w:type="auto"/>
            <w:gridSpan w:val="3"/>
            <w:tcMar>
              <w:top w:w="105" w:type="dxa"/>
              <w:left w:w="60" w:type="dxa"/>
              <w:bottom w:w="60" w:type="dxa"/>
              <w:right w:w="60" w:type="dxa"/>
            </w:tcMar>
            <w:vAlign w:val="center"/>
            <w:hideMark/>
          </w:tcPr>
          <w:p w14:paraId="7A5E25A9" w14:textId="77777777" w:rsidR="00505244" w:rsidRPr="00505244" w:rsidRDefault="00505244" w:rsidP="00505244">
            <w:pPr>
              <w:spacing w:after="0" w:line="240" w:lineRule="auto"/>
              <w:rPr>
                <w:rFonts w:ascii="Arial" w:eastAsia="Times New Roman" w:hAnsi="Arial" w:cs="Arial"/>
                <w:color w:val="3C3D3F"/>
                <w:sz w:val="21"/>
                <w:szCs w:val="21"/>
              </w:rPr>
            </w:pPr>
            <w:hyperlink r:id="rId135"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10F47AB6" w14:textId="77777777" w:rsidTr="00505244">
        <w:tc>
          <w:tcPr>
            <w:tcW w:w="0" w:type="auto"/>
            <w:shd w:val="clear" w:color="auto" w:fill="F8F8F9"/>
            <w:tcMar>
              <w:top w:w="60" w:type="dxa"/>
              <w:left w:w="60" w:type="dxa"/>
              <w:bottom w:w="60" w:type="dxa"/>
              <w:right w:w="60" w:type="dxa"/>
            </w:tcMar>
            <w:vAlign w:val="center"/>
            <w:hideMark/>
          </w:tcPr>
          <w:p w14:paraId="564DCDF8"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1E38867"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Consent for Pelvic Examinations; Revising the definition of the term “pelvic examination”; revising the circumstances under which a pelvic examination may be performed without consent; providing that certain health care practitioners and students need only obtain written consent for the initial pelvic examination for certain patients under certain circumstances; requiring such written consent form to inform the patient that multiple pelvic examinations may be conducted during the course of care and treatment, etc. Effective Date: 7/1/2021</w:t>
            </w:r>
          </w:p>
        </w:tc>
      </w:tr>
      <w:tr w:rsidR="00505244" w:rsidRPr="00505244" w14:paraId="10A27178" w14:textId="77777777" w:rsidTr="00505244">
        <w:tc>
          <w:tcPr>
            <w:tcW w:w="0" w:type="auto"/>
            <w:shd w:val="clear" w:color="auto" w:fill="F8F8F9"/>
            <w:tcMar>
              <w:top w:w="60" w:type="dxa"/>
              <w:left w:w="60" w:type="dxa"/>
              <w:bottom w:w="60" w:type="dxa"/>
              <w:right w:w="60" w:type="dxa"/>
            </w:tcMar>
            <w:vAlign w:val="center"/>
            <w:hideMark/>
          </w:tcPr>
          <w:p w14:paraId="0E1460CE"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ED26A4B" w14:textId="33025A16"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36" w:history="1">
              <w:r w:rsidRPr="00505244">
                <w:rPr>
                  <w:rFonts w:ascii="Arial" w:eastAsia="Times New Roman" w:hAnsi="Arial" w:cs="Arial"/>
                  <w:color w:val="3A4E72"/>
                  <w:sz w:val="21"/>
                  <w:szCs w:val="21"/>
                </w:rPr>
                <w:t>SB 2006</w:t>
              </w:r>
            </w:hyperlink>
            <w:r w:rsidRPr="00505244">
              <w:rPr>
                <w:rFonts w:ascii="Arial" w:eastAsia="Times New Roman" w:hAnsi="Arial" w:cs="Arial"/>
                <w:noProof/>
                <w:color w:val="3C3D3F"/>
                <w:sz w:val="21"/>
                <w:szCs w:val="21"/>
              </w:rPr>
              <w:drawing>
                <wp:inline distT="0" distB="0" distL="0" distR="0" wp14:anchorId="6B82A467" wp14:editId="0A9FE434">
                  <wp:extent cx="2286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2944A69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Emergency Management</w:t>
            </w:r>
          </w:p>
        </w:tc>
        <w:tc>
          <w:tcPr>
            <w:tcW w:w="0" w:type="auto"/>
            <w:gridSpan w:val="3"/>
            <w:tcMar>
              <w:top w:w="105" w:type="dxa"/>
              <w:left w:w="60" w:type="dxa"/>
              <w:bottom w:w="60" w:type="dxa"/>
              <w:right w:w="60" w:type="dxa"/>
            </w:tcMar>
            <w:vAlign w:val="center"/>
            <w:hideMark/>
          </w:tcPr>
          <w:p w14:paraId="49B71B63" w14:textId="77777777" w:rsidR="00505244" w:rsidRPr="00505244" w:rsidRDefault="00505244" w:rsidP="00505244">
            <w:pPr>
              <w:spacing w:after="0" w:line="240" w:lineRule="auto"/>
              <w:rPr>
                <w:rFonts w:ascii="Arial" w:eastAsia="Times New Roman" w:hAnsi="Arial" w:cs="Arial"/>
                <w:color w:val="3C3D3F"/>
                <w:sz w:val="21"/>
                <w:szCs w:val="21"/>
              </w:rPr>
            </w:pPr>
            <w:hyperlink r:id="rId137"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7D24E187" w14:textId="77777777" w:rsidTr="00505244">
        <w:tc>
          <w:tcPr>
            <w:tcW w:w="0" w:type="auto"/>
            <w:shd w:val="clear" w:color="auto" w:fill="F8F8F9"/>
            <w:tcMar>
              <w:top w:w="60" w:type="dxa"/>
              <w:left w:w="60" w:type="dxa"/>
              <w:bottom w:w="60" w:type="dxa"/>
              <w:right w:w="60" w:type="dxa"/>
            </w:tcMar>
            <w:vAlign w:val="center"/>
            <w:hideMark/>
          </w:tcPr>
          <w:p w14:paraId="42E7CD87"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1C49214"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Emergency Management; Authorizing the Legislative Budget Commission to convene to transfer certain funds to the Emergency Preparedness and Response Fund; requiring that the state comprehensive emergency management plan provide for certain public health emergency communications and include the Department of Health’s public health emergency plan; redefining the term “essentials” to include personal protective equipment used during public health emergencies; specifying that a political subdivision has the burden of proving the proper exercise of its police power in the issuance of certain emergency orders, etc. Effective Date: Except as otherwise expressly provided in this act, this act shall take effect July 1, 2021</w:t>
            </w:r>
          </w:p>
        </w:tc>
      </w:tr>
      <w:tr w:rsidR="00505244" w:rsidRPr="00505244" w14:paraId="198CDC2C" w14:textId="77777777" w:rsidTr="00505244">
        <w:tc>
          <w:tcPr>
            <w:tcW w:w="0" w:type="auto"/>
            <w:shd w:val="clear" w:color="auto" w:fill="F8F8F9"/>
            <w:tcMar>
              <w:top w:w="60" w:type="dxa"/>
              <w:left w:w="60" w:type="dxa"/>
              <w:bottom w:w="60" w:type="dxa"/>
              <w:right w:w="60" w:type="dxa"/>
            </w:tcMar>
            <w:vAlign w:val="center"/>
            <w:hideMark/>
          </w:tcPr>
          <w:p w14:paraId="0AECF73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3FD41C72" w14:textId="70AD0A3C"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38" w:history="1">
              <w:r w:rsidRPr="00505244">
                <w:rPr>
                  <w:rFonts w:ascii="Arial" w:eastAsia="Times New Roman" w:hAnsi="Arial" w:cs="Arial"/>
                  <w:color w:val="3A4E72"/>
                  <w:sz w:val="21"/>
                  <w:szCs w:val="21"/>
                </w:rPr>
                <w:t>SB 1906</w:t>
              </w:r>
            </w:hyperlink>
            <w:r w:rsidRPr="00505244">
              <w:rPr>
                <w:rFonts w:ascii="Arial" w:eastAsia="Times New Roman" w:hAnsi="Arial" w:cs="Arial"/>
                <w:noProof/>
                <w:color w:val="3C3D3F"/>
                <w:sz w:val="21"/>
                <w:szCs w:val="21"/>
              </w:rPr>
              <w:drawing>
                <wp:inline distT="0" distB="0" distL="0" distR="0" wp14:anchorId="0DEA0233" wp14:editId="72ACF7D8">
                  <wp:extent cx="2286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7540EBD"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Reemployment Assistance</w:t>
            </w:r>
          </w:p>
        </w:tc>
        <w:tc>
          <w:tcPr>
            <w:tcW w:w="0" w:type="auto"/>
            <w:gridSpan w:val="3"/>
            <w:tcMar>
              <w:top w:w="105" w:type="dxa"/>
              <w:left w:w="60" w:type="dxa"/>
              <w:bottom w:w="60" w:type="dxa"/>
              <w:right w:w="60" w:type="dxa"/>
            </w:tcMar>
            <w:vAlign w:val="center"/>
            <w:hideMark/>
          </w:tcPr>
          <w:p w14:paraId="7EC653E1" w14:textId="77777777" w:rsidR="00505244" w:rsidRPr="00505244" w:rsidRDefault="00505244" w:rsidP="00505244">
            <w:pPr>
              <w:spacing w:after="0" w:line="240" w:lineRule="auto"/>
              <w:rPr>
                <w:rFonts w:ascii="Arial" w:eastAsia="Times New Roman" w:hAnsi="Arial" w:cs="Arial"/>
                <w:color w:val="3C3D3F"/>
                <w:sz w:val="21"/>
                <w:szCs w:val="21"/>
              </w:rPr>
            </w:pPr>
            <w:hyperlink r:id="rId139" w:history="1">
              <w:r w:rsidRPr="00505244">
                <w:rPr>
                  <w:rFonts w:ascii="Arial" w:eastAsia="Times New Roman" w:hAnsi="Arial" w:cs="Arial"/>
                  <w:color w:val="3A4E72"/>
                  <w:sz w:val="21"/>
                  <w:szCs w:val="21"/>
                </w:rPr>
                <w:t>Brodeur</w:t>
              </w:r>
            </w:hyperlink>
            <w:r w:rsidRPr="00505244">
              <w:rPr>
                <w:rFonts w:ascii="Arial" w:eastAsia="Times New Roman" w:hAnsi="Arial" w:cs="Arial"/>
                <w:color w:val="3C3D3F"/>
                <w:sz w:val="21"/>
                <w:szCs w:val="21"/>
              </w:rPr>
              <w:t>  </w:t>
            </w:r>
          </w:p>
        </w:tc>
      </w:tr>
      <w:tr w:rsidR="00505244" w:rsidRPr="00505244" w14:paraId="53421A96" w14:textId="77777777" w:rsidTr="00505244">
        <w:tc>
          <w:tcPr>
            <w:tcW w:w="0" w:type="auto"/>
            <w:shd w:val="clear" w:color="auto" w:fill="F8F8F9"/>
            <w:tcMar>
              <w:top w:w="60" w:type="dxa"/>
              <w:left w:w="60" w:type="dxa"/>
              <w:bottom w:w="60" w:type="dxa"/>
              <w:right w:w="60" w:type="dxa"/>
            </w:tcMar>
            <w:vAlign w:val="center"/>
            <w:hideMark/>
          </w:tcPr>
          <w:p w14:paraId="4BE73A28"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0AEF6E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Reemployment Assistance; Revising requirements for reemployment assistance benefits eligibility; increasing the weekly benefit amounts an individual may receive; increasing the cap on the total benefit amount an individual is entitled to receive during a benefit year, etc. Effective Date: 7/1/2021</w:t>
            </w:r>
          </w:p>
        </w:tc>
      </w:tr>
      <w:tr w:rsidR="00505244" w:rsidRPr="00505244" w14:paraId="15D56458" w14:textId="77777777" w:rsidTr="00505244">
        <w:tc>
          <w:tcPr>
            <w:tcW w:w="0" w:type="auto"/>
            <w:shd w:val="clear" w:color="auto" w:fill="F8F8F9"/>
            <w:tcMar>
              <w:top w:w="60" w:type="dxa"/>
              <w:left w:w="60" w:type="dxa"/>
              <w:bottom w:w="60" w:type="dxa"/>
              <w:right w:w="60" w:type="dxa"/>
            </w:tcMar>
            <w:vAlign w:val="center"/>
            <w:hideMark/>
          </w:tcPr>
          <w:p w14:paraId="2A02C835"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47C764C8" w14:textId="0B64C372"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40" w:history="1">
              <w:r w:rsidRPr="00505244">
                <w:rPr>
                  <w:rFonts w:ascii="Arial" w:eastAsia="Times New Roman" w:hAnsi="Arial" w:cs="Arial"/>
                  <w:color w:val="3A4E72"/>
                  <w:sz w:val="21"/>
                  <w:szCs w:val="21"/>
                </w:rPr>
                <w:t>SB 0470</w:t>
              </w:r>
            </w:hyperlink>
            <w:r w:rsidRPr="00505244">
              <w:rPr>
                <w:rFonts w:ascii="Arial" w:eastAsia="Times New Roman" w:hAnsi="Arial" w:cs="Arial"/>
                <w:noProof/>
                <w:color w:val="3C3D3F"/>
                <w:sz w:val="21"/>
                <w:szCs w:val="21"/>
              </w:rPr>
              <w:drawing>
                <wp:inline distT="0" distB="0" distL="0" distR="0" wp14:anchorId="65631EE4" wp14:editId="2145BCB2">
                  <wp:extent cx="2286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7722A1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Public Records/Expunged Criminal History Records</w:t>
            </w:r>
          </w:p>
        </w:tc>
        <w:tc>
          <w:tcPr>
            <w:tcW w:w="0" w:type="auto"/>
            <w:gridSpan w:val="3"/>
            <w:tcMar>
              <w:top w:w="105" w:type="dxa"/>
              <w:left w:w="60" w:type="dxa"/>
              <w:bottom w:w="60" w:type="dxa"/>
              <w:right w:w="60" w:type="dxa"/>
            </w:tcMar>
            <w:vAlign w:val="center"/>
            <w:hideMark/>
          </w:tcPr>
          <w:p w14:paraId="01C5A19B" w14:textId="77777777" w:rsidR="00505244" w:rsidRPr="00505244" w:rsidRDefault="00505244" w:rsidP="00505244">
            <w:pPr>
              <w:spacing w:after="0" w:line="240" w:lineRule="auto"/>
              <w:rPr>
                <w:rFonts w:ascii="Arial" w:eastAsia="Times New Roman" w:hAnsi="Arial" w:cs="Arial"/>
                <w:color w:val="3C3D3F"/>
                <w:sz w:val="21"/>
                <w:szCs w:val="21"/>
              </w:rPr>
            </w:pPr>
            <w:hyperlink r:id="rId141" w:history="1">
              <w:r w:rsidRPr="00505244">
                <w:rPr>
                  <w:rFonts w:ascii="Arial" w:eastAsia="Times New Roman" w:hAnsi="Arial" w:cs="Arial"/>
                  <w:color w:val="3A4E72"/>
                  <w:sz w:val="21"/>
                  <w:szCs w:val="21"/>
                </w:rPr>
                <w:t>Bracy</w:t>
              </w:r>
            </w:hyperlink>
            <w:r w:rsidRPr="00505244">
              <w:rPr>
                <w:rFonts w:ascii="Arial" w:eastAsia="Times New Roman" w:hAnsi="Arial" w:cs="Arial"/>
                <w:color w:val="3C3D3F"/>
                <w:sz w:val="21"/>
                <w:szCs w:val="21"/>
              </w:rPr>
              <w:t>  </w:t>
            </w:r>
          </w:p>
        </w:tc>
      </w:tr>
      <w:tr w:rsidR="00505244" w:rsidRPr="00505244" w14:paraId="563FE062" w14:textId="77777777" w:rsidTr="00505244">
        <w:tc>
          <w:tcPr>
            <w:tcW w:w="0" w:type="auto"/>
            <w:shd w:val="clear" w:color="auto" w:fill="F8F8F9"/>
            <w:tcMar>
              <w:top w:w="60" w:type="dxa"/>
              <w:left w:w="60" w:type="dxa"/>
              <w:bottom w:w="60" w:type="dxa"/>
              <w:right w:w="60" w:type="dxa"/>
            </w:tcMar>
            <w:vAlign w:val="center"/>
            <w:hideMark/>
          </w:tcPr>
          <w:p w14:paraId="36773DD1"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78B4E19"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Public Records/Expunged Criminal History Records; Providing an exemption from public records requirements for specified expunged criminal history records; providing exceptions; providing for future legislative review and repeal of the exemption; providing a statement of public necessity, etc. Effective Date: On the same date that SB 468 or similar legislation takes effect, if such legislation is adopted in the same legislative session or an extension thereof and becomes a law</w:t>
            </w:r>
          </w:p>
        </w:tc>
      </w:tr>
      <w:tr w:rsidR="00505244" w:rsidRPr="00505244" w14:paraId="0B312BAF" w14:textId="77777777" w:rsidTr="00505244">
        <w:tc>
          <w:tcPr>
            <w:tcW w:w="0" w:type="auto"/>
            <w:shd w:val="clear" w:color="auto" w:fill="F8F8F9"/>
            <w:tcMar>
              <w:top w:w="60" w:type="dxa"/>
              <w:left w:w="60" w:type="dxa"/>
              <w:bottom w:w="60" w:type="dxa"/>
              <w:right w:w="60" w:type="dxa"/>
            </w:tcMar>
            <w:vAlign w:val="center"/>
            <w:hideMark/>
          </w:tcPr>
          <w:p w14:paraId="6B8FFE7E"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E232163" w14:textId="171C6081"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42" w:history="1">
              <w:r w:rsidRPr="00505244">
                <w:rPr>
                  <w:rFonts w:ascii="Arial" w:eastAsia="Times New Roman" w:hAnsi="Arial" w:cs="Arial"/>
                  <w:color w:val="3A4E72"/>
                  <w:sz w:val="21"/>
                  <w:szCs w:val="21"/>
                </w:rPr>
                <w:t>SB 1540</w:t>
              </w:r>
            </w:hyperlink>
            <w:r w:rsidRPr="00505244">
              <w:rPr>
                <w:rFonts w:ascii="Arial" w:eastAsia="Times New Roman" w:hAnsi="Arial" w:cs="Arial"/>
                <w:noProof/>
                <w:color w:val="3C3D3F"/>
                <w:sz w:val="21"/>
                <w:szCs w:val="21"/>
              </w:rPr>
              <w:drawing>
                <wp:inline distT="0" distB="0" distL="0" distR="0" wp14:anchorId="26A4EBCB" wp14:editId="41ACA400">
                  <wp:extent cx="228600" cy="228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4C47EF2"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Maternal Health Outcomes</w:t>
            </w:r>
          </w:p>
        </w:tc>
        <w:tc>
          <w:tcPr>
            <w:tcW w:w="0" w:type="auto"/>
            <w:gridSpan w:val="3"/>
            <w:tcMar>
              <w:top w:w="105" w:type="dxa"/>
              <w:left w:w="60" w:type="dxa"/>
              <w:bottom w:w="60" w:type="dxa"/>
              <w:right w:w="60" w:type="dxa"/>
            </w:tcMar>
            <w:vAlign w:val="center"/>
            <w:hideMark/>
          </w:tcPr>
          <w:p w14:paraId="3146FBA8" w14:textId="77777777" w:rsidR="00505244" w:rsidRPr="00505244" w:rsidRDefault="00505244" w:rsidP="00505244">
            <w:pPr>
              <w:spacing w:after="0" w:line="240" w:lineRule="auto"/>
              <w:rPr>
                <w:rFonts w:ascii="Arial" w:eastAsia="Times New Roman" w:hAnsi="Arial" w:cs="Arial"/>
                <w:color w:val="3C3D3F"/>
                <w:sz w:val="21"/>
                <w:szCs w:val="21"/>
              </w:rPr>
            </w:pPr>
            <w:hyperlink r:id="rId143" w:history="1">
              <w:r w:rsidRPr="00505244">
                <w:rPr>
                  <w:rFonts w:ascii="Arial" w:eastAsia="Times New Roman" w:hAnsi="Arial" w:cs="Arial"/>
                  <w:color w:val="3A4E72"/>
                  <w:sz w:val="21"/>
                  <w:szCs w:val="21"/>
                </w:rPr>
                <w:t>Gibson</w:t>
              </w:r>
            </w:hyperlink>
            <w:r w:rsidRPr="00505244">
              <w:rPr>
                <w:rFonts w:ascii="Arial" w:eastAsia="Times New Roman" w:hAnsi="Arial" w:cs="Arial"/>
                <w:color w:val="3C3D3F"/>
                <w:sz w:val="21"/>
                <w:szCs w:val="21"/>
              </w:rPr>
              <w:t>  </w:t>
            </w:r>
          </w:p>
        </w:tc>
      </w:tr>
      <w:tr w:rsidR="00505244" w:rsidRPr="00505244" w14:paraId="1A7BE575" w14:textId="77777777" w:rsidTr="00505244">
        <w:tc>
          <w:tcPr>
            <w:tcW w:w="0" w:type="auto"/>
            <w:shd w:val="clear" w:color="auto" w:fill="F8F8F9"/>
            <w:tcMar>
              <w:top w:w="60" w:type="dxa"/>
              <w:left w:w="60" w:type="dxa"/>
              <w:bottom w:w="60" w:type="dxa"/>
              <w:right w:w="60" w:type="dxa"/>
            </w:tcMar>
            <w:vAlign w:val="center"/>
            <w:hideMark/>
          </w:tcPr>
          <w:p w14:paraId="78658F4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B363AD5"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Maternal Health Outcomes; Revising the Department of Health’s duties under the Closing the Gap grant program; requiring the department to establish telehealth minority maternity care pilot programs in Duval County and Orange County by a specified date; requiring the pilot programs to provide specified telehealth services to eligible pregnant women for a specified period; requiring the department’s Division of Community Health Promotion and Office of Minority Health and Health Equity to apply for certain federal funding, etc. Effective Date: 7/1/2021</w:t>
            </w:r>
          </w:p>
        </w:tc>
      </w:tr>
      <w:tr w:rsidR="00505244" w:rsidRPr="00505244" w14:paraId="16A5D398" w14:textId="77777777" w:rsidTr="00505244">
        <w:tc>
          <w:tcPr>
            <w:tcW w:w="0" w:type="auto"/>
            <w:shd w:val="clear" w:color="auto" w:fill="F8F8F9"/>
            <w:tcMar>
              <w:top w:w="60" w:type="dxa"/>
              <w:left w:w="60" w:type="dxa"/>
              <w:bottom w:w="60" w:type="dxa"/>
              <w:right w:w="60" w:type="dxa"/>
            </w:tcMar>
            <w:vAlign w:val="center"/>
            <w:hideMark/>
          </w:tcPr>
          <w:p w14:paraId="1E1E7885"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20256F1" w14:textId="19503C5A"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44" w:history="1">
              <w:r w:rsidRPr="00505244">
                <w:rPr>
                  <w:rFonts w:ascii="Arial" w:eastAsia="Times New Roman" w:hAnsi="Arial" w:cs="Arial"/>
                  <w:color w:val="3A4E72"/>
                  <w:sz w:val="21"/>
                  <w:szCs w:val="21"/>
                </w:rPr>
                <w:t>SB 0768</w:t>
              </w:r>
            </w:hyperlink>
            <w:r w:rsidRPr="00505244">
              <w:rPr>
                <w:rFonts w:ascii="Arial" w:eastAsia="Times New Roman" w:hAnsi="Arial" w:cs="Arial"/>
                <w:noProof/>
                <w:color w:val="3C3D3F"/>
                <w:sz w:val="21"/>
                <w:szCs w:val="21"/>
              </w:rPr>
              <w:drawing>
                <wp:inline distT="0" distB="0" distL="0" distR="0" wp14:anchorId="1FF691DB" wp14:editId="7B4B783A">
                  <wp:extent cx="2286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ECE201B"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Administration of Vaccines</w:t>
            </w:r>
          </w:p>
        </w:tc>
        <w:tc>
          <w:tcPr>
            <w:tcW w:w="0" w:type="auto"/>
            <w:gridSpan w:val="3"/>
            <w:tcMar>
              <w:top w:w="105" w:type="dxa"/>
              <w:left w:w="60" w:type="dxa"/>
              <w:bottom w:w="60" w:type="dxa"/>
              <w:right w:w="60" w:type="dxa"/>
            </w:tcMar>
            <w:vAlign w:val="center"/>
            <w:hideMark/>
          </w:tcPr>
          <w:p w14:paraId="44B2B3BB" w14:textId="77777777" w:rsidR="00505244" w:rsidRPr="00505244" w:rsidRDefault="00505244" w:rsidP="00505244">
            <w:pPr>
              <w:spacing w:after="0" w:line="240" w:lineRule="auto"/>
              <w:rPr>
                <w:rFonts w:ascii="Arial" w:eastAsia="Times New Roman" w:hAnsi="Arial" w:cs="Arial"/>
                <w:color w:val="3C3D3F"/>
                <w:sz w:val="21"/>
                <w:szCs w:val="21"/>
              </w:rPr>
            </w:pPr>
            <w:hyperlink r:id="rId145" w:history="1">
              <w:r w:rsidRPr="00505244">
                <w:rPr>
                  <w:rFonts w:ascii="Arial" w:eastAsia="Times New Roman" w:hAnsi="Arial" w:cs="Arial"/>
                  <w:color w:val="3A4E72"/>
                  <w:sz w:val="21"/>
                  <w:szCs w:val="21"/>
                </w:rPr>
                <w:t>Baxley</w:t>
              </w:r>
            </w:hyperlink>
            <w:r w:rsidRPr="00505244">
              <w:rPr>
                <w:rFonts w:ascii="Arial" w:eastAsia="Times New Roman" w:hAnsi="Arial" w:cs="Arial"/>
                <w:color w:val="3C3D3F"/>
                <w:sz w:val="21"/>
                <w:szCs w:val="21"/>
              </w:rPr>
              <w:t>  </w:t>
            </w:r>
          </w:p>
        </w:tc>
      </w:tr>
      <w:tr w:rsidR="00505244" w:rsidRPr="00505244" w14:paraId="149739A3" w14:textId="77777777" w:rsidTr="00505244">
        <w:tc>
          <w:tcPr>
            <w:tcW w:w="0" w:type="auto"/>
            <w:shd w:val="clear" w:color="auto" w:fill="F8F8F9"/>
            <w:tcMar>
              <w:top w:w="60" w:type="dxa"/>
              <w:left w:w="60" w:type="dxa"/>
              <w:bottom w:w="60" w:type="dxa"/>
              <w:right w:w="60" w:type="dxa"/>
            </w:tcMar>
            <w:vAlign w:val="center"/>
            <w:hideMark/>
          </w:tcPr>
          <w:p w14:paraId="72B32CB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EC70853"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Administration of Vaccines; Revising the specified immunizations or vaccines that certified pharmacists and registered interns may administer to adults; authorizing certain pharmacists to administer influenza vaccines to individuals 7 years of age or older under certain circumstances, etc. Effective Date: 7/1/2021</w:t>
            </w:r>
          </w:p>
        </w:tc>
      </w:tr>
      <w:tr w:rsidR="00505244" w:rsidRPr="00505244" w14:paraId="476E6D9C" w14:textId="77777777" w:rsidTr="00505244">
        <w:tc>
          <w:tcPr>
            <w:tcW w:w="0" w:type="auto"/>
            <w:shd w:val="clear" w:color="auto" w:fill="F8F8F9"/>
            <w:tcMar>
              <w:top w:w="60" w:type="dxa"/>
              <w:left w:w="60" w:type="dxa"/>
              <w:bottom w:w="60" w:type="dxa"/>
              <w:right w:w="60" w:type="dxa"/>
            </w:tcMar>
            <w:vAlign w:val="center"/>
            <w:hideMark/>
          </w:tcPr>
          <w:p w14:paraId="088AE1C2"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3038426" w14:textId="023D588C"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46" w:history="1">
              <w:r w:rsidRPr="00505244">
                <w:rPr>
                  <w:rFonts w:ascii="Arial" w:eastAsia="Times New Roman" w:hAnsi="Arial" w:cs="Arial"/>
                  <w:color w:val="3A4E72"/>
                  <w:sz w:val="21"/>
                  <w:szCs w:val="21"/>
                </w:rPr>
                <w:t>SB 0420</w:t>
              </w:r>
            </w:hyperlink>
            <w:r w:rsidRPr="00505244">
              <w:rPr>
                <w:rFonts w:ascii="Arial" w:eastAsia="Times New Roman" w:hAnsi="Arial" w:cs="Arial"/>
                <w:noProof/>
                <w:color w:val="3C3D3F"/>
                <w:sz w:val="21"/>
                <w:szCs w:val="21"/>
              </w:rPr>
              <w:drawing>
                <wp:inline distT="0" distB="0" distL="0" distR="0" wp14:anchorId="5146407F" wp14:editId="13496892">
                  <wp:extent cx="22860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48F19A3E"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Motor Vehicle Insurance Coverage Exclusions</w:t>
            </w:r>
          </w:p>
        </w:tc>
        <w:tc>
          <w:tcPr>
            <w:tcW w:w="0" w:type="auto"/>
            <w:gridSpan w:val="3"/>
            <w:tcMar>
              <w:top w:w="105" w:type="dxa"/>
              <w:left w:w="60" w:type="dxa"/>
              <w:bottom w:w="60" w:type="dxa"/>
              <w:right w:w="60" w:type="dxa"/>
            </w:tcMar>
            <w:vAlign w:val="center"/>
            <w:hideMark/>
          </w:tcPr>
          <w:p w14:paraId="77B720B3" w14:textId="77777777" w:rsidR="00505244" w:rsidRPr="00505244" w:rsidRDefault="00505244" w:rsidP="00505244">
            <w:pPr>
              <w:spacing w:after="0" w:line="240" w:lineRule="auto"/>
              <w:rPr>
                <w:rFonts w:ascii="Arial" w:eastAsia="Times New Roman" w:hAnsi="Arial" w:cs="Arial"/>
                <w:color w:val="3C3D3F"/>
                <w:sz w:val="21"/>
                <w:szCs w:val="21"/>
              </w:rPr>
            </w:pPr>
            <w:hyperlink r:id="rId147" w:history="1">
              <w:r w:rsidRPr="00505244">
                <w:rPr>
                  <w:rFonts w:ascii="Arial" w:eastAsia="Times New Roman" w:hAnsi="Arial" w:cs="Arial"/>
                  <w:color w:val="3A4E72"/>
                  <w:sz w:val="21"/>
                  <w:szCs w:val="21"/>
                </w:rPr>
                <w:t>Hooper</w:t>
              </w:r>
            </w:hyperlink>
            <w:r w:rsidRPr="00505244">
              <w:rPr>
                <w:rFonts w:ascii="Arial" w:eastAsia="Times New Roman" w:hAnsi="Arial" w:cs="Arial"/>
                <w:color w:val="3C3D3F"/>
                <w:sz w:val="21"/>
                <w:szCs w:val="21"/>
              </w:rPr>
              <w:t>  </w:t>
            </w:r>
          </w:p>
        </w:tc>
      </w:tr>
      <w:tr w:rsidR="00505244" w:rsidRPr="00505244" w14:paraId="4BA114B2" w14:textId="77777777" w:rsidTr="00505244">
        <w:tc>
          <w:tcPr>
            <w:tcW w:w="0" w:type="auto"/>
            <w:shd w:val="clear" w:color="auto" w:fill="F8F8F9"/>
            <w:tcMar>
              <w:top w:w="60" w:type="dxa"/>
              <w:left w:w="60" w:type="dxa"/>
              <w:bottom w:w="60" w:type="dxa"/>
              <w:right w:w="60" w:type="dxa"/>
            </w:tcMar>
            <w:vAlign w:val="center"/>
            <w:hideMark/>
          </w:tcPr>
          <w:p w14:paraId="726FD9CD"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8038F66"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Motor Vehicle Insurance Coverage </w:t>
            </w:r>
            <w:proofErr w:type="gramStart"/>
            <w:r w:rsidRPr="00505244">
              <w:rPr>
                <w:rFonts w:ascii="Arial" w:eastAsia="Times New Roman" w:hAnsi="Arial" w:cs="Arial"/>
                <w:color w:val="3C3D3F"/>
                <w:sz w:val="17"/>
                <w:szCs w:val="17"/>
              </w:rPr>
              <w:t>Exclusions;</w:t>
            </w:r>
            <w:proofErr w:type="gramEnd"/>
            <w:r w:rsidRPr="00505244">
              <w:rPr>
                <w:rFonts w:ascii="Arial" w:eastAsia="Times New Roman" w:hAnsi="Arial" w:cs="Arial"/>
                <w:color w:val="3C3D3F"/>
                <w:sz w:val="17"/>
                <w:szCs w:val="17"/>
              </w:rPr>
              <w:t xml:space="preserve"> Providing that private passenger motor vehicle policies may exclude certain identified individuals from specified coverages under certain circumstances; requiring excluded drivers to meet certain requirements for financial responsibility, etc. Effective Date: 7/1/2021</w:t>
            </w:r>
          </w:p>
        </w:tc>
      </w:tr>
      <w:tr w:rsidR="00505244" w:rsidRPr="00505244" w14:paraId="1C19A166" w14:textId="77777777" w:rsidTr="00505244">
        <w:tc>
          <w:tcPr>
            <w:tcW w:w="0" w:type="auto"/>
            <w:shd w:val="clear" w:color="auto" w:fill="F8F8F9"/>
            <w:tcMar>
              <w:top w:w="60" w:type="dxa"/>
              <w:left w:w="60" w:type="dxa"/>
              <w:bottom w:w="60" w:type="dxa"/>
              <w:right w:w="60" w:type="dxa"/>
            </w:tcMar>
            <w:vAlign w:val="center"/>
            <w:hideMark/>
          </w:tcPr>
          <w:p w14:paraId="7DA3C5EE"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EED306D" w14:textId="2BF60C6D"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48" w:history="1">
              <w:r w:rsidRPr="00505244">
                <w:rPr>
                  <w:rFonts w:ascii="Arial" w:eastAsia="Times New Roman" w:hAnsi="Arial" w:cs="Arial"/>
                  <w:color w:val="3A4E72"/>
                  <w:sz w:val="21"/>
                  <w:szCs w:val="21"/>
                </w:rPr>
                <w:t>SB 0468</w:t>
              </w:r>
            </w:hyperlink>
            <w:r w:rsidRPr="00505244">
              <w:rPr>
                <w:rFonts w:ascii="Arial" w:eastAsia="Times New Roman" w:hAnsi="Arial" w:cs="Arial"/>
                <w:noProof/>
                <w:color w:val="3C3D3F"/>
                <w:sz w:val="21"/>
                <w:szCs w:val="21"/>
              </w:rPr>
              <w:drawing>
                <wp:inline distT="0" distB="0" distL="0" distR="0" wp14:anchorId="0F251BFC" wp14:editId="44E1F80E">
                  <wp:extent cx="2286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3C678DE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xml:space="preserve">Expunction of Criminal History </w:t>
            </w:r>
            <w:r w:rsidRPr="00505244">
              <w:rPr>
                <w:rFonts w:ascii="Arial" w:eastAsia="Times New Roman" w:hAnsi="Arial" w:cs="Arial"/>
                <w:color w:val="3C3D3F"/>
                <w:sz w:val="21"/>
                <w:szCs w:val="21"/>
              </w:rPr>
              <w:lastRenderedPageBreak/>
              <w:t>Records Relating to Certain C...</w:t>
            </w:r>
          </w:p>
        </w:tc>
        <w:tc>
          <w:tcPr>
            <w:tcW w:w="0" w:type="auto"/>
            <w:gridSpan w:val="3"/>
            <w:tcMar>
              <w:top w:w="105" w:type="dxa"/>
              <w:left w:w="60" w:type="dxa"/>
              <w:bottom w:w="60" w:type="dxa"/>
              <w:right w:w="60" w:type="dxa"/>
            </w:tcMar>
            <w:vAlign w:val="center"/>
            <w:hideMark/>
          </w:tcPr>
          <w:p w14:paraId="6BBBBB9F" w14:textId="77777777" w:rsidR="00505244" w:rsidRPr="00505244" w:rsidRDefault="00505244" w:rsidP="00505244">
            <w:pPr>
              <w:spacing w:after="0" w:line="240" w:lineRule="auto"/>
              <w:rPr>
                <w:rFonts w:ascii="Arial" w:eastAsia="Times New Roman" w:hAnsi="Arial" w:cs="Arial"/>
                <w:color w:val="3C3D3F"/>
                <w:sz w:val="21"/>
                <w:szCs w:val="21"/>
              </w:rPr>
            </w:pPr>
            <w:hyperlink r:id="rId149" w:history="1">
              <w:r w:rsidRPr="00505244">
                <w:rPr>
                  <w:rFonts w:ascii="Arial" w:eastAsia="Times New Roman" w:hAnsi="Arial" w:cs="Arial"/>
                  <w:color w:val="3A4E72"/>
                  <w:sz w:val="21"/>
                  <w:szCs w:val="21"/>
                </w:rPr>
                <w:t>Bracy</w:t>
              </w:r>
            </w:hyperlink>
            <w:r w:rsidRPr="00505244">
              <w:rPr>
                <w:rFonts w:ascii="Arial" w:eastAsia="Times New Roman" w:hAnsi="Arial" w:cs="Arial"/>
                <w:color w:val="3C3D3F"/>
                <w:sz w:val="21"/>
                <w:szCs w:val="21"/>
              </w:rPr>
              <w:t>  </w:t>
            </w:r>
          </w:p>
        </w:tc>
      </w:tr>
      <w:tr w:rsidR="00505244" w:rsidRPr="00505244" w14:paraId="714E1179" w14:textId="77777777" w:rsidTr="00505244">
        <w:tc>
          <w:tcPr>
            <w:tcW w:w="0" w:type="auto"/>
            <w:shd w:val="clear" w:color="auto" w:fill="F8F8F9"/>
            <w:tcMar>
              <w:top w:w="60" w:type="dxa"/>
              <w:left w:w="60" w:type="dxa"/>
              <w:bottom w:w="60" w:type="dxa"/>
              <w:right w:w="60" w:type="dxa"/>
            </w:tcMar>
            <w:vAlign w:val="center"/>
            <w:hideMark/>
          </w:tcPr>
          <w:p w14:paraId="1E51896B"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9118CA9"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Expunction of Criminal History Records Relating to Certain Cannabis Offenses; Requiring a petitioner to obtain a certificate of eligibility from the Department of Law Enforcement; providing application requirements and contents of a certificate of eligibility for expunction; requiring the department to issue a certificate of eligibility for expunction if a person meets specified criteria; providing court procedures for expungement, etc. Effective Date: 7/1/2021</w:t>
            </w:r>
          </w:p>
        </w:tc>
      </w:tr>
      <w:tr w:rsidR="00505244" w:rsidRPr="00505244" w14:paraId="301B5143" w14:textId="77777777" w:rsidTr="00505244">
        <w:tc>
          <w:tcPr>
            <w:tcW w:w="0" w:type="auto"/>
            <w:shd w:val="clear" w:color="auto" w:fill="F8F8F9"/>
            <w:tcMar>
              <w:top w:w="60" w:type="dxa"/>
              <w:left w:w="60" w:type="dxa"/>
              <w:bottom w:w="60" w:type="dxa"/>
              <w:right w:w="60" w:type="dxa"/>
            </w:tcMar>
            <w:vAlign w:val="center"/>
            <w:hideMark/>
          </w:tcPr>
          <w:p w14:paraId="5B01463E"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AF098F4" w14:textId="213D66E2"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50" w:history="1">
              <w:r w:rsidRPr="00505244">
                <w:rPr>
                  <w:rFonts w:ascii="Arial" w:eastAsia="Times New Roman" w:hAnsi="Arial" w:cs="Arial"/>
                  <w:color w:val="3A4E72"/>
                  <w:sz w:val="21"/>
                  <w:szCs w:val="21"/>
                </w:rPr>
                <w:t>SB 0418</w:t>
              </w:r>
            </w:hyperlink>
            <w:r w:rsidRPr="00505244">
              <w:rPr>
                <w:rFonts w:ascii="Arial" w:eastAsia="Times New Roman" w:hAnsi="Arial" w:cs="Arial"/>
                <w:noProof/>
                <w:color w:val="3C3D3F"/>
                <w:sz w:val="21"/>
                <w:szCs w:val="21"/>
              </w:rPr>
              <w:drawing>
                <wp:inline distT="0" distB="0" distL="0" distR="0" wp14:anchorId="1DAF4FD7" wp14:editId="0536C558">
                  <wp:extent cx="22860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5B28C01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Public Records/Persons Seeking Shelter</w:t>
            </w:r>
          </w:p>
        </w:tc>
        <w:tc>
          <w:tcPr>
            <w:tcW w:w="0" w:type="auto"/>
            <w:gridSpan w:val="3"/>
            <w:tcMar>
              <w:top w:w="105" w:type="dxa"/>
              <w:left w:w="60" w:type="dxa"/>
              <w:bottom w:w="60" w:type="dxa"/>
              <w:right w:w="60" w:type="dxa"/>
            </w:tcMar>
            <w:vAlign w:val="center"/>
            <w:hideMark/>
          </w:tcPr>
          <w:p w14:paraId="455D8746" w14:textId="77777777" w:rsidR="00505244" w:rsidRPr="00505244" w:rsidRDefault="00505244" w:rsidP="00505244">
            <w:pPr>
              <w:spacing w:after="0" w:line="240" w:lineRule="auto"/>
              <w:rPr>
                <w:rFonts w:ascii="Arial" w:eastAsia="Times New Roman" w:hAnsi="Arial" w:cs="Arial"/>
                <w:color w:val="3C3D3F"/>
                <w:sz w:val="21"/>
                <w:szCs w:val="21"/>
              </w:rPr>
            </w:pPr>
            <w:hyperlink r:id="rId151" w:history="1">
              <w:r w:rsidRPr="00505244">
                <w:rPr>
                  <w:rFonts w:ascii="Arial" w:eastAsia="Times New Roman" w:hAnsi="Arial" w:cs="Arial"/>
                  <w:color w:val="3A4E72"/>
                  <w:sz w:val="21"/>
                  <w:szCs w:val="21"/>
                </w:rPr>
                <w:t>Burgess</w:t>
              </w:r>
            </w:hyperlink>
            <w:r w:rsidRPr="00505244">
              <w:rPr>
                <w:rFonts w:ascii="Arial" w:eastAsia="Times New Roman" w:hAnsi="Arial" w:cs="Arial"/>
                <w:color w:val="3C3D3F"/>
                <w:sz w:val="21"/>
                <w:szCs w:val="21"/>
              </w:rPr>
              <w:t>  </w:t>
            </w:r>
          </w:p>
        </w:tc>
      </w:tr>
      <w:tr w:rsidR="00505244" w:rsidRPr="00505244" w14:paraId="79AFF0EB" w14:textId="77777777" w:rsidTr="00505244">
        <w:tc>
          <w:tcPr>
            <w:tcW w:w="0" w:type="auto"/>
            <w:shd w:val="clear" w:color="auto" w:fill="F8F8F9"/>
            <w:tcMar>
              <w:top w:w="60" w:type="dxa"/>
              <w:left w:w="60" w:type="dxa"/>
              <w:bottom w:w="60" w:type="dxa"/>
              <w:right w:w="60" w:type="dxa"/>
            </w:tcMar>
            <w:vAlign w:val="center"/>
            <w:hideMark/>
          </w:tcPr>
          <w:p w14:paraId="23094019"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34ECC0DF"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Public Records/Persons Provided Public Emergency Shelter; Creating an exemption from public records requirements for the addresses and telephone numbers of persons provided public emergency shelter during a storm or catastrophic event and held by the agency that provided the emergency shelter; providing for future legislative review and repeal of the exemption; providing a statement of public necessity, etc. Effective Date: Upon becoming a law</w:t>
            </w:r>
          </w:p>
        </w:tc>
      </w:tr>
      <w:tr w:rsidR="00505244" w:rsidRPr="00505244" w14:paraId="23116F9B" w14:textId="77777777" w:rsidTr="00505244">
        <w:tc>
          <w:tcPr>
            <w:tcW w:w="0" w:type="auto"/>
            <w:shd w:val="clear" w:color="auto" w:fill="F8F8F9"/>
            <w:tcMar>
              <w:top w:w="60" w:type="dxa"/>
              <w:left w:w="60" w:type="dxa"/>
              <w:bottom w:w="60" w:type="dxa"/>
              <w:right w:w="60" w:type="dxa"/>
            </w:tcMar>
            <w:vAlign w:val="center"/>
            <w:hideMark/>
          </w:tcPr>
          <w:p w14:paraId="6DBA5344"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0194720" w14:textId="6EA07C63"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52" w:history="1">
              <w:r w:rsidRPr="00505244">
                <w:rPr>
                  <w:rFonts w:ascii="Arial" w:eastAsia="Times New Roman" w:hAnsi="Arial" w:cs="Arial"/>
                  <w:color w:val="3A4E72"/>
                  <w:sz w:val="21"/>
                  <w:szCs w:val="21"/>
                </w:rPr>
                <w:t>HB 0327</w:t>
              </w:r>
            </w:hyperlink>
            <w:r w:rsidRPr="00505244">
              <w:rPr>
                <w:rFonts w:ascii="Arial" w:eastAsia="Times New Roman" w:hAnsi="Arial" w:cs="Arial"/>
                <w:noProof/>
                <w:color w:val="3C3D3F"/>
                <w:sz w:val="21"/>
                <w:szCs w:val="21"/>
              </w:rPr>
              <w:drawing>
                <wp:inline distT="0" distB="0" distL="0" distR="0" wp14:anchorId="6996B4E8" wp14:editId="251696B6">
                  <wp:extent cx="2286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04CA4E0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Pub. Rec./Disaster Response</w:t>
            </w:r>
          </w:p>
        </w:tc>
        <w:tc>
          <w:tcPr>
            <w:tcW w:w="0" w:type="auto"/>
            <w:gridSpan w:val="3"/>
            <w:tcMar>
              <w:top w:w="105" w:type="dxa"/>
              <w:left w:w="60" w:type="dxa"/>
              <w:bottom w:w="60" w:type="dxa"/>
              <w:right w:w="60" w:type="dxa"/>
            </w:tcMar>
            <w:vAlign w:val="center"/>
            <w:hideMark/>
          </w:tcPr>
          <w:p w14:paraId="601F1264" w14:textId="77777777" w:rsidR="00505244" w:rsidRPr="00505244" w:rsidRDefault="00505244" w:rsidP="00505244">
            <w:pPr>
              <w:spacing w:after="0" w:line="240" w:lineRule="auto"/>
              <w:rPr>
                <w:rFonts w:ascii="Arial" w:eastAsia="Times New Roman" w:hAnsi="Arial" w:cs="Arial"/>
                <w:color w:val="3C3D3F"/>
                <w:sz w:val="21"/>
                <w:szCs w:val="21"/>
              </w:rPr>
            </w:pPr>
            <w:hyperlink r:id="rId153" w:history="1">
              <w:r w:rsidRPr="00505244">
                <w:rPr>
                  <w:rFonts w:ascii="Arial" w:eastAsia="Times New Roman" w:hAnsi="Arial" w:cs="Arial"/>
                  <w:color w:val="3A4E72"/>
                  <w:sz w:val="21"/>
                  <w:szCs w:val="21"/>
                </w:rPr>
                <w:t>Rommel</w:t>
              </w:r>
            </w:hyperlink>
            <w:r w:rsidRPr="00505244">
              <w:rPr>
                <w:rFonts w:ascii="Arial" w:eastAsia="Times New Roman" w:hAnsi="Arial" w:cs="Arial"/>
                <w:color w:val="3C3D3F"/>
                <w:sz w:val="21"/>
                <w:szCs w:val="21"/>
              </w:rPr>
              <w:t>  </w:t>
            </w:r>
          </w:p>
        </w:tc>
      </w:tr>
      <w:tr w:rsidR="00505244" w:rsidRPr="00505244" w14:paraId="077F3E4A" w14:textId="77777777" w:rsidTr="00505244">
        <w:tc>
          <w:tcPr>
            <w:tcW w:w="0" w:type="auto"/>
            <w:shd w:val="clear" w:color="auto" w:fill="F8F8F9"/>
            <w:tcMar>
              <w:top w:w="60" w:type="dxa"/>
              <w:left w:w="60" w:type="dxa"/>
              <w:bottom w:w="60" w:type="dxa"/>
              <w:right w:w="60" w:type="dxa"/>
            </w:tcMar>
            <w:vAlign w:val="center"/>
            <w:hideMark/>
          </w:tcPr>
          <w:p w14:paraId="6EF348A6"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0637031E"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Pub. Rec./Disaster Response: Creates exemption from public records requirements for address &amp; telephone number of persons provided emergency shelter &amp; held by agency that provided emergency shelter; provides for future legislative review &amp; repeal of exemption; provides statement of public necessity. Effective Date: upon becoming a law</w:t>
            </w:r>
          </w:p>
        </w:tc>
      </w:tr>
      <w:tr w:rsidR="00505244" w:rsidRPr="00505244" w14:paraId="2C36B4CE" w14:textId="77777777" w:rsidTr="00505244">
        <w:tc>
          <w:tcPr>
            <w:tcW w:w="0" w:type="auto"/>
            <w:shd w:val="clear" w:color="auto" w:fill="F8F8F9"/>
            <w:tcMar>
              <w:top w:w="60" w:type="dxa"/>
              <w:left w:w="60" w:type="dxa"/>
              <w:bottom w:w="60" w:type="dxa"/>
              <w:right w:w="60" w:type="dxa"/>
            </w:tcMar>
            <w:vAlign w:val="center"/>
            <w:hideMark/>
          </w:tcPr>
          <w:p w14:paraId="37854CB0"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0FDBD16F" w14:textId="44FC875E"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54" w:history="1">
              <w:r w:rsidRPr="00505244">
                <w:rPr>
                  <w:rFonts w:ascii="Arial" w:eastAsia="Times New Roman" w:hAnsi="Arial" w:cs="Arial"/>
                  <w:color w:val="3A4E72"/>
                  <w:sz w:val="21"/>
                  <w:szCs w:val="21"/>
                </w:rPr>
                <w:t>SB 0582</w:t>
              </w:r>
            </w:hyperlink>
            <w:r w:rsidRPr="00505244">
              <w:rPr>
                <w:rFonts w:ascii="Arial" w:eastAsia="Times New Roman" w:hAnsi="Arial" w:cs="Arial"/>
                <w:noProof/>
                <w:color w:val="3C3D3F"/>
                <w:sz w:val="21"/>
                <w:szCs w:val="21"/>
              </w:rPr>
              <w:drawing>
                <wp:inline distT="0" distB="0" distL="0" distR="0" wp14:anchorId="55A72543" wp14:editId="0A85AAF7">
                  <wp:extent cx="228600"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7EFE4C76"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Parental Rights</w:t>
            </w:r>
          </w:p>
        </w:tc>
        <w:tc>
          <w:tcPr>
            <w:tcW w:w="0" w:type="auto"/>
            <w:gridSpan w:val="3"/>
            <w:tcMar>
              <w:top w:w="105" w:type="dxa"/>
              <w:left w:w="60" w:type="dxa"/>
              <w:bottom w:w="60" w:type="dxa"/>
              <w:right w:w="60" w:type="dxa"/>
            </w:tcMar>
            <w:vAlign w:val="center"/>
            <w:hideMark/>
          </w:tcPr>
          <w:p w14:paraId="7CC85375" w14:textId="77777777" w:rsidR="00505244" w:rsidRPr="00505244" w:rsidRDefault="00505244" w:rsidP="00505244">
            <w:pPr>
              <w:spacing w:after="0" w:line="240" w:lineRule="auto"/>
              <w:rPr>
                <w:rFonts w:ascii="Arial" w:eastAsia="Times New Roman" w:hAnsi="Arial" w:cs="Arial"/>
                <w:color w:val="3C3D3F"/>
                <w:sz w:val="21"/>
                <w:szCs w:val="21"/>
              </w:rPr>
            </w:pPr>
            <w:hyperlink r:id="rId155" w:history="1">
              <w:r w:rsidRPr="00505244">
                <w:rPr>
                  <w:rFonts w:ascii="Arial" w:eastAsia="Times New Roman" w:hAnsi="Arial" w:cs="Arial"/>
                  <w:color w:val="3A4E72"/>
                  <w:sz w:val="21"/>
                  <w:szCs w:val="21"/>
                </w:rPr>
                <w:t>Rodrigues (R)</w:t>
              </w:r>
            </w:hyperlink>
            <w:r w:rsidRPr="00505244">
              <w:rPr>
                <w:rFonts w:ascii="Arial" w:eastAsia="Times New Roman" w:hAnsi="Arial" w:cs="Arial"/>
                <w:color w:val="3C3D3F"/>
                <w:sz w:val="21"/>
                <w:szCs w:val="21"/>
              </w:rPr>
              <w:t>  </w:t>
            </w:r>
          </w:p>
        </w:tc>
      </w:tr>
      <w:tr w:rsidR="00505244" w:rsidRPr="00505244" w14:paraId="093EC9D1" w14:textId="77777777" w:rsidTr="00505244">
        <w:tc>
          <w:tcPr>
            <w:tcW w:w="0" w:type="auto"/>
            <w:shd w:val="clear" w:color="auto" w:fill="F8F8F9"/>
            <w:tcMar>
              <w:top w:w="60" w:type="dxa"/>
              <w:left w:w="60" w:type="dxa"/>
              <w:bottom w:w="60" w:type="dxa"/>
              <w:right w:w="60" w:type="dxa"/>
            </w:tcMar>
            <w:vAlign w:val="center"/>
            <w:hideMark/>
          </w:tcPr>
          <w:p w14:paraId="49C2FBB5"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83F236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Parental Rights; Creating the “Parents’ Bill of Rights”; prohibiting the state, its political subdivisions, other governmental entities, or other institutions from infringing on parental rights unless specified conditions are met; requiring each district school board to develop and adopt a policy to promote parental involvement in the public school system; prohibiting health care practitioners and their employees from providing health care services or prescribing medicinal drugs to a minor child without a parent’s written consent, etc. Effective Date: 7/1/2021</w:t>
            </w:r>
          </w:p>
        </w:tc>
      </w:tr>
      <w:tr w:rsidR="00505244" w:rsidRPr="00505244" w14:paraId="2559B482" w14:textId="77777777" w:rsidTr="00505244">
        <w:tc>
          <w:tcPr>
            <w:tcW w:w="0" w:type="auto"/>
            <w:shd w:val="clear" w:color="auto" w:fill="F8F8F9"/>
            <w:tcMar>
              <w:top w:w="60" w:type="dxa"/>
              <w:left w:w="60" w:type="dxa"/>
              <w:bottom w:w="60" w:type="dxa"/>
              <w:right w:w="60" w:type="dxa"/>
            </w:tcMar>
            <w:vAlign w:val="center"/>
            <w:hideMark/>
          </w:tcPr>
          <w:p w14:paraId="48D119C3"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18D62895" w14:textId="4D2A4821"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56" w:history="1">
              <w:r w:rsidRPr="00505244">
                <w:rPr>
                  <w:rFonts w:ascii="Arial" w:eastAsia="Times New Roman" w:hAnsi="Arial" w:cs="Arial"/>
                  <w:color w:val="3A4E72"/>
                  <w:sz w:val="21"/>
                  <w:szCs w:val="21"/>
                </w:rPr>
                <w:t>HB 0241</w:t>
              </w:r>
            </w:hyperlink>
            <w:r w:rsidRPr="00505244">
              <w:rPr>
                <w:rFonts w:ascii="Arial" w:eastAsia="Times New Roman" w:hAnsi="Arial" w:cs="Arial"/>
                <w:noProof/>
                <w:color w:val="3C3D3F"/>
                <w:sz w:val="21"/>
                <w:szCs w:val="21"/>
              </w:rPr>
              <w:drawing>
                <wp:inline distT="0" distB="0" distL="0" distR="0" wp14:anchorId="084D5449" wp14:editId="0FEE89D4">
                  <wp:extent cx="2286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ADF8E54"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Parents' Bill of Rights</w:t>
            </w:r>
          </w:p>
        </w:tc>
        <w:tc>
          <w:tcPr>
            <w:tcW w:w="0" w:type="auto"/>
            <w:gridSpan w:val="3"/>
            <w:tcMar>
              <w:top w:w="105" w:type="dxa"/>
              <w:left w:w="60" w:type="dxa"/>
              <w:bottom w:w="60" w:type="dxa"/>
              <w:right w:w="60" w:type="dxa"/>
            </w:tcMar>
            <w:vAlign w:val="center"/>
            <w:hideMark/>
          </w:tcPr>
          <w:p w14:paraId="1D64212E" w14:textId="77777777" w:rsidR="00505244" w:rsidRPr="00505244" w:rsidRDefault="00505244" w:rsidP="00505244">
            <w:pPr>
              <w:spacing w:after="0" w:line="240" w:lineRule="auto"/>
              <w:rPr>
                <w:rFonts w:ascii="Arial" w:eastAsia="Times New Roman" w:hAnsi="Arial" w:cs="Arial"/>
                <w:color w:val="3C3D3F"/>
                <w:sz w:val="21"/>
                <w:szCs w:val="21"/>
              </w:rPr>
            </w:pPr>
            <w:hyperlink r:id="rId157" w:history="1">
              <w:r w:rsidRPr="00505244">
                <w:rPr>
                  <w:rFonts w:ascii="Arial" w:eastAsia="Times New Roman" w:hAnsi="Arial" w:cs="Arial"/>
                  <w:color w:val="3A4E72"/>
                  <w:sz w:val="21"/>
                  <w:szCs w:val="21"/>
                </w:rPr>
                <w:t>Grall</w:t>
              </w:r>
            </w:hyperlink>
            <w:r w:rsidRPr="00505244">
              <w:rPr>
                <w:rFonts w:ascii="Arial" w:eastAsia="Times New Roman" w:hAnsi="Arial" w:cs="Arial"/>
                <w:color w:val="3C3D3F"/>
                <w:sz w:val="21"/>
                <w:szCs w:val="21"/>
              </w:rPr>
              <w:t>  </w:t>
            </w:r>
          </w:p>
        </w:tc>
      </w:tr>
      <w:tr w:rsidR="00505244" w:rsidRPr="00505244" w14:paraId="26A59A5F" w14:textId="77777777" w:rsidTr="00505244">
        <w:tc>
          <w:tcPr>
            <w:tcW w:w="0" w:type="auto"/>
            <w:shd w:val="clear" w:color="auto" w:fill="F8F8F9"/>
            <w:tcMar>
              <w:top w:w="60" w:type="dxa"/>
              <w:left w:w="60" w:type="dxa"/>
              <w:bottom w:w="60" w:type="dxa"/>
              <w:right w:w="60" w:type="dxa"/>
            </w:tcMar>
            <w:vAlign w:val="center"/>
            <w:hideMark/>
          </w:tcPr>
          <w:p w14:paraId="7D6EAE0C"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1A1805DC"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Parents' Bill of Rights: Provides parental rights relating to a minor child's education, upbringing, &amp; health care; provides school district, health care practitioner, hospital requirements &amp; specified penalties. Effective Date: July 1, 2021</w:t>
            </w:r>
          </w:p>
        </w:tc>
      </w:tr>
      <w:tr w:rsidR="00505244" w:rsidRPr="00505244" w14:paraId="3F079203" w14:textId="77777777" w:rsidTr="00505244">
        <w:tc>
          <w:tcPr>
            <w:tcW w:w="0" w:type="auto"/>
            <w:shd w:val="clear" w:color="auto" w:fill="F8F8F9"/>
            <w:tcMar>
              <w:top w:w="60" w:type="dxa"/>
              <w:left w:w="60" w:type="dxa"/>
              <w:bottom w:w="60" w:type="dxa"/>
              <w:right w:w="60" w:type="dxa"/>
            </w:tcMar>
            <w:vAlign w:val="center"/>
            <w:hideMark/>
          </w:tcPr>
          <w:p w14:paraId="3A1FF2FF"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76B9FB39" w14:textId="12C00F7B"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58" w:history="1">
              <w:r w:rsidRPr="00505244">
                <w:rPr>
                  <w:rFonts w:ascii="Arial" w:eastAsia="Times New Roman" w:hAnsi="Arial" w:cs="Arial"/>
                  <w:color w:val="3A4E72"/>
                  <w:sz w:val="21"/>
                  <w:szCs w:val="21"/>
                </w:rPr>
                <w:t>SB 0950</w:t>
              </w:r>
            </w:hyperlink>
            <w:r w:rsidRPr="00505244">
              <w:rPr>
                <w:rFonts w:ascii="Arial" w:eastAsia="Times New Roman" w:hAnsi="Arial" w:cs="Arial"/>
                <w:noProof/>
                <w:color w:val="3C3D3F"/>
                <w:sz w:val="21"/>
                <w:szCs w:val="21"/>
              </w:rPr>
              <w:drawing>
                <wp:inline distT="0" distB="0" distL="0" distR="0" wp14:anchorId="19A718F0" wp14:editId="28C117F0">
                  <wp:extent cx="22860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57E7AAB3"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Bicycle and Pedestrian Safety</w:t>
            </w:r>
          </w:p>
        </w:tc>
        <w:tc>
          <w:tcPr>
            <w:tcW w:w="0" w:type="auto"/>
            <w:gridSpan w:val="3"/>
            <w:tcMar>
              <w:top w:w="105" w:type="dxa"/>
              <w:left w:w="60" w:type="dxa"/>
              <w:bottom w:w="60" w:type="dxa"/>
              <w:right w:w="60" w:type="dxa"/>
            </w:tcMar>
            <w:vAlign w:val="center"/>
            <w:hideMark/>
          </w:tcPr>
          <w:p w14:paraId="6D8C6B91" w14:textId="77777777" w:rsidR="00505244" w:rsidRPr="00505244" w:rsidRDefault="00505244" w:rsidP="00505244">
            <w:pPr>
              <w:spacing w:after="0" w:line="240" w:lineRule="auto"/>
              <w:rPr>
                <w:rFonts w:ascii="Arial" w:eastAsia="Times New Roman" w:hAnsi="Arial" w:cs="Arial"/>
                <w:color w:val="3C3D3F"/>
                <w:sz w:val="21"/>
                <w:szCs w:val="21"/>
              </w:rPr>
            </w:pPr>
            <w:hyperlink r:id="rId159" w:history="1">
              <w:r w:rsidRPr="00505244">
                <w:rPr>
                  <w:rFonts w:ascii="Arial" w:eastAsia="Times New Roman" w:hAnsi="Arial" w:cs="Arial"/>
                  <w:color w:val="3A4E72"/>
                  <w:sz w:val="21"/>
                  <w:szCs w:val="21"/>
                </w:rPr>
                <w:t>Book</w:t>
              </w:r>
            </w:hyperlink>
            <w:r w:rsidRPr="00505244">
              <w:rPr>
                <w:rFonts w:ascii="Arial" w:eastAsia="Times New Roman" w:hAnsi="Arial" w:cs="Arial"/>
                <w:color w:val="3C3D3F"/>
                <w:sz w:val="21"/>
                <w:szCs w:val="21"/>
              </w:rPr>
              <w:t>  </w:t>
            </w:r>
          </w:p>
        </w:tc>
      </w:tr>
      <w:tr w:rsidR="00505244" w:rsidRPr="00505244" w14:paraId="643DF37C" w14:textId="77777777" w:rsidTr="00505244">
        <w:tc>
          <w:tcPr>
            <w:tcW w:w="0" w:type="auto"/>
            <w:shd w:val="clear" w:color="auto" w:fill="F8F8F9"/>
            <w:tcMar>
              <w:top w:w="60" w:type="dxa"/>
              <w:left w:w="60" w:type="dxa"/>
              <w:bottom w:w="60" w:type="dxa"/>
              <w:right w:w="60" w:type="dxa"/>
            </w:tcMar>
            <w:vAlign w:val="center"/>
            <w:hideMark/>
          </w:tcPr>
          <w:p w14:paraId="20794C24"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686ACCC1"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Bicycle and Pedestrian Safety; Revising and providing requirements for the driver of a motor vehicle overtaking a bicycle or other nonmotorized vehicle, an electric bicycle, or a pedestrian; requiring the Department of Highway Safety and Motor Vehicles to provide an annual awareness and safety campaign regarding certain safety precautions; exempting a motor vehicle driver from certain provisions relating to no-passing zones when overtaking a bicycle or other nonmotorized vehicle, an electric bicycle, or a pedestrian; making a technical change; revising requirements for vehicles turning at intersections; prohibiting persons riding bicycles in a bicycle lane from riding more than two abreast, etc. Effective Date: 7/1/2021</w:t>
            </w:r>
          </w:p>
        </w:tc>
      </w:tr>
      <w:tr w:rsidR="00505244" w:rsidRPr="00505244" w14:paraId="51E67C00" w14:textId="77777777" w:rsidTr="00505244">
        <w:tc>
          <w:tcPr>
            <w:tcW w:w="0" w:type="auto"/>
            <w:shd w:val="clear" w:color="auto" w:fill="F8F8F9"/>
            <w:tcMar>
              <w:top w:w="60" w:type="dxa"/>
              <w:left w:w="60" w:type="dxa"/>
              <w:bottom w:w="60" w:type="dxa"/>
              <w:right w:w="60" w:type="dxa"/>
            </w:tcMar>
            <w:vAlign w:val="center"/>
            <w:hideMark/>
          </w:tcPr>
          <w:p w14:paraId="37B2C10D"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5FA4E3DE" w14:textId="6BA89BA8"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60" w:history="1">
              <w:r w:rsidRPr="00505244">
                <w:rPr>
                  <w:rFonts w:ascii="Arial" w:eastAsia="Times New Roman" w:hAnsi="Arial" w:cs="Arial"/>
                  <w:color w:val="3A4E72"/>
                  <w:sz w:val="21"/>
                  <w:szCs w:val="21"/>
                </w:rPr>
                <w:t>SB 0826</w:t>
              </w:r>
            </w:hyperlink>
            <w:r w:rsidRPr="00505244">
              <w:rPr>
                <w:rFonts w:ascii="Arial" w:eastAsia="Times New Roman" w:hAnsi="Arial" w:cs="Arial"/>
                <w:noProof/>
                <w:color w:val="3C3D3F"/>
                <w:sz w:val="21"/>
                <w:szCs w:val="21"/>
              </w:rPr>
              <w:drawing>
                <wp:inline distT="0" distB="0" distL="0" distR="0" wp14:anchorId="3A746D4E" wp14:editId="1612D601">
                  <wp:extent cx="2286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53C694D0"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Child Protection Teams</w:t>
            </w:r>
          </w:p>
        </w:tc>
        <w:tc>
          <w:tcPr>
            <w:tcW w:w="0" w:type="auto"/>
            <w:gridSpan w:val="3"/>
            <w:tcMar>
              <w:top w:w="105" w:type="dxa"/>
              <w:left w:w="60" w:type="dxa"/>
              <w:bottom w:w="60" w:type="dxa"/>
              <w:right w:w="60" w:type="dxa"/>
            </w:tcMar>
            <w:vAlign w:val="center"/>
            <w:hideMark/>
          </w:tcPr>
          <w:p w14:paraId="0447CF40" w14:textId="77777777" w:rsidR="00505244" w:rsidRPr="00505244" w:rsidRDefault="00505244" w:rsidP="00505244">
            <w:pPr>
              <w:spacing w:after="0" w:line="240" w:lineRule="auto"/>
              <w:rPr>
                <w:rFonts w:ascii="Arial" w:eastAsia="Times New Roman" w:hAnsi="Arial" w:cs="Arial"/>
                <w:color w:val="3C3D3F"/>
                <w:sz w:val="21"/>
                <w:szCs w:val="21"/>
              </w:rPr>
            </w:pPr>
            <w:hyperlink r:id="rId161" w:history="1">
              <w:r w:rsidRPr="00505244">
                <w:rPr>
                  <w:rFonts w:ascii="Arial" w:eastAsia="Times New Roman" w:hAnsi="Arial" w:cs="Arial"/>
                  <w:color w:val="3A4E72"/>
                  <w:sz w:val="21"/>
                  <w:szCs w:val="21"/>
                </w:rPr>
                <w:t>Baxley</w:t>
              </w:r>
            </w:hyperlink>
            <w:r w:rsidRPr="00505244">
              <w:rPr>
                <w:rFonts w:ascii="Arial" w:eastAsia="Times New Roman" w:hAnsi="Arial" w:cs="Arial"/>
                <w:color w:val="3C3D3F"/>
                <w:sz w:val="21"/>
                <w:szCs w:val="21"/>
              </w:rPr>
              <w:t>  </w:t>
            </w:r>
          </w:p>
        </w:tc>
      </w:tr>
      <w:tr w:rsidR="00505244" w:rsidRPr="00505244" w14:paraId="0E59CB93" w14:textId="77777777" w:rsidTr="00505244">
        <w:tc>
          <w:tcPr>
            <w:tcW w:w="0" w:type="auto"/>
            <w:shd w:val="clear" w:color="auto" w:fill="F8F8F9"/>
            <w:tcMar>
              <w:top w:w="60" w:type="dxa"/>
              <w:left w:w="60" w:type="dxa"/>
              <w:bottom w:w="60" w:type="dxa"/>
              <w:right w:w="60" w:type="dxa"/>
            </w:tcMar>
            <w:vAlign w:val="center"/>
            <w:hideMark/>
          </w:tcPr>
          <w:p w14:paraId="122FFD38"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5612126D"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Child Protection </w:t>
            </w:r>
            <w:proofErr w:type="gramStart"/>
            <w:r w:rsidRPr="00505244">
              <w:rPr>
                <w:rFonts w:ascii="Arial" w:eastAsia="Times New Roman" w:hAnsi="Arial" w:cs="Arial"/>
                <w:color w:val="3C3D3F"/>
                <w:sz w:val="17"/>
                <w:szCs w:val="17"/>
              </w:rPr>
              <w:t>Teams;</w:t>
            </w:r>
            <w:proofErr w:type="gramEnd"/>
            <w:r w:rsidRPr="00505244">
              <w:rPr>
                <w:rFonts w:ascii="Arial" w:eastAsia="Times New Roman" w:hAnsi="Arial" w:cs="Arial"/>
                <w:color w:val="3C3D3F"/>
                <w:sz w:val="17"/>
                <w:szCs w:val="17"/>
              </w:rPr>
              <w:t xml:space="preserve"> Revising the definition of the term “officer, employee, or agent” as it applies to immunity from personal liability in certain actions to include any member of a Child Protection Team established by the Department of Health in certain circumstances, etc. Effective Date: 7/1/2021</w:t>
            </w:r>
          </w:p>
        </w:tc>
      </w:tr>
      <w:tr w:rsidR="00505244" w:rsidRPr="00505244" w14:paraId="7566211F" w14:textId="77777777" w:rsidTr="00505244">
        <w:tc>
          <w:tcPr>
            <w:tcW w:w="0" w:type="auto"/>
            <w:shd w:val="clear" w:color="auto" w:fill="F8F8F9"/>
            <w:tcMar>
              <w:top w:w="60" w:type="dxa"/>
              <w:left w:w="60" w:type="dxa"/>
              <w:bottom w:w="60" w:type="dxa"/>
              <w:right w:w="60" w:type="dxa"/>
            </w:tcMar>
            <w:vAlign w:val="center"/>
            <w:hideMark/>
          </w:tcPr>
          <w:p w14:paraId="25E37010" w14:textId="77777777" w:rsidR="00505244" w:rsidRPr="00505244" w:rsidRDefault="00505244" w:rsidP="00505244">
            <w:pPr>
              <w:spacing w:after="0" w:line="240" w:lineRule="auto"/>
              <w:rPr>
                <w:rFonts w:ascii="Arial" w:eastAsia="Times New Roman" w:hAnsi="Arial" w:cs="Arial"/>
                <w:color w:val="3C3D3F"/>
                <w:sz w:val="17"/>
                <w:szCs w:val="17"/>
              </w:rPr>
            </w:pPr>
          </w:p>
        </w:tc>
        <w:tc>
          <w:tcPr>
            <w:tcW w:w="0" w:type="auto"/>
            <w:tcMar>
              <w:top w:w="105" w:type="dxa"/>
              <w:left w:w="60" w:type="dxa"/>
              <w:bottom w:w="60" w:type="dxa"/>
              <w:right w:w="60" w:type="dxa"/>
            </w:tcMar>
            <w:vAlign w:val="center"/>
            <w:hideMark/>
          </w:tcPr>
          <w:p w14:paraId="214EEF5B" w14:textId="3BA5CA2A"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hyperlink r:id="rId162" w:history="1">
              <w:r w:rsidRPr="00505244">
                <w:rPr>
                  <w:rFonts w:ascii="Arial" w:eastAsia="Times New Roman" w:hAnsi="Arial" w:cs="Arial"/>
                  <w:color w:val="3A4E72"/>
                  <w:sz w:val="21"/>
                  <w:szCs w:val="21"/>
                </w:rPr>
                <w:t>SB 1568</w:t>
              </w:r>
            </w:hyperlink>
            <w:r w:rsidRPr="00505244">
              <w:rPr>
                <w:rFonts w:ascii="Arial" w:eastAsia="Times New Roman" w:hAnsi="Arial" w:cs="Arial"/>
                <w:noProof/>
                <w:color w:val="3C3D3F"/>
                <w:sz w:val="21"/>
                <w:szCs w:val="21"/>
              </w:rPr>
              <w:drawing>
                <wp:inline distT="0" distB="0" distL="0" distR="0" wp14:anchorId="1F921311" wp14:editId="3D0D2088">
                  <wp:extent cx="2286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tc>
        <w:tc>
          <w:tcPr>
            <w:tcW w:w="0" w:type="auto"/>
            <w:tcMar>
              <w:top w:w="105" w:type="dxa"/>
              <w:left w:w="60" w:type="dxa"/>
              <w:bottom w:w="60" w:type="dxa"/>
              <w:right w:w="60" w:type="dxa"/>
            </w:tcMar>
            <w:vAlign w:val="center"/>
            <w:hideMark/>
          </w:tcPr>
          <w:p w14:paraId="6C412BDB"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Department of Health</w:t>
            </w:r>
          </w:p>
        </w:tc>
        <w:tc>
          <w:tcPr>
            <w:tcW w:w="0" w:type="auto"/>
            <w:gridSpan w:val="3"/>
            <w:tcMar>
              <w:top w:w="105" w:type="dxa"/>
              <w:left w:w="60" w:type="dxa"/>
              <w:bottom w:w="60" w:type="dxa"/>
              <w:right w:w="60" w:type="dxa"/>
            </w:tcMar>
            <w:vAlign w:val="center"/>
            <w:hideMark/>
          </w:tcPr>
          <w:p w14:paraId="1B3C5A6F" w14:textId="77777777" w:rsidR="00505244" w:rsidRPr="00505244" w:rsidRDefault="00505244" w:rsidP="00505244">
            <w:pPr>
              <w:spacing w:after="0" w:line="240" w:lineRule="auto"/>
              <w:rPr>
                <w:rFonts w:ascii="Arial" w:eastAsia="Times New Roman" w:hAnsi="Arial" w:cs="Arial"/>
                <w:color w:val="3C3D3F"/>
                <w:sz w:val="21"/>
                <w:szCs w:val="21"/>
              </w:rPr>
            </w:pPr>
            <w:hyperlink r:id="rId163" w:history="1">
              <w:r w:rsidRPr="00505244">
                <w:rPr>
                  <w:rFonts w:ascii="Arial" w:eastAsia="Times New Roman" w:hAnsi="Arial" w:cs="Arial"/>
                  <w:color w:val="3A4E72"/>
                  <w:sz w:val="21"/>
                  <w:szCs w:val="21"/>
                </w:rPr>
                <w:t>Rodriguez (A)</w:t>
              </w:r>
            </w:hyperlink>
            <w:r w:rsidRPr="00505244">
              <w:rPr>
                <w:rFonts w:ascii="Arial" w:eastAsia="Times New Roman" w:hAnsi="Arial" w:cs="Arial"/>
                <w:color w:val="3C3D3F"/>
                <w:sz w:val="21"/>
                <w:szCs w:val="21"/>
              </w:rPr>
              <w:t>  </w:t>
            </w:r>
          </w:p>
        </w:tc>
      </w:tr>
      <w:tr w:rsidR="00505244" w:rsidRPr="00505244" w14:paraId="3BFC6F24" w14:textId="77777777" w:rsidTr="00505244">
        <w:tc>
          <w:tcPr>
            <w:tcW w:w="0" w:type="auto"/>
            <w:shd w:val="clear" w:color="auto" w:fill="F8F8F9"/>
            <w:tcMar>
              <w:top w:w="60" w:type="dxa"/>
              <w:left w:w="60" w:type="dxa"/>
              <w:bottom w:w="60" w:type="dxa"/>
              <w:right w:w="60" w:type="dxa"/>
            </w:tcMar>
            <w:vAlign w:val="center"/>
            <w:hideMark/>
          </w:tcPr>
          <w:p w14:paraId="6A11A96E" w14:textId="77777777" w:rsidR="00505244" w:rsidRPr="00505244" w:rsidRDefault="00505244" w:rsidP="00505244">
            <w:pPr>
              <w:spacing w:after="0" w:line="240" w:lineRule="auto"/>
              <w:jc w:val="right"/>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c>
          <w:tcPr>
            <w:tcW w:w="0" w:type="auto"/>
            <w:gridSpan w:val="5"/>
            <w:tcMar>
              <w:top w:w="60" w:type="dxa"/>
              <w:left w:w="105" w:type="dxa"/>
              <w:bottom w:w="60" w:type="dxa"/>
              <w:right w:w="60" w:type="dxa"/>
            </w:tcMar>
            <w:vAlign w:val="center"/>
            <w:hideMark/>
          </w:tcPr>
          <w:p w14:paraId="429DD4E0" w14:textId="77777777" w:rsidR="00505244" w:rsidRPr="00505244" w:rsidRDefault="00505244" w:rsidP="00505244">
            <w:pPr>
              <w:spacing w:after="0" w:line="240" w:lineRule="auto"/>
              <w:rPr>
                <w:rFonts w:ascii="Arial" w:eastAsia="Times New Roman" w:hAnsi="Arial" w:cs="Arial"/>
                <w:color w:val="3C3D3F"/>
                <w:sz w:val="17"/>
                <w:szCs w:val="17"/>
              </w:rPr>
            </w:pPr>
            <w:r w:rsidRPr="00505244">
              <w:rPr>
                <w:rFonts w:ascii="Arial" w:eastAsia="Times New Roman" w:hAnsi="Arial" w:cs="Arial"/>
                <w:color w:val="3C3D3F"/>
                <w:sz w:val="17"/>
                <w:szCs w:val="17"/>
              </w:rPr>
              <w:t xml:space="preserve">Department of Health; Revising the purpose of the department’s targeted outreach program for certain pregnant women; requiring the department to provide, for a specified purpose, continued oversight of newborns exposed to HIV; revising provisions related to administrative fines for violations relating to onsite sewage treatment and disposal systems and septic tank contracting; exempting certain specialty hospitals from prohibitions relating to the employment of dentists and dental hygienists and the control of dental equipment and materials by </w:t>
            </w:r>
            <w:proofErr w:type="spellStart"/>
            <w:r w:rsidRPr="00505244">
              <w:rPr>
                <w:rFonts w:ascii="Arial" w:eastAsia="Times New Roman" w:hAnsi="Arial" w:cs="Arial"/>
                <w:color w:val="3C3D3F"/>
                <w:sz w:val="17"/>
                <w:szCs w:val="17"/>
              </w:rPr>
              <w:t>nondentists</w:t>
            </w:r>
            <w:proofErr w:type="spellEnd"/>
            <w:r w:rsidRPr="00505244">
              <w:rPr>
                <w:rFonts w:ascii="Arial" w:eastAsia="Times New Roman" w:hAnsi="Arial" w:cs="Arial"/>
                <w:color w:val="3C3D3F"/>
                <w:sz w:val="17"/>
                <w:szCs w:val="17"/>
              </w:rPr>
              <w:t>; revising provisions relating to licensure by endorsement of midwives, etc. Effective Date: 7/1/2021</w:t>
            </w:r>
          </w:p>
        </w:tc>
      </w:tr>
      <w:tr w:rsidR="00505244" w:rsidRPr="00505244" w14:paraId="6BE6102A" w14:textId="77777777" w:rsidTr="00505244">
        <w:tc>
          <w:tcPr>
            <w:tcW w:w="0" w:type="auto"/>
            <w:gridSpan w:val="6"/>
            <w:tcMar>
              <w:top w:w="60" w:type="dxa"/>
              <w:left w:w="60" w:type="dxa"/>
              <w:bottom w:w="60" w:type="dxa"/>
              <w:right w:w="60" w:type="dxa"/>
            </w:tcMar>
            <w:vAlign w:val="center"/>
            <w:hideMark/>
          </w:tcPr>
          <w:p w14:paraId="5E4082C8"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4DE9644E" w14:textId="77777777" w:rsidTr="00505244">
        <w:tc>
          <w:tcPr>
            <w:tcW w:w="0" w:type="auto"/>
            <w:gridSpan w:val="6"/>
            <w:tcMar>
              <w:top w:w="60" w:type="dxa"/>
              <w:left w:w="60" w:type="dxa"/>
              <w:bottom w:w="60" w:type="dxa"/>
              <w:right w:w="60" w:type="dxa"/>
            </w:tcMar>
            <w:vAlign w:val="center"/>
            <w:hideMark/>
          </w:tcPr>
          <w:p w14:paraId="74070F78"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309E1E3A" w14:textId="77777777" w:rsidTr="00505244">
        <w:tc>
          <w:tcPr>
            <w:tcW w:w="0" w:type="auto"/>
            <w:gridSpan w:val="6"/>
            <w:shd w:val="clear" w:color="auto" w:fill="E5E7EB"/>
            <w:tcMar>
              <w:top w:w="60" w:type="dxa"/>
              <w:left w:w="60" w:type="dxa"/>
              <w:bottom w:w="60" w:type="dxa"/>
              <w:right w:w="60" w:type="dxa"/>
            </w:tcMar>
            <w:vAlign w:val="center"/>
            <w:hideMark/>
          </w:tcPr>
          <w:p w14:paraId="0DB9EBF7"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lastRenderedPageBreak/>
              <w:t> Thursday Apr 22, 2021</w:t>
            </w:r>
          </w:p>
        </w:tc>
      </w:tr>
      <w:tr w:rsidR="00505244" w:rsidRPr="00505244" w14:paraId="6A525FC9" w14:textId="77777777" w:rsidTr="00505244">
        <w:tc>
          <w:tcPr>
            <w:tcW w:w="0" w:type="auto"/>
            <w:gridSpan w:val="6"/>
            <w:tcMar>
              <w:top w:w="60" w:type="dxa"/>
              <w:left w:w="60" w:type="dxa"/>
              <w:bottom w:w="60" w:type="dxa"/>
              <w:right w:w="60" w:type="dxa"/>
            </w:tcMar>
            <w:vAlign w:val="center"/>
            <w:hideMark/>
          </w:tcPr>
          <w:p w14:paraId="3CFA5317" w14:textId="77777777" w:rsidR="00505244" w:rsidRPr="00505244" w:rsidRDefault="00505244" w:rsidP="00505244">
            <w:pPr>
              <w:spacing w:after="0" w:line="240" w:lineRule="auto"/>
              <w:rPr>
                <w:rFonts w:ascii="Arial" w:eastAsia="Times New Roman" w:hAnsi="Arial" w:cs="Arial"/>
                <w:color w:val="3C3D3F"/>
                <w:sz w:val="21"/>
                <w:szCs w:val="21"/>
              </w:rPr>
            </w:pPr>
            <w:r w:rsidRPr="00505244">
              <w:rPr>
                <w:rFonts w:ascii="Arial" w:eastAsia="Times New Roman" w:hAnsi="Arial" w:cs="Arial"/>
                <w:color w:val="3C3D3F"/>
                <w:sz w:val="21"/>
                <w:szCs w:val="21"/>
              </w:rPr>
              <w:t> </w:t>
            </w:r>
          </w:p>
        </w:tc>
      </w:tr>
      <w:tr w:rsidR="00505244" w:rsidRPr="00505244" w14:paraId="0AADC774" w14:textId="77777777" w:rsidTr="00505244">
        <w:tc>
          <w:tcPr>
            <w:tcW w:w="0" w:type="auto"/>
            <w:gridSpan w:val="6"/>
            <w:shd w:val="clear" w:color="auto" w:fill="E5E7EB"/>
            <w:tcMar>
              <w:top w:w="60" w:type="dxa"/>
              <w:left w:w="60" w:type="dxa"/>
              <w:bottom w:w="60" w:type="dxa"/>
              <w:right w:w="60" w:type="dxa"/>
            </w:tcMar>
            <w:vAlign w:val="center"/>
            <w:hideMark/>
          </w:tcPr>
          <w:p w14:paraId="75319854" w14:textId="77777777" w:rsidR="00505244" w:rsidRPr="00505244" w:rsidRDefault="00505244" w:rsidP="00505244">
            <w:pPr>
              <w:spacing w:after="0" w:line="240" w:lineRule="auto"/>
              <w:rPr>
                <w:rFonts w:ascii="Arial" w:eastAsia="Times New Roman" w:hAnsi="Arial" w:cs="Arial"/>
                <w:b/>
                <w:bCs/>
                <w:color w:val="3C3D3F"/>
                <w:sz w:val="21"/>
                <w:szCs w:val="21"/>
              </w:rPr>
            </w:pPr>
            <w:r w:rsidRPr="00505244">
              <w:rPr>
                <w:rFonts w:ascii="Arial" w:eastAsia="Times New Roman" w:hAnsi="Arial" w:cs="Arial"/>
                <w:b/>
                <w:bCs/>
                <w:color w:val="3C3D3F"/>
                <w:sz w:val="21"/>
                <w:szCs w:val="21"/>
              </w:rPr>
              <w:t> Friday Apr 23, 2021</w:t>
            </w:r>
          </w:p>
        </w:tc>
      </w:tr>
    </w:tbl>
    <w:p w14:paraId="7970D6D9" w14:textId="77777777" w:rsidR="009D1DE5" w:rsidRDefault="009D1DE5"/>
    <w:sectPr w:rsidR="009D1DE5" w:rsidSect="0050524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244"/>
    <w:rsid w:val="00505244"/>
    <w:rsid w:val="009D1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68520"/>
  <w15:chartTrackingRefBased/>
  <w15:docId w15:val="{D0459FFD-8892-4885-AB9E-BBFC5221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052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venticon">
    <w:name w:val="event_icon"/>
    <w:basedOn w:val="DefaultParagraphFont"/>
    <w:rsid w:val="00505244"/>
  </w:style>
  <w:style w:type="character" w:styleId="Hyperlink">
    <w:name w:val="Hyperlink"/>
    <w:basedOn w:val="DefaultParagraphFont"/>
    <w:uiPriority w:val="99"/>
    <w:semiHidden/>
    <w:unhideWhenUsed/>
    <w:rsid w:val="00505244"/>
    <w:rPr>
      <w:color w:val="0000FF"/>
      <w:u w:val="single"/>
    </w:rPr>
  </w:style>
  <w:style w:type="character" w:styleId="FollowedHyperlink">
    <w:name w:val="FollowedHyperlink"/>
    <w:basedOn w:val="DefaultParagraphFont"/>
    <w:uiPriority w:val="99"/>
    <w:semiHidden/>
    <w:unhideWhenUsed/>
    <w:rsid w:val="00505244"/>
    <w:rPr>
      <w:color w:val="800080"/>
      <w:u w:val="single"/>
    </w:rPr>
  </w:style>
  <w:style w:type="paragraph" w:styleId="NormalWeb">
    <w:name w:val="Normal (Web)"/>
    <w:basedOn w:val="Normal"/>
    <w:uiPriority w:val="99"/>
    <w:semiHidden/>
    <w:unhideWhenUsed/>
    <w:rsid w:val="005052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10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pps.lobbytools.com/tools/t.cfm?a=legislators&amp;b=viewlegislator&amp;id=666" TargetMode="External"/><Relationship Id="rId21" Type="http://schemas.openxmlformats.org/officeDocument/2006/relationships/hyperlink" Target="https://apps.lobbytools.com/tools/t.cfm?a=legislators&amp;b=viewlegislator&amp;id=631" TargetMode="External"/><Relationship Id="rId42" Type="http://schemas.openxmlformats.org/officeDocument/2006/relationships/hyperlink" Target="https://apps.lobbytools.com/tools/t.cfm?a=bills&amp;b=summary&amp;billid=58147" TargetMode="External"/><Relationship Id="rId63" Type="http://schemas.openxmlformats.org/officeDocument/2006/relationships/hyperlink" Target="https://apps.lobbytools.com/tools/t.cfm?a=bills&amp;b=summary&amp;billid=58147" TargetMode="External"/><Relationship Id="rId84" Type="http://schemas.openxmlformats.org/officeDocument/2006/relationships/hyperlink" Target="https://apps.lobbytools.com/tools/t.cfm?a=legislators&amp;b=viewlegislator&amp;id=631" TargetMode="External"/><Relationship Id="rId138" Type="http://schemas.openxmlformats.org/officeDocument/2006/relationships/hyperlink" Target="https://apps.lobbytools.com/tools/t.cfm?a=bills&amp;b=summary&amp;billid=59042" TargetMode="External"/><Relationship Id="rId159" Type="http://schemas.openxmlformats.org/officeDocument/2006/relationships/hyperlink" Target="https://apps.lobbytools.com/tools/t.cfm?a=legislators&amp;b=viewlegislator&amp;id=632" TargetMode="External"/><Relationship Id="rId107" Type="http://schemas.openxmlformats.org/officeDocument/2006/relationships/hyperlink" Target="https://apps.lobbytools.com/tools/t.cfm?a=legislators&amp;b=viewlegislator&amp;id=784" TargetMode="External"/><Relationship Id="rId11" Type="http://schemas.openxmlformats.org/officeDocument/2006/relationships/hyperlink" Target="https://apps.lobbytools.com/tools/t.cfm?a=legislators&amp;b=viewlegislator&amp;id=709" TargetMode="External"/><Relationship Id="rId32" Type="http://schemas.openxmlformats.org/officeDocument/2006/relationships/hyperlink" Target="https://apps.lobbytools.com/tools/t.cfm?a=bills&amp;b=summary&amp;billid=58919" TargetMode="External"/><Relationship Id="rId53" Type="http://schemas.openxmlformats.org/officeDocument/2006/relationships/hyperlink" Target="https://apps.lobbytools.com/tools/t.cfm?a=legislators&amp;b=viewlegislator&amp;id=754" TargetMode="External"/><Relationship Id="rId74" Type="http://schemas.openxmlformats.org/officeDocument/2006/relationships/hyperlink" Target="https://apps.lobbytools.com/tools/t.cfm?a=legislators&amp;b=viewlegislator&amp;id=755" TargetMode="External"/><Relationship Id="rId128" Type="http://schemas.openxmlformats.org/officeDocument/2006/relationships/hyperlink" Target="https://apps.lobbytools.com/tools/t.cfm?a=bills&amp;b=summary&amp;billid=57524" TargetMode="External"/><Relationship Id="rId149" Type="http://schemas.openxmlformats.org/officeDocument/2006/relationships/hyperlink" Target="https://apps.lobbytools.com/tools/t.cfm?a=legislators&amp;b=viewlegislator&amp;id=633" TargetMode="External"/><Relationship Id="rId5" Type="http://schemas.openxmlformats.org/officeDocument/2006/relationships/hyperlink" Target="https://apps.lobbytools.com/tools/t.cfm?a=bills&amp;b=summary&amp;billid=57838" TargetMode="External"/><Relationship Id="rId95" Type="http://schemas.openxmlformats.org/officeDocument/2006/relationships/hyperlink" Target="https://apps.lobbytools.com/tools/t.cfm?a=legislators&amp;b=viewlegislator&amp;id=718" TargetMode="External"/><Relationship Id="rId160" Type="http://schemas.openxmlformats.org/officeDocument/2006/relationships/hyperlink" Target="https://apps.lobbytools.com/tools/t.cfm?a=bills&amp;b=summary&amp;billid=57011" TargetMode="External"/><Relationship Id="rId22" Type="http://schemas.openxmlformats.org/officeDocument/2006/relationships/hyperlink" Target="https://apps.lobbytools.com/tools/t.cfm?a=bills&amp;b=summary&amp;billid=57137" TargetMode="External"/><Relationship Id="rId43" Type="http://schemas.openxmlformats.org/officeDocument/2006/relationships/hyperlink" Target="https://apps.lobbytools.com/tools/t.cfm?a=legislators&amp;b=viewlegislator&amp;id=703" TargetMode="External"/><Relationship Id="rId64" Type="http://schemas.openxmlformats.org/officeDocument/2006/relationships/hyperlink" Target="https://apps.lobbytools.com/tools/t.cfm?a=legislators&amp;b=viewlegislator&amp;id=703" TargetMode="External"/><Relationship Id="rId118" Type="http://schemas.openxmlformats.org/officeDocument/2006/relationships/hyperlink" Target="https://apps.lobbytools.com/tools/t.cfm?a=bills&amp;b=summary&amp;billid=58628" TargetMode="External"/><Relationship Id="rId139" Type="http://schemas.openxmlformats.org/officeDocument/2006/relationships/hyperlink" Target="https://apps.lobbytools.com/tools/t.cfm?a=legislators&amp;b=viewlegislator&amp;id=754" TargetMode="External"/><Relationship Id="rId85" Type="http://schemas.openxmlformats.org/officeDocument/2006/relationships/hyperlink" Target="https://apps.lobbytools.com/tools/t.cfm?a=bills&amp;b=summary&amp;billid=57265" TargetMode="External"/><Relationship Id="rId150" Type="http://schemas.openxmlformats.org/officeDocument/2006/relationships/hyperlink" Target="https://apps.lobbytools.com/tools/t.cfm?a=bills&amp;b=summary&amp;billid=56486" TargetMode="External"/><Relationship Id="rId12" Type="http://schemas.openxmlformats.org/officeDocument/2006/relationships/hyperlink" Target="https://apps.lobbytools.com/tools/t.cfm?a=bills&amp;b=summary&amp;billid=56419" TargetMode="External"/><Relationship Id="rId17" Type="http://schemas.openxmlformats.org/officeDocument/2006/relationships/hyperlink" Target="https://apps.lobbytools.com/tools/t.cfm?a=legislators&amp;b=viewlegislator&amp;id=709" TargetMode="External"/><Relationship Id="rId33" Type="http://schemas.openxmlformats.org/officeDocument/2006/relationships/hyperlink" Target="https://apps.lobbytools.com/tools/t.cfm?a=legislators&amp;b=viewlegislator&amp;id=755" TargetMode="External"/><Relationship Id="rId38" Type="http://schemas.openxmlformats.org/officeDocument/2006/relationships/hyperlink" Target="https://apps.lobbytools.com/tools/t.cfm?a=bills&amp;b=summary&amp;billid=56520" TargetMode="External"/><Relationship Id="rId59" Type="http://schemas.openxmlformats.org/officeDocument/2006/relationships/hyperlink" Target="https://apps.lobbytools.com/tools/t.cfm?a=bills&amp;b=summary&amp;billid=56480" TargetMode="External"/><Relationship Id="rId103" Type="http://schemas.openxmlformats.org/officeDocument/2006/relationships/hyperlink" Target="https://apps.lobbytools.com/tools/t.cfm?a=legislators&amp;b=viewlegislator&amp;id=719" TargetMode="External"/><Relationship Id="rId108" Type="http://schemas.openxmlformats.org/officeDocument/2006/relationships/hyperlink" Target="https://apps.lobbytools.com/tools/t.cfm?a=bills&amp;b=summary&amp;billid=57843" TargetMode="External"/><Relationship Id="rId124" Type="http://schemas.openxmlformats.org/officeDocument/2006/relationships/hyperlink" Target="https://apps.lobbytools.com/tools/t.cfm?a=bills&amp;b=summary&amp;billid=56669" TargetMode="External"/><Relationship Id="rId129" Type="http://schemas.openxmlformats.org/officeDocument/2006/relationships/hyperlink" Target="https://apps.lobbytools.com/tools/t.cfm?a=legislators&amp;b=viewlegislator&amp;id=754" TargetMode="External"/><Relationship Id="rId54" Type="http://schemas.openxmlformats.org/officeDocument/2006/relationships/hyperlink" Target="https://apps.lobbytools.com/tools/t.cfm?a=bills&amp;b=summary&amp;billid=59111" TargetMode="External"/><Relationship Id="rId70" Type="http://schemas.openxmlformats.org/officeDocument/2006/relationships/hyperlink" Target="https://apps.lobbytools.com/tools/t.cfm?a=committees&amp;b=viewcommittee&amp;id=2043" TargetMode="External"/><Relationship Id="rId75" Type="http://schemas.openxmlformats.org/officeDocument/2006/relationships/hyperlink" Target="https://apps.lobbytools.com/tools/t.cfm?a=bills&amp;b=summary&amp;billid=56487" TargetMode="External"/><Relationship Id="rId91" Type="http://schemas.openxmlformats.org/officeDocument/2006/relationships/hyperlink" Target="https://apps.lobbytools.com/tools/print.cfm?a=calendars&amp;b=view&amp;c=viewevent&amp;ID=81830" TargetMode="External"/><Relationship Id="rId96" Type="http://schemas.openxmlformats.org/officeDocument/2006/relationships/hyperlink" Target="https://apps.lobbytools.com/tools/t.cfm?a=bills&amp;b=summary&amp;billid=59149" TargetMode="External"/><Relationship Id="rId140" Type="http://schemas.openxmlformats.org/officeDocument/2006/relationships/hyperlink" Target="https://apps.lobbytools.com/tools/t.cfm?a=bills&amp;b=summary&amp;billid=56520" TargetMode="External"/><Relationship Id="rId145" Type="http://schemas.openxmlformats.org/officeDocument/2006/relationships/hyperlink" Target="https://apps.lobbytools.com/tools/t.cfm?a=legislators&amp;b=viewlegislator&amp;id=631" TargetMode="External"/><Relationship Id="rId161" Type="http://schemas.openxmlformats.org/officeDocument/2006/relationships/hyperlink" Target="https://apps.lobbytools.com/tools/t.cfm?a=legislators&amp;b=viewlegislator&amp;id=631"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apps.lobbytools.com/tools/t.cfm?a=legislators&amp;b=viewlegislator&amp;id=759" TargetMode="External"/><Relationship Id="rId28" Type="http://schemas.openxmlformats.org/officeDocument/2006/relationships/hyperlink" Target="https://apps.lobbytools.com/tools/t.cfm?a=bills&amp;b=summary&amp;billid=58313" TargetMode="External"/><Relationship Id="rId49" Type="http://schemas.openxmlformats.org/officeDocument/2006/relationships/hyperlink" Target="https://apps.lobbytools.com/tools/t.cfm?a=legislators&amp;b=viewlegislator&amp;id=543" TargetMode="External"/><Relationship Id="rId114" Type="http://schemas.openxmlformats.org/officeDocument/2006/relationships/hyperlink" Target="https://apps.lobbytools.com/tools/t.cfm?a=bills&amp;b=summary&amp;billid=57439" TargetMode="External"/><Relationship Id="rId119" Type="http://schemas.openxmlformats.org/officeDocument/2006/relationships/hyperlink" Target="https://apps.lobbytools.com/tools/t.cfm?a=legislators&amp;b=viewlegislator&amp;id=756" TargetMode="External"/><Relationship Id="rId44" Type="http://schemas.openxmlformats.org/officeDocument/2006/relationships/hyperlink" Target="https://apps.lobbytools.com/tools/t.cfm?a=bills&amp;b=summary&amp;billid=58565" TargetMode="External"/><Relationship Id="rId60" Type="http://schemas.openxmlformats.org/officeDocument/2006/relationships/hyperlink" Target="https://apps.lobbytools.com/tools/t.cfm?a=legislators&amp;b=viewlegislator&amp;id=759" TargetMode="External"/><Relationship Id="rId65" Type="http://schemas.openxmlformats.org/officeDocument/2006/relationships/hyperlink" Target="https://apps.lobbytools.com/tools/t.cfm?a=bills&amp;b=summary&amp;billid=58565" TargetMode="External"/><Relationship Id="rId81" Type="http://schemas.openxmlformats.org/officeDocument/2006/relationships/hyperlink" Target="https://apps.lobbytools.com/tools/t.cfm?a=bills&amp;b=summary&amp;billid=56961" TargetMode="External"/><Relationship Id="rId86" Type="http://schemas.openxmlformats.org/officeDocument/2006/relationships/hyperlink" Target="https://apps.lobbytools.com/tools/t.cfm?a=legislators&amp;b=viewlegislator&amp;id=632" TargetMode="External"/><Relationship Id="rId130" Type="http://schemas.openxmlformats.org/officeDocument/2006/relationships/hyperlink" Target="https://apps.lobbytools.com/tools/t.cfm?a=bills&amp;b=summary&amp;billid=57531" TargetMode="External"/><Relationship Id="rId135" Type="http://schemas.openxmlformats.org/officeDocument/2006/relationships/hyperlink" Target="https://apps.lobbytools.com/tools/t.cfm?a=legislators&amp;b=viewlegislator&amp;id=632" TargetMode="External"/><Relationship Id="rId151" Type="http://schemas.openxmlformats.org/officeDocument/2006/relationships/hyperlink" Target="https://apps.lobbytools.com/tools/t.cfm?a=legislators&amp;b=viewlegislator&amp;id=755" TargetMode="External"/><Relationship Id="rId156" Type="http://schemas.openxmlformats.org/officeDocument/2006/relationships/hyperlink" Target="https://apps.lobbytools.com/tools/t.cfm?a=bills&amp;b=summary&amp;billid=56655" TargetMode="External"/><Relationship Id="rId13" Type="http://schemas.openxmlformats.org/officeDocument/2006/relationships/hyperlink" Target="https://apps.lobbytools.com/tools/t.cfm?a=legislators&amp;b=viewlegislator&amp;id=759" TargetMode="External"/><Relationship Id="rId18" Type="http://schemas.openxmlformats.org/officeDocument/2006/relationships/hyperlink" Target="https://apps.lobbytools.com/tools/t.cfm?a=bills&amp;b=summary&amp;billid=56651" TargetMode="External"/><Relationship Id="rId39" Type="http://schemas.openxmlformats.org/officeDocument/2006/relationships/hyperlink" Target="https://apps.lobbytools.com/tools/t.cfm?a=legislators&amp;b=viewlegislator&amp;id=633" TargetMode="External"/><Relationship Id="rId109" Type="http://schemas.openxmlformats.org/officeDocument/2006/relationships/hyperlink" Target="https://apps.lobbytools.com/tools/t.cfm?a=legislators&amp;b=viewlegislator&amp;id=730" TargetMode="External"/><Relationship Id="rId34" Type="http://schemas.openxmlformats.org/officeDocument/2006/relationships/hyperlink" Target="https://apps.lobbytools.com/tools/t.cfm?a=bills&amp;b=summary&amp;billid=56280" TargetMode="External"/><Relationship Id="rId50" Type="http://schemas.openxmlformats.org/officeDocument/2006/relationships/hyperlink" Target="https://apps.lobbytools.com/tools/t.cfm?a=bills&amp;b=summary&amp;billid=58719" TargetMode="External"/><Relationship Id="rId55" Type="http://schemas.openxmlformats.org/officeDocument/2006/relationships/hyperlink" Target="https://apps.lobbytools.com/tools/t.cfm?a=legislators&amp;b=viewlegislator&amp;id=712" TargetMode="External"/><Relationship Id="rId76" Type="http://schemas.openxmlformats.org/officeDocument/2006/relationships/hyperlink" Target="https://apps.lobbytools.com/tools/t.cfm?a=legislators&amp;b=viewlegislator&amp;id=703" TargetMode="External"/><Relationship Id="rId97" Type="http://schemas.openxmlformats.org/officeDocument/2006/relationships/hyperlink" Target="https://apps.lobbytools.com/tools/t.cfm?a=legislators&amp;b=viewlegislator&amp;id=738" TargetMode="External"/><Relationship Id="rId104" Type="http://schemas.openxmlformats.org/officeDocument/2006/relationships/hyperlink" Target="https://apps.lobbytools.com/tools/t.cfm?a=bills&amp;b=summary&amp;billid=58520" TargetMode="External"/><Relationship Id="rId120" Type="http://schemas.openxmlformats.org/officeDocument/2006/relationships/hyperlink" Target="https://apps.lobbytools.com/tools/t.cfm?a=bills&amp;b=summary&amp;billid=57836" TargetMode="External"/><Relationship Id="rId125" Type="http://schemas.openxmlformats.org/officeDocument/2006/relationships/hyperlink" Target="https://apps.lobbytools.com/tools/t.cfm?a=legislators&amp;b=viewlegislator&amp;id=640" TargetMode="External"/><Relationship Id="rId141" Type="http://schemas.openxmlformats.org/officeDocument/2006/relationships/hyperlink" Target="https://apps.lobbytools.com/tools/t.cfm?a=legislators&amp;b=viewlegislator&amp;id=633" TargetMode="External"/><Relationship Id="rId146" Type="http://schemas.openxmlformats.org/officeDocument/2006/relationships/hyperlink" Target="https://apps.lobbytools.com/tools/t.cfm?a=bills&amp;b=summary&amp;billid=56487" TargetMode="External"/><Relationship Id="rId7" Type="http://schemas.openxmlformats.org/officeDocument/2006/relationships/hyperlink" Target="https://apps.lobbytools.com/tools/t.cfm?a=legislators&amp;b=viewlegislator&amp;id=586" TargetMode="External"/><Relationship Id="rId71" Type="http://schemas.openxmlformats.org/officeDocument/2006/relationships/hyperlink" Target="https://apps.lobbytools.com/tools/t.cfm?a=bills&amp;b=summary&amp;billid=57943" TargetMode="External"/><Relationship Id="rId92" Type="http://schemas.openxmlformats.org/officeDocument/2006/relationships/hyperlink" Target="https://apps.lobbytools.com/tools/t.cfm?a=reports&amp;b=livecalendar" TargetMode="External"/><Relationship Id="rId162" Type="http://schemas.openxmlformats.org/officeDocument/2006/relationships/hyperlink" Target="https://apps.lobbytools.com/tools/t.cfm?a=bills&amp;b=summary&amp;billid=58719" TargetMode="External"/><Relationship Id="rId2" Type="http://schemas.openxmlformats.org/officeDocument/2006/relationships/settings" Target="settings.xml"/><Relationship Id="rId29" Type="http://schemas.openxmlformats.org/officeDocument/2006/relationships/hyperlink" Target="https://apps.lobbytools.com/tools/t.cfm?a=legislators&amp;b=viewlegislator&amp;id=632" TargetMode="External"/><Relationship Id="rId24" Type="http://schemas.openxmlformats.org/officeDocument/2006/relationships/hyperlink" Target="https://apps.lobbytools.com/tools/t.cfm?a=bills&amp;b=summary&amp;billid=57845" TargetMode="External"/><Relationship Id="rId40" Type="http://schemas.openxmlformats.org/officeDocument/2006/relationships/hyperlink" Target="https://apps.lobbytools.com/tools/t.cfm?a=bills&amp;b=summary&amp;billid=57524" TargetMode="External"/><Relationship Id="rId45" Type="http://schemas.openxmlformats.org/officeDocument/2006/relationships/hyperlink" Target="https://apps.lobbytools.com/tools/t.cfm?a=legislators&amp;b=viewlegislator&amp;id=755" TargetMode="External"/><Relationship Id="rId66" Type="http://schemas.openxmlformats.org/officeDocument/2006/relationships/hyperlink" Target="https://apps.lobbytools.com/tools/t.cfm?a=legislators&amp;b=viewlegislator&amp;id=755" TargetMode="External"/><Relationship Id="rId87" Type="http://schemas.openxmlformats.org/officeDocument/2006/relationships/hyperlink" Target="https://apps.lobbytools.com/tools/t.cfm?a=bills&amp;b=summary&amp;billid=57787" TargetMode="External"/><Relationship Id="rId110" Type="http://schemas.openxmlformats.org/officeDocument/2006/relationships/hyperlink" Target="https://apps.lobbytools.com/tools/t.cfm?a=bills&amp;b=summary&amp;billid=57279" TargetMode="External"/><Relationship Id="rId115" Type="http://schemas.openxmlformats.org/officeDocument/2006/relationships/hyperlink" Target="https://apps.lobbytools.com/tools/t.cfm?a=legislators&amp;b=viewlegislator&amp;id=754" TargetMode="External"/><Relationship Id="rId131" Type="http://schemas.openxmlformats.org/officeDocument/2006/relationships/hyperlink" Target="https://apps.lobbytools.com/tools/t.cfm?a=legislators&amp;b=viewlegislator&amp;id=628" TargetMode="External"/><Relationship Id="rId136" Type="http://schemas.openxmlformats.org/officeDocument/2006/relationships/hyperlink" Target="https://apps.lobbytools.com/tools/t.cfm?a=bills&amp;b=summary&amp;billid=59151" TargetMode="External"/><Relationship Id="rId157" Type="http://schemas.openxmlformats.org/officeDocument/2006/relationships/hyperlink" Target="https://apps.lobbytools.com/tools/t.cfm?a=legislators&amp;b=viewlegislator&amp;id=673" TargetMode="External"/><Relationship Id="rId61" Type="http://schemas.openxmlformats.org/officeDocument/2006/relationships/hyperlink" Target="https://apps.lobbytools.com/tools/t.cfm?a=bills&amp;b=summary&amp;billid=56907" TargetMode="External"/><Relationship Id="rId82" Type="http://schemas.openxmlformats.org/officeDocument/2006/relationships/hyperlink" Target="https://apps.lobbytools.com/tools/t.cfm?a=legislators&amp;b=viewlegislator&amp;id=709" TargetMode="External"/><Relationship Id="rId152" Type="http://schemas.openxmlformats.org/officeDocument/2006/relationships/hyperlink" Target="https://apps.lobbytools.com/tools/t.cfm?a=bills&amp;b=summary&amp;billid=56778" TargetMode="External"/><Relationship Id="rId19" Type="http://schemas.openxmlformats.org/officeDocument/2006/relationships/hyperlink" Target="https://apps.lobbytools.com/tools/t.cfm?a=legislators&amp;b=viewlegislator&amp;id=586" TargetMode="External"/><Relationship Id="rId14" Type="http://schemas.openxmlformats.org/officeDocument/2006/relationships/hyperlink" Target="https://apps.lobbytools.com/tools/t.cfm?a=bills&amp;b=summary&amp;billid=56465" TargetMode="External"/><Relationship Id="rId30" Type="http://schemas.openxmlformats.org/officeDocument/2006/relationships/hyperlink" Target="https://apps.lobbytools.com/tools/t.cfm?a=bills&amp;b=summary&amp;billid=58406" TargetMode="External"/><Relationship Id="rId35" Type="http://schemas.openxmlformats.org/officeDocument/2006/relationships/hyperlink" Target="https://apps.lobbytools.com/tools/t.cfm?a=legislators&amp;b=viewlegislator&amp;id=644" TargetMode="External"/><Relationship Id="rId56" Type="http://schemas.openxmlformats.org/officeDocument/2006/relationships/hyperlink" Target="https://apps.lobbytools.com/tools/print.cfm?a=calendars&amp;b=view&amp;c=viewevent&amp;ID=81805" TargetMode="External"/><Relationship Id="rId77" Type="http://schemas.openxmlformats.org/officeDocument/2006/relationships/hyperlink" Target="https://apps.lobbytools.com/tools/t.cfm?a=bills&amp;b=summary&amp;billid=56852" TargetMode="External"/><Relationship Id="rId100" Type="http://schemas.openxmlformats.org/officeDocument/2006/relationships/hyperlink" Target="https://apps.lobbytools.com/tools/t.cfm?a=bills&amp;b=summary&amp;billid=58934" TargetMode="External"/><Relationship Id="rId105" Type="http://schemas.openxmlformats.org/officeDocument/2006/relationships/hyperlink" Target="https://apps.lobbytools.com/tools/t.cfm?a=legislators&amp;b=viewlegislator&amp;id=690" TargetMode="External"/><Relationship Id="rId126" Type="http://schemas.openxmlformats.org/officeDocument/2006/relationships/hyperlink" Target="https://apps.lobbytools.com/tools/t.cfm?a=bills&amp;b=summary&amp;billid=56961" TargetMode="External"/><Relationship Id="rId147" Type="http://schemas.openxmlformats.org/officeDocument/2006/relationships/hyperlink" Target="https://apps.lobbytools.com/tools/t.cfm?a=legislators&amp;b=viewlegislator&amp;id=703" TargetMode="External"/><Relationship Id="rId8" Type="http://schemas.openxmlformats.org/officeDocument/2006/relationships/hyperlink" Target="https://apps.lobbytools.com/tools/t.cfm?a=bills&amp;b=summary&amp;billid=56276" TargetMode="External"/><Relationship Id="rId51" Type="http://schemas.openxmlformats.org/officeDocument/2006/relationships/hyperlink" Target="https://apps.lobbytools.com/tools/t.cfm?a=legislators&amp;b=viewlegislator&amp;id=759" TargetMode="External"/><Relationship Id="rId72" Type="http://schemas.openxmlformats.org/officeDocument/2006/relationships/hyperlink" Target="https://apps.lobbytools.com/tools/t.cfm?a=committees&amp;b=viewcommittee&amp;id=2046" TargetMode="External"/><Relationship Id="rId93" Type="http://schemas.openxmlformats.org/officeDocument/2006/relationships/hyperlink" Target="https://static-s3.lobbytools.com/bills/2021/event_docs/4/SOL_House_HRC21_2021415_18.pdf" TargetMode="External"/><Relationship Id="rId98" Type="http://schemas.openxmlformats.org/officeDocument/2006/relationships/hyperlink" Target="https://apps.lobbytools.com/tools/t.cfm?a=bills&amp;b=summary&amp;billid=59036" TargetMode="External"/><Relationship Id="rId121" Type="http://schemas.openxmlformats.org/officeDocument/2006/relationships/hyperlink" Target="https://apps.lobbytools.com/tools/t.cfm?a=legislators&amp;b=viewlegislator&amp;id=741" TargetMode="External"/><Relationship Id="rId142" Type="http://schemas.openxmlformats.org/officeDocument/2006/relationships/hyperlink" Target="https://apps.lobbytools.com/tools/t.cfm?a=bills&amp;b=summary&amp;billid=58697" TargetMode="External"/><Relationship Id="rId163" Type="http://schemas.openxmlformats.org/officeDocument/2006/relationships/hyperlink" Target="https://apps.lobbytools.com/tools/t.cfm?a=legislators&amp;b=viewlegislator&amp;id=759" TargetMode="External"/><Relationship Id="rId3" Type="http://schemas.openxmlformats.org/officeDocument/2006/relationships/webSettings" Target="webSettings.xml"/><Relationship Id="rId25" Type="http://schemas.openxmlformats.org/officeDocument/2006/relationships/hyperlink" Target="https://apps.lobbytools.com/tools/t.cfm?a=legislators&amp;b=viewlegislator&amp;id=586" TargetMode="External"/><Relationship Id="rId46" Type="http://schemas.openxmlformats.org/officeDocument/2006/relationships/hyperlink" Target="https://apps.lobbytools.com/tools/t.cfm?a=bills&amp;b=summary&amp;billid=58628" TargetMode="External"/><Relationship Id="rId67" Type="http://schemas.openxmlformats.org/officeDocument/2006/relationships/hyperlink" Target="https://apps.lobbytools.com/tools/t.cfm?a=bills&amp;b=summary&amp;billid=59111" TargetMode="External"/><Relationship Id="rId116" Type="http://schemas.openxmlformats.org/officeDocument/2006/relationships/hyperlink" Target="https://apps.lobbytools.com/tools/t.cfm?a=bills&amp;b=summary&amp;billid=57884" TargetMode="External"/><Relationship Id="rId137" Type="http://schemas.openxmlformats.org/officeDocument/2006/relationships/hyperlink" Target="https://apps.lobbytools.com/tools/t.cfm?a=legislators&amp;b=viewlegislator&amp;id=755" TargetMode="External"/><Relationship Id="rId158" Type="http://schemas.openxmlformats.org/officeDocument/2006/relationships/hyperlink" Target="https://apps.lobbytools.com/tools/t.cfm?a=bills&amp;b=summary&amp;billid=57265" TargetMode="External"/><Relationship Id="rId20" Type="http://schemas.openxmlformats.org/officeDocument/2006/relationships/hyperlink" Target="https://apps.lobbytools.com/tools/t.cfm?a=bills&amp;b=summary&amp;billid=56721" TargetMode="External"/><Relationship Id="rId41" Type="http://schemas.openxmlformats.org/officeDocument/2006/relationships/hyperlink" Target="https://apps.lobbytools.com/tools/t.cfm?a=legislators&amp;b=viewlegislator&amp;id=754" TargetMode="External"/><Relationship Id="rId62" Type="http://schemas.openxmlformats.org/officeDocument/2006/relationships/hyperlink" Target="https://apps.lobbytools.com/tools/t.cfm?a=legislators&amp;b=viewlegislator&amp;id=755" TargetMode="External"/><Relationship Id="rId83" Type="http://schemas.openxmlformats.org/officeDocument/2006/relationships/hyperlink" Target="https://apps.lobbytools.com/tools/t.cfm?a=bills&amp;b=summary&amp;billid=57011" TargetMode="External"/><Relationship Id="rId88" Type="http://schemas.openxmlformats.org/officeDocument/2006/relationships/hyperlink" Target="https://apps.lobbytools.com/tools/t.cfm?a=legislators&amp;b=viewlegislator&amp;id=627" TargetMode="External"/><Relationship Id="rId111" Type="http://schemas.openxmlformats.org/officeDocument/2006/relationships/hyperlink" Target="https://apps.lobbytools.com/tools/t.cfm?a=legislators&amp;b=viewlegislator&amp;id=655" TargetMode="External"/><Relationship Id="rId132" Type="http://schemas.openxmlformats.org/officeDocument/2006/relationships/hyperlink" Target="https://apps.lobbytools.com/tools/t.cfm?a=bills&amp;b=summary&amp;billid=59091" TargetMode="External"/><Relationship Id="rId153" Type="http://schemas.openxmlformats.org/officeDocument/2006/relationships/hyperlink" Target="https://apps.lobbytools.com/tools/t.cfm?a=legislators&amp;b=viewlegislator&amp;id=690" TargetMode="External"/><Relationship Id="rId15" Type="http://schemas.openxmlformats.org/officeDocument/2006/relationships/hyperlink" Target="https://apps.lobbytools.com/tools/t.cfm?a=legislators&amp;b=viewlegislator&amp;id=644" TargetMode="External"/><Relationship Id="rId36" Type="http://schemas.openxmlformats.org/officeDocument/2006/relationships/hyperlink" Target="https://apps.lobbytools.com/tools/t.cfm?a=bills&amp;b=summary&amp;billid=56519" TargetMode="External"/><Relationship Id="rId57" Type="http://schemas.openxmlformats.org/officeDocument/2006/relationships/hyperlink" Target="https://apps.lobbytools.com/tools/t.cfm?a=bills&amp;b=summary&amp;billid=56405" TargetMode="External"/><Relationship Id="rId106" Type="http://schemas.openxmlformats.org/officeDocument/2006/relationships/hyperlink" Target="https://apps.lobbytools.com/tools/t.cfm?a=bills&amp;b=summary&amp;billid=58114" TargetMode="External"/><Relationship Id="rId127" Type="http://schemas.openxmlformats.org/officeDocument/2006/relationships/hyperlink" Target="https://apps.lobbytools.com/tools/t.cfm?a=legislators&amp;b=viewlegislator&amp;id=709" TargetMode="External"/><Relationship Id="rId10" Type="http://schemas.openxmlformats.org/officeDocument/2006/relationships/hyperlink" Target="https://apps.lobbytools.com/tools/t.cfm?a=bills&amp;b=summary&amp;billid=56364" TargetMode="External"/><Relationship Id="rId31" Type="http://schemas.openxmlformats.org/officeDocument/2006/relationships/hyperlink" Target="https://apps.lobbytools.com/tools/t.cfm?a=legislators&amp;b=viewlegislator&amp;id=586" TargetMode="External"/><Relationship Id="rId52" Type="http://schemas.openxmlformats.org/officeDocument/2006/relationships/hyperlink" Target="https://apps.lobbytools.com/tools/t.cfm?a=bills&amp;b=summary&amp;billid=59042" TargetMode="External"/><Relationship Id="rId73" Type="http://schemas.openxmlformats.org/officeDocument/2006/relationships/hyperlink" Target="https://apps.lobbytools.com/tools/t.cfm?a=bills&amp;b=summary&amp;billid=56486" TargetMode="External"/><Relationship Id="rId78" Type="http://schemas.openxmlformats.org/officeDocument/2006/relationships/hyperlink" Target="https://apps.lobbytools.com/tools/t.cfm?a=legislators&amp;b=viewlegislator&amp;id=632" TargetMode="External"/><Relationship Id="rId94" Type="http://schemas.openxmlformats.org/officeDocument/2006/relationships/hyperlink" Target="https://apps.lobbytools.com/tools/t.cfm?a=bills&amp;b=summary&amp;billid=59167" TargetMode="External"/><Relationship Id="rId99" Type="http://schemas.openxmlformats.org/officeDocument/2006/relationships/hyperlink" Target="https://apps.lobbytools.com/tools/t.cfm?a=legislators&amp;b=viewlegislator&amp;id=787" TargetMode="External"/><Relationship Id="rId101" Type="http://schemas.openxmlformats.org/officeDocument/2006/relationships/hyperlink" Target="https://apps.lobbytools.com/tools/t.cfm?a=legislators&amp;b=viewlegislator&amp;id=668" TargetMode="External"/><Relationship Id="rId122" Type="http://schemas.openxmlformats.org/officeDocument/2006/relationships/hyperlink" Target="https://apps.lobbytools.com/tools/t.cfm?a=bills&amp;b=summary&amp;billid=56280" TargetMode="External"/><Relationship Id="rId143" Type="http://schemas.openxmlformats.org/officeDocument/2006/relationships/hyperlink" Target="https://apps.lobbytools.com/tools/t.cfm?a=legislators&amp;b=viewlegislator&amp;id=543" TargetMode="External"/><Relationship Id="rId148" Type="http://schemas.openxmlformats.org/officeDocument/2006/relationships/hyperlink" Target="https://apps.lobbytools.com/tools/t.cfm?a=bills&amp;b=summary&amp;billid=56519" TargetMode="External"/><Relationship Id="rId164" Type="http://schemas.openxmlformats.org/officeDocument/2006/relationships/fontTable" Target="fontTable.xml"/><Relationship Id="rId4" Type="http://schemas.openxmlformats.org/officeDocument/2006/relationships/hyperlink" Target="https://apps.lobbytools.com/tools/print.cfm?a=calendars&amp;b=view&amp;c=viewevent&amp;ID=81802" TargetMode="External"/><Relationship Id="rId9" Type="http://schemas.openxmlformats.org/officeDocument/2006/relationships/hyperlink" Target="https://apps.lobbytools.com/tools/t.cfm?a=legislators&amp;b=viewlegislator&amp;id=631" TargetMode="External"/><Relationship Id="rId26" Type="http://schemas.openxmlformats.org/officeDocument/2006/relationships/hyperlink" Target="https://apps.lobbytools.com/tools/t.cfm?a=bills&amp;b=summary&amp;billid=57957" TargetMode="External"/><Relationship Id="rId47" Type="http://schemas.openxmlformats.org/officeDocument/2006/relationships/hyperlink" Target="https://apps.lobbytools.com/tools/t.cfm?a=legislators&amp;b=viewlegislator&amp;id=756" TargetMode="External"/><Relationship Id="rId68" Type="http://schemas.openxmlformats.org/officeDocument/2006/relationships/hyperlink" Target="https://apps.lobbytools.com/tools/t.cfm?a=legislators&amp;b=viewlegislator&amp;id=712" TargetMode="External"/><Relationship Id="rId89" Type="http://schemas.openxmlformats.org/officeDocument/2006/relationships/hyperlink" Target="https://apps.lobbytools.com/tools/t.cfm?a=bills&amp;b=summary&amp;billid=59091" TargetMode="External"/><Relationship Id="rId112" Type="http://schemas.openxmlformats.org/officeDocument/2006/relationships/hyperlink" Target="https://apps.lobbytools.com/tools/print.cfm?a=calendars&amp;b=view&amp;c=viewevent&amp;ID=81807" TargetMode="External"/><Relationship Id="rId133" Type="http://schemas.openxmlformats.org/officeDocument/2006/relationships/hyperlink" Target="https://apps.lobbytools.com/tools/t.cfm?a=legislators&amp;b=viewlegislator&amp;id=632" TargetMode="External"/><Relationship Id="rId154" Type="http://schemas.openxmlformats.org/officeDocument/2006/relationships/hyperlink" Target="https://apps.lobbytools.com/tools/t.cfm?a=bills&amp;b=summary&amp;billid=56619" TargetMode="External"/><Relationship Id="rId16" Type="http://schemas.openxmlformats.org/officeDocument/2006/relationships/hyperlink" Target="https://apps.lobbytools.com/tools/t.cfm?a=bills&amp;b=summary&amp;billid=56625" TargetMode="External"/><Relationship Id="rId37" Type="http://schemas.openxmlformats.org/officeDocument/2006/relationships/hyperlink" Target="https://apps.lobbytools.com/tools/t.cfm?a=legislators&amp;b=viewlegislator&amp;id=633" TargetMode="External"/><Relationship Id="rId58" Type="http://schemas.openxmlformats.org/officeDocument/2006/relationships/hyperlink" Target="https://apps.lobbytools.com/tools/t.cfm?a=legislators&amp;b=viewlegislator&amp;id=708" TargetMode="External"/><Relationship Id="rId79" Type="http://schemas.openxmlformats.org/officeDocument/2006/relationships/hyperlink" Target="https://apps.lobbytools.com/tools/t.cfm?a=bills&amp;b=summary&amp;billid=56914" TargetMode="External"/><Relationship Id="rId102" Type="http://schemas.openxmlformats.org/officeDocument/2006/relationships/hyperlink" Target="https://apps.lobbytools.com/tools/t.cfm?a=bills&amp;b=summary&amp;billid=58692" TargetMode="External"/><Relationship Id="rId123" Type="http://schemas.openxmlformats.org/officeDocument/2006/relationships/hyperlink" Target="https://apps.lobbytools.com/tools/t.cfm?a=legislators&amp;b=viewlegislator&amp;id=644" TargetMode="External"/><Relationship Id="rId144" Type="http://schemas.openxmlformats.org/officeDocument/2006/relationships/hyperlink" Target="https://apps.lobbytools.com/tools/t.cfm?a=bills&amp;b=summary&amp;billid=56914" TargetMode="External"/><Relationship Id="rId90" Type="http://schemas.openxmlformats.org/officeDocument/2006/relationships/hyperlink" Target="https://apps.lobbytools.com/tools/t.cfm?a=legislators&amp;b=viewlegislator&amp;id=632" TargetMode="External"/><Relationship Id="rId165" Type="http://schemas.openxmlformats.org/officeDocument/2006/relationships/theme" Target="theme/theme1.xml"/><Relationship Id="rId27" Type="http://schemas.openxmlformats.org/officeDocument/2006/relationships/hyperlink" Target="https://apps.lobbytools.com/tools/t.cfm?a=legislators&amp;b=viewlegislator&amp;id=586" TargetMode="External"/><Relationship Id="rId48" Type="http://schemas.openxmlformats.org/officeDocument/2006/relationships/hyperlink" Target="https://apps.lobbytools.com/tools/t.cfm?a=bills&amp;b=summary&amp;billid=58697" TargetMode="External"/><Relationship Id="rId69" Type="http://schemas.openxmlformats.org/officeDocument/2006/relationships/hyperlink" Target="https://apps.lobbytools.com/tools/t.cfm?a=bills&amp;b=summary&amp;billid=56732" TargetMode="External"/><Relationship Id="rId113" Type="http://schemas.openxmlformats.org/officeDocument/2006/relationships/hyperlink" Target="https://apps.lobbytools.com/tools/t.cfm?a=reports&amp;b=livecalendar" TargetMode="External"/><Relationship Id="rId134" Type="http://schemas.openxmlformats.org/officeDocument/2006/relationships/hyperlink" Target="https://apps.lobbytools.com/tools/t.cfm?a=bills&amp;b=summary&amp;billid=56852" TargetMode="External"/><Relationship Id="rId80" Type="http://schemas.openxmlformats.org/officeDocument/2006/relationships/hyperlink" Target="https://apps.lobbytools.com/tools/t.cfm?a=legislators&amp;b=viewlegislator&amp;id=631" TargetMode="External"/><Relationship Id="rId155" Type="http://schemas.openxmlformats.org/officeDocument/2006/relationships/hyperlink" Target="https://apps.lobbytools.com/tools/t.cfm?a=legislators&amp;b=viewlegislator&amp;id=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9196</Words>
  <Characters>52423</Characters>
  <Application>Microsoft Office Word</Application>
  <DocSecurity>0</DocSecurity>
  <Lines>436</Lines>
  <Paragraphs>122</Paragraphs>
  <ScaleCrop>false</ScaleCrop>
  <Company/>
  <LinksUpToDate>false</LinksUpToDate>
  <CharactersWithSpaces>61497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Large</dc:creator>
  <cp:keywords/>
  <dc:description/>
  <cp:lastModifiedBy>Toni Large</cp:lastModifiedBy>
  <cp:revision>1</cp:revision>
  <dcterms:created xsi:type="dcterms:W3CDTF">2021-04-18T16:13:00Z</dcterms:created>
  <dcterms:modified xsi:type="dcterms:W3CDTF">2021-04-18T16:15:00Z</dcterms:modified>
</cp:coreProperties>
</file>