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5FCB" w:rsidR="00545187" w:rsidP="00545187" w:rsidRDefault="00545187" w14:paraId="015F11C9" w14:textId="03BC0F8F">
      <w:pPr>
        <w:jc w:val="center"/>
        <w:rPr>
          <w:sz w:val="28"/>
          <w:szCs w:val="28"/>
          <w:u w:val="single"/>
        </w:rPr>
      </w:pPr>
      <w:r w:rsidRPr="6325111C" w:rsidR="0E9A5DB9">
        <w:rPr>
          <w:sz w:val="28"/>
          <w:szCs w:val="28"/>
          <w:u w:val="single"/>
        </w:rPr>
        <w:t xml:space="preserve">Weekly Advocacy Update February </w:t>
      </w:r>
      <w:r w:rsidRPr="6325111C" w:rsidR="72952BF4">
        <w:rPr>
          <w:sz w:val="28"/>
          <w:szCs w:val="28"/>
          <w:u w:val="single"/>
        </w:rPr>
        <w:t>23</w:t>
      </w:r>
      <w:r w:rsidRPr="6325111C" w:rsidR="72952BF4">
        <w:rPr>
          <w:sz w:val="28"/>
          <w:szCs w:val="28"/>
          <w:u w:val="single"/>
          <w:vertAlign w:val="superscript"/>
        </w:rPr>
        <w:t>rd</w:t>
      </w:r>
      <w:r w:rsidRPr="6325111C" w:rsidR="0E9A5DB9">
        <w:rPr>
          <w:sz w:val="28"/>
          <w:szCs w:val="28"/>
          <w:u w:val="single"/>
        </w:rPr>
        <w:t>, 2026</w:t>
      </w:r>
    </w:p>
    <w:p w:rsidR="00545187" w:rsidP="00545187" w:rsidRDefault="00545187" w14:paraId="373A0BDC" w14:textId="77777777">
      <w:pPr>
        <w:jc w:val="center"/>
        <w:rPr>
          <w:b/>
          <w:bCs/>
          <w:sz w:val="28"/>
          <w:szCs w:val="28"/>
        </w:rPr>
      </w:pPr>
    </w:p>
    <w:p w:rsidR="5214EBA7" w:rsidP="3EE9C4A1" w:rsidRDefault="5214EBA7" w14:paraId="53F67DB2" w14:textId="29A64D01">
      <w:pPr>
        <w:pStyle w:val="Normal"/>
        <w:suppressLineNumbers w:val="0"/>
        <w:bidi w:val="0"/>
        <w:spacing w:before="0" w:beforeAutospacing="off" w:after="160" w:afterAutospacing="off" w:line="278" w:lineRule="auto"/>
        <w:ind w:left="0" w:right="0"/>
        <w:jc w:val="center"/>
        <w:rPr>
          <w:rFonts w:ascii="Aptos Display" w:hAnsi="Aptos Display" w:eastAsia="Aptos Display" w:cs="Aptos Display" w:asciiTheme="majorAscii" w:hAnsiTheme="majorAscii" w:eastAsiaTheme="majorAscii" w:cstheme="majorAscii"/>
          <w:b w:val="1"/>
          <w:bCs w:val="1"/>
          <w:sz w:val="28"/>
          <w:szCs w:val="28"/>
        </w:rPr>
      </w:pPr>
      <w:r w:rsidRPr="3EE9C4A1" w:rsidR="5214EBA7">
        <w:rPr>
          <w:rFonts w:ascii="Aptos Display" w:hAnsi="Aptos Display" w:eastAsia="Aptos Display" w:cs="Aptos Display" w:asciiTheme="majorAscii" w:hAnsiTheme="majorAscii" w:eastAsiaTheme="majorAscii" w:cstheme="majorAscii"/>
          <w:b w:val="1"/>
          <w:bCs w:val="1"/>
          <w:sz w:val="28"/>
          <w:szCs w:val="28"/>
        </w:rPr>
        <w:t>TAXATION</w:t>
      </w:r>
    </w:p>
    <w:p w:rsidR="5214EBA7" w:rsidP="3EE9C4A1" w:rsidRDefault="5214EBA7" w14:paraId="16D5E8CD" w14:textId="2801A39C">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New Legislation: </w:t>
      </w:r>
    </w:p>
    <w:p w:rsidR="5214EBA7" w:rsidP="3EE9C4A1" w:rsidRDefault="5214EBA7" w14:paraId="344051C8" w14:textId="3CFD16E6">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LD 2212 - An Act Making Supplemental Appropriations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And</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Allocations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From</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The</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General Fund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And</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Other Funds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For</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The</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Expenditures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Of</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State Government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And</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Changing Certain Provisions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Of</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The</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Law Necessary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To</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The</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Proper Operations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Of</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State Government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For</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The</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Fiscal Years Ending June 30,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2026</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And June 30, 2027</w:t>
      </w:r>
    </w:p>
    <w:p w:rsidR="5214EBA7" w:rsidP="3EE9C4A1" w:rsidRDefault="5214EBA7" w14:paraId="34C4E9C5" w14:textId="5C6D7A93">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Sponsor: Drew GATTINE of Westbrook</w:t>
      </w:r>
    </w:p>
    <w:p w:rsidR="5214EBA7" w:rsidP="3EE9C4A1" w:rsidRDefault="5214EBA7" w14:paraId="051100BD" w14:textId="77F3D1FD">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Summary: This is the Governor’s Supplemental Budget bill for FY 26-27. MSCC opposes this bill for three reasons: it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eliminates</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Business Equipment Tax Reimbursement Program (BETR) in Part O retroactively from 2025; Second, the bill does not fully conform to immediate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expensing</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for research and development (Part K) for all businesses regardless of size. The provision in the budget limits immediate R &amp; D expensing to small businesses with gross receipts under $31 million while it requires larger businesses with gross receipts over $31 million to amortize R&amp;D costs over several years Third, we believe the utilization of the State’s Budget Stabilization Fund (Part T) should be done with extreme caution given economic uncertainty. The Joint Standing Committee on Taxation will hold a work session Thursday on the tax portions of LD 2212 and report back to AFA.</w:t>
      </w:r>
    </w:p>
    <w:p w:rsidR="5214EBA7" w:rsidP="3EE9C4A1" w:rsidRDefault="5214EBA7" w14:paraId="603AED3C" w14:textId="34EC1AC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Elimination of the BETR Program will result in a huge tax increase on Maine businesses that are recipients of BETR, risking future investments because the State is not living up to its commitments. Second, we feel very strongly that if Maine is going to encourage innovation, it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shouldn’t</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draw an arbitrary line where small companies are innovators, but large employers somehow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aren’t</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Utilization</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of the Budget Stabilization Fund for purposes that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are not</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related to emergencies leaves the State exposed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in the event of</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an economic downturn potentially forcing the Legislature to turn to tax increases to provide funds for essential services.</w:t>
      </w:r>
    </w:p>
    <w:p w:rsidR="3EE9C4A1" w:rsidP="3EE9C4A1" w:rsidRDefault="3EE9C4A1" w14:paraId="3D9710F7" w14:textId="06210BAC">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214EBA7" w:rsidP="3EE9C4A1" w:rsidRDefault="5214EBA7" w14:paraId="44CC3758" w14:textId="3FE00108">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L.D. 191, An Act to Support Maine Businesses by Establishing a Pass-Through Entity Tax and Tax Credit</w:t>
      </w:r>
    </w:p>
    <w:p w:rsidR="5214EBA7" w:rsidP="3EE9C4A1" w:rsidRDefault="5214EBA7" w14:paraId="5DD3B483" w14:textId="6F38EAE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Sponsor: Rep. Tavis Hasenfus</w:t>
      </w:r>
    </w:p>
    <w:p w:rsidR="5214EBA7" w:rsidP="3EE9C4A1" w:rsidRDefault="5214EBA7" w14:paraId="7BBA2BF3" w14:textId="0B5253C6">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Summary: The bill would create a Pass-Through Entity Tax Credit (PTET) for pass through entities such as LLC’s, partnerships, S-Corps and allow them to pay income taxes at the entity level instead of the individual level, reducing federal income tax burden. The PTET would be on an elective basis.</w:t>
      </w:r>
    </w:p>
    <w:p w:rsidR="5214EBA7" w:rsidP="3EE9C4A1" w:rsidRDefault="5214EBA7" w14:paraId="52D829C7" w14:textId="6C8AC590">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Implications: Pass through businesses in Maine would see a reduction in federal tax </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burden,</w:t>
      </w: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and the PTET would align Maine with other states that have created a workaround for the State and Local Tax deduction (SALT) cap limitation at the federal level.</w:t>
      </w:r>
    </w:p>
    <w:p w:rsidR="5214EBA7" w:rsidP="3EE9C4A1" w:rsidRDefault="5214EBA7" w14:paraId="6B13A9B6" w14:textId="48BBDC5F">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Public Hearings for L.D. 191</w:t>
      </w:r>
    </w:p>
    <w:p w:rsidR="5214EBA7" w:rsidP="3EE9C4A1" w:rsidRDefault="5214EBA7" w14:paraId="159B9D33" w14:textId="5E7DAE31">
      <w:pPr>
        <w:pStyle w:val="Normal"/>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none"/>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none"/>
          <w:lang w:val="en-US"/>
        </w:rPr>
        <w:t>Thur</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none"/>
          <w:lang w:val="en-US"/>
        </w:rPr>
        <w:t xml:space="preserve"> 2/26 1:00 p.m. @ SH Room 127</w:t>
      </w:r>
    </w:p>
    <w:p w:rsidR="3EE9C4A1" w:rsidP="3EE9C4A1" w:rsidRDefault="3EE9C4A1" w14:paraId="410A6BD3" w14:textId="234C0C1F">
      <w:pPr>
        <w:pStyle w:val="Normal"/>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none"/>
          <w:lang w:val="en-US"/>
        </w:rPr>
      </w:pPr>
    </w:p>
    <w:p w:rsidR="5214EBA7" w:rsidP="3EE9C4A1" w:rsidRDefault="5214EBA7" w14:paraId="180ADE89" w14:textId="664FB1AA">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L.D. 127 - An Act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To</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Strengthen Legislative Oversight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Of</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Government Agencies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And</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Programs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By</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Reaffirming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The</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Legislature's Access </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To</w:t>
      </w: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4"/>
          <w:szCs w:val="24"/>
          <w:u w:val="single"/>
          <w:lang w:val="en-US"/>
        </w:rPr>
        <w:t xml:space="preserve"> Confidential Records</w:t>
      </w:r>
    </w:p>
    <w:p w:rsidR="5214EBA7" w:rsidP="3EE9C4A1" w:rsidRDefault="5214EBA7" w14:paraId="43B35FEA" w14:textId="4BCDA2A7">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Sponsor: Sen. Craig Hickman</w:t>
      </w:r>
    </w:p>
    <w:p w:rsidR="5214EBA7" w:rsidP="3EE9C4A1" w:rsidRDefault="5214EBA7" w14:paraId="2D653FEA" w14:textId="038CEAB0">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Summary: The bill would provide that the Legislature's Government Oversight Committee could receive confidential records available to the Office of Program Evaluation and Government Accountability from all agencies across State Government.</w:t>
      </w:r>
    </w:p>
    <w:p w:rsidR="5214EBA7" w:rsidP="3EE9C4A1" w:rsidRDefault="5214EBA7" w14:paraId="6DD89C21" w14:textId="6C2B10B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EE9C4A1" w:rsidR="5214EBA7">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Implications: The Legislature’s GOC could receive business’s confidential and proprietary tax return information potentially resulting in unintentional public disclosure. MSCC is adamantly opposed to anyone outside of Maine Revenue Services having tax return information.</w:t>
      </w:r>
    </w:p>
    <w:p w:rsidR="5214EBA7" w:rsidP="3EE9C4A1" w:rsidRDefault="5214EBA7" w14:paraId="169332FF" w14:textId="5437CED8">
      <w:pPr>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single"/>
          <w:lang w:val="en-US"/>
        </w:rPr>
        <w:t>Upcoming Public Hearings for L.D. 127</w:t>
      </w:r>
    </w:p>
    <w:p w:rsidR="5214EBA7" w:rsidP="3EE9C4A1" w:rsidRDefault="5214EBA7" w14:paraId="2383C37D" w14:textId="5383CCA2">
      <w:pPr>
        <w:pStyle w:val="Normal"/>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pPr>
      <w:r w:rsidRPr="3EE9C4A1" w:rsidR="5214EBA7">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lang w:val="en-US"/>
        </w:rPr>
        <w:t>Tue 2/24 1:00 PM @ SH, Room 438</w:t>
      </w:r>
    </w:p>
    <w:p w:rsidR="3EE9C4A1" w:rsidP="3EE9C4A1" w:rsidRDefault="3EE9C4A1" w14:paraId="31441F56" w14:textId="57C26078">
      <w:pPr>
        <w:pStyle w:val="Normal"/>
        <w:spacing w:before="240" w:beforeAutospacing="off" w:after="240" w:afterAutospacing="off"/>
        <w:rPr>
          <w:rFonts w:ascii="Aptos Display" w:hAnsi="Aptos Display" w:eastAsia="Aptos Display" w:cs="Aptos Display" w:asciiTheme="majorAscii" w:hAnsiTheme="majorAscii" w:eastAsiaTheme="majorAscii" w:cstheme="majorAscii"/>
          <w:b w:val="1"/>
          <w:bCs w:val="1"/>
          <w:i w:val="0"/>
          <w:iCs w:val="0"/>
          <w:caps w:val="0"/>
          <w:smallCaps w:val="0"/>
          <w:noProof w:val="0"/>
          <w:color w:val="FF0000"/>
          <w:sz w:val="24"/>
          <w:szCs w:val="24"/>
          <w:u w:val="none"/>
          <w:lang w:val="en-US"/>
        </w:rPr>
      </w:pPr>
    </w:p>
    <w:p w:rsidR="3EE9C4A1" w:rsidP="3EE9C4A1" w:rsidRDefault="3EE9C4A1" w14:paraId="72E26EFE" w14:textId="7EA6B3D4">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EE9C4A1" w:rsidP="3EE9C4A1" w:rsidRDefault="3EE9C4A1" w14:paraId="08FF60B4" w14:textId="3571D638">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39ABFEE8" w:rsidP="39ABFEE8" w:rsidRDefault="39ABFEE8" w14:paraId="6A33A0AC" w14:textId="7F972572">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P="39ABFEE8" w:rsidRDefault="5E1CFEA7" w14:paraId="1ED0BC91" w14:textId="39607CDF">
      <w:pPr>
        <w:spacing w:before="240" w:beforeAutospacing="off" w:after="240" w:afterAutospacing="of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p>
    <w:p w:rsidR="5E1CFEA7" w:rsidRDefault="5E1CFEA7" w14:paraId="044D250B" w14:textId="7C38DDEA"/>
    <w:p w:rsidR="001861AB" w:rsidRDefault="001861AB" w14:paraId="6B836698" w14:textId="77777777"/>
    <w:sectPr w:rsidR="001861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87"/>
    <w:rsid w:val="001861AB"/>
    <w:rsid w:val="00545187"/>
    <w:rsid w:val="00850075"/>
    <w:rsid w:val="0E9A5DB9"/>
    <w:rsid w:val="107360ED"/>
    <w:rsid w:val="1E8577FF"/>
    <w:rsid w:val="2050D133"/>
    <w:rsid w:val="28E7B4B0"/>
    <w:rsid w:val="38C800C7"/>
    <w:rsid w:val="39ABFEE8"/>
    <w:rsid w:val="39DD6EBB"/>
    <w:rsid w:val="3EE9C4A1"/>
    <w:rsid w:val="51ACED77"/>
    <w:rsid w:val="5214EBA7"/>
    <w:rsid w:val="58361B28"/>
    <w:rsid w:val="597D280A"/>
    <w:rsid w:val="5E1CFEA7"/>
    <w:rsid w:val="6325111C"/>
    <w:rsid w:val="6766D570"/>
    <w:rsid w:val="7295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EA4"/>
  <w15:chartTrackingRefBased/>
  <w15:docId w15:val="{36D9CD98-9490-419A-9A58-6CF2E201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187"/>
  </w:style>
  <w:style w:type="paragraph" w:styleId="Heading1">
    <w:name w:val="heading 1"/>
    <w:basedOn w:val="Normal"/>
    <w:next w:val="Normal"/>
    <w:link w:val="Heading1Char"/>
    <w:uiPriority w:val="9"/>
    <w:qFormat/>
    <w:rsid w:val="00545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1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51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51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51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51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51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51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51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51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5187"/>
    <w:rPr>
      <w:rFonts w:eastAsiaTheme="majorEastAsia" w:cstheme="majorBidi"/>
      <w:color w:val="272727" w:themeColor="text1" w:themeTint="D8"/>
    </w:rPr>
  </w:style>
  <w:style w:type="paragraph" w:styleId="Title">
    <w:name w:val="Title"/>
    <w:basedOn w:val="Normal"/>
    <w:next w:val="Normal"/>
    <w:link w:val="TitleChar"/>
    <w:uiPriority w:val="10"/>
    <w:qFormat/>
    <w:rsid w:val="005451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5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51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187"/>
    <w:pPr>
      <w:spacing w:before="160"/>
      <w:jc w:val="center"/>
    </w:pPr>
    <w:rPr>
      <w:i/>
      <w:iCs/>
      <w:color w:val="404040" w:themeColor="text1" w:themeTint="BF"/>
    </w:rPr>
  </w:style>
  <w:style w:type="character" w:styleId="QuoteChar" w:customStyle="1">
    <w:name w:val="Quote Char"/>
    <w:basedOn w:val="DefaultParagraphFont"/>
    <w:link w:val="Quote"/>
    <w:uiPriority w:val="29"/>
    <w:rsid w:val="00545187"/>
    <w:rPr>
      <w:i/>
      <w:iCs/>
      <w:color w:val="404040" w:themeColor="text1" w:themeTint="BF"/>
    </w:rPr>
  </w:style>
  <w:style w:type="paragraph" w:styleId="ListParagraph">
    <w:name w:val="List Paragraph"/>
    <w:basedOn w:val="Normal"/>
    <w:uiPriority w:val="34"/>
    <w:qFormat/>
    <w:rsid w:val="00545187"/>
    <w:pPr>
      <w:ind w:left="720"/>
      <w:contextualSpacing/>
    </w:pPr>
  </w:style>
  <w:style w:type="character" w:styleId="IntenseEmphasis">
    <w:name w:val="Intense Emphasis"/>
    <w:basedOn w:val="DefaultParagraphFont"/>
    <w:uiPriority w:val="21"/>
    <w:qFormat/>
    <w:rsid w:val="00545187"/>
    <w:rPr>
      <w:i/>
      <w:iCs/>
      <w:color w:val="0F4761" w:themeColor="accent1" w:themeShade="BF"/>
    </w:rPr>
  </w:style>
  <w:style w:type="paragraph" w:styleId="IntenseQuote">
    <w:name w:val="Intense Quote"/>
    <w:basedOn w:val="Normal"/>
    <w:next w:val="Normal"/>
    <w:link w:val="IntenseQuoteChar"/>
    <w:uiPriority w:val="30"/>
    <w:qFormat/>
    <w:rsid w:val="00545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5187"/>
    <w:rPr>
      <w:i/>
      <w:iCs/>
      <w:color w:val="0F4761" w:themeColor="accent1" w:themeShade="BF"/>
    </w:rPr>
  </w:style>
  <w:style w:type="character" w:styleId="IntenseReference">
    <w:name w:val="Intense Reference"/>
    <w:basedOn w:val="DefaultParagraphFont"/>
    <w:uiPriority w:val="32"/>
    <w:qFormat/>
    <w:rsid w:val="005451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473D5B0DBBD4FA779E2E02A8A7CF5" ma:contentTypeVersion="18" ma:contentTypeDescription="Create a new document." ma:contentTypeScope="" ma:versionID="111331cb4a88cf5de00d23c3a5870ee4">
  <xsd:schema xmlns:xsd="http://www.w3.org/2001/XMLSchema" xmlns:xs="http://www.w3.org/2001/XMLSchema" xmlns:p="http://schemas.microsoft.com/office/2006/metadata/properties" xmlns:ns2="4e66535b-6642-4704-81fd-b6afa5be9718" xmlns:ns3="76dc1818-7fea-4067-8a0f-1c50bf612f81" targetNamespace="http://schemas.microsoft.com/office/2006/metadata/properties" ma:root="true" ma:fieldsID="f7467e9723c6d52597594b358c26ac1e" ns2:_="" ns3:_="">
    <xsd:import namespace="4e66535b-6642-4704-81fd-b6afa5be9718"/>
    <xsd:import namespace="76dc1818-7fea-4067-8a0f-1c50bf612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6535b-6642-4704-81fd-b6afa5be9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1826f8-3cfe-4c8c-a5ba-77c0a3446a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c1818-7fea-4067-8a0f-1c50bf612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5a5ac-1f4b-4b69-a77b-61845a1984dd}" ma:internalName="TaxCatchAll" ma:showField="CatchAllData" ma:web="76dc1818-7fea-4067-8a0f-1c50bf612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6535b-6642-4704-81fd-b6afa5be9718">
      <Terms xmlns="http://schemas.microsoft.com/office/infopath/2007/PartnerControls"/>
    </lcf76f155ced4ddcb4097134ff3c332f>
    <TaxCatchAll xmlns="76dc1818-7fea-4067-8a0f-1c50bf612f81" xsi:nil="true"/>
  </documentManagement>
</p:properties>
</file>

<file path=customXml/itemProps1.xml><?xml version="1.0" encoding="utf-8"?>
<ds:datastoreItem xmlns:ds="http://schemas.openxmlformats.org/officeDocument/2006/customXml" ds:itemID="{5D90FD69-EFB3-4A7A-A164-70DF32FDB2C6}"/>
</file>

<file path=customXml/itemProps2.xml><?xml version="1.0" encoding="utf-8"?>
<ds:datastoreItem xmlns:ds="http://schemas.openxmlformats.org/officeDocument/2006/customXml" ds:itemID="{398B65B1-515C-4AFF-BDBE-1A6AAB244FC2}"/>
</file>

<file path=customXml/itemProps3.xml><?xml version="1.0" encoding="utf-8"?>
<ds:datastoreItem xmlns:ds="http://schemas.openxmlformats.org/officeDocument/2006/customXml" ds:itemID="{9F174F91-35FC-43CE-B7B1-9C58BB305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Turcotte Seavey</dc:creator>
  <keywords/>
  <dc:description/>
  <lastModifiedBy>Lauren Turcotte Seavey</lastModifiedBy>
  <revision>5</revision>
  <dcterms:created xsi:type="dcterms:W3CDTF">2026-02-18T20:31:00.0000000Z</dcterms:created>
  <dcterms:modified xsi:type="dcterms:W3CDTF">2026-02-23T18:08:07.3251769Z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0x010100124473D5B0DBBD4FA779E2E02A8A7CF5</vt:lpwstr>
  </property>
  <property fmtid="{D5CDD505-2E9C-101B-9397-08002B2CF9AE}" pid="3" name="MediaServiceImageTags">
    <vt:lpwstr/>
  </property>
</Properties>
</file>