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CD" w:rsidRDefault="007D7ECD"/>
    <w:p w:rsidR="00AA252F" w:rsidRDefault="00AA252F"/>
    <w:tbl>
      <w:tblPr>
        <w:tblW w:w="9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AA252F" w:rsidTr="00334DC2">
        <w:trPr>
          <w:trHeight w:val="12024"/>
          <w:jc w:val="center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AA252F" w:rsidRPr="00334DC2">
              <w:trPr>
                <w:jc w:val="center"/>
              </w:trPr>
              <w:tc>
                <w:tcPr>
                  <w:tcW w:w="0" w:type="auto"/>
                  <w:shd w:val="clear" w:color="auto" w:fill="BFBFB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jc w:val="center"/>
                    <w:shd w:val="clear" w:color="auto" w:fill="BFBFB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A252F" w:rsidRPr="00334DC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A252F" w:rsidRPr="00334DC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ED7539"/>
                              <w:hideMark/>
                            </w:tcPr>
                            <w:p w:rsidR="00AA252F" w:rsidRPr="00334DC2" w:rsidRDefault="00AA252F">
                              <w:pPr>
                                <w:rPr>
                                  <w:rFonts w:eastAsia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A252F" w:rsidRPr="00334DC2" w:rsidRDefault="00BC54CF">
                        <w:pPr>
                          <w:jc w:val="center"/>
                          <w:rPr>
                            <w:rFonts w:eastAsia="Times New Roman"/>
                            <w:b/>
                            <w:sz w:val="20"/>
                            <w:szCs w:val="20"/>
                          </w:rPr>
                        </w:pPr>
                        <w:r w:rsidRPr="00334DC2">
                          <w:rPr>
                            <w:rFonts w:ascii="Arial" w:eastAsia="Times New Roman" w:hAnsi="Arial" w:cs="Arial"/>
                            <w:b/>
                            <w:noProof/>
                            <w:color w:val="363636"/>
                            <w:sz w:val="20"/>
                            <w:szCs w:val="20"/>
                          </w:rPr>
                          <w:drawing>
                            <wp:anchor distT="0" distB="0" distL="114300" distR="114300" simplePos="0" relativeHeight="251659264" behindDoc="1" locked="0" layoutInCell="1" allowOverlap="1">
                              <wp:simplePos x="0" y="0"/>
                              <wp:positionH relativeFrom="column">
                                <wp:posOffset>3128010</wp:posOffset>
                              </wp:positionH>
                              <wp:positionV relativeFrom="paragraph">
                                <wp:posOffset>248285</wp:posOffset>
                              </wp:positionV>
                              <wp:extent cx="1494155" cy="1494155"/>
                              <wp:effectExtent l="0" t="0" r="0" b="0"/>
                              <wp:wrapTight wrapText="bothSides">
                                <wp:wrapPolygon edited="0">
                                  <wp:start x="6609" y="0"/>
                                  <wp:lineTo x="4131" y="4957"/>
                                  <wp:lineTo x="0" y="4957"/>
                                  <wp:lineTo x="0" y="11016"/>
                                  <wp:lineTo x="1102" y="13770"/>
                                  <wp:lineTo x="0" y="16524"/>
                                  <wp:lineTo x="275" y="18176"/>
                                  <wp:lineTo x="3029" y="18727"/>
                                  <wp:lineTo x="3029" y="21205"/>
                                  <wp:lineTo x="17350" y="21205"/>
                                  <wp:lineTo x="18451" y="18727"/>
                                  <wp:lineTo x="20930" y="18176"/>
                                  <wp:lineTo x="21205" y="17625"/>
                                  <wp:lineTo x="20104" y="13770"/>
                                  <wp:lineTo x="21205" y="10740"/>
                                  <wp:lineTo x="21205" y="4957"/>
                                  <wp:lineTo x="16799" y="4957"/>
                                  <wp:lineTo x="17074" y="3029"/>
                                  <wp:lineTo x="12117" y="551"/>
                                  <wp:lineTo x="7986" y="0"/>
                                  <wp:lineTo x="6609" y="0"/>
                                </wp:wrapPolygon>
                              </wp:wrapTight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94155" cy="1494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="006062FB" w:rsidRPr="00334DC2">
                          <w:rPr>
                            <w:b/>
                            <w:noProof/>
                          </w:rPr>
                          <w:drawing>
                            <wp:anchor distT="0" distB="0" distL="114300" distR="114300" simplePos="0" relativeHeight="251658240" behindDoc="1" locked="0" layoutInCell="1" allowOverlap="1">
                              <wp:simplePos x="0" y="0"/>
                              <wp:positionH relativeFrom="column">
                                <wp:posOffset>753745</wp:posOffset>
                              </wp:positionH>
                              <wp:positionV relativeFrom="paragraph">
                                <wp:posOffset>441960</wp:posOffset>
                              </wp:positionV>
                              <wp:extent cx="1500505" cy="760095"/>
                              <wp:effectExtent l="0" t="0" r="4445" b="1905"/>
                              <wp:wrapTight wrapText="bothSides">
                                <wp:wrapPolygon edited="0">
                                  <wp:start x="0" y="0"/>
                                  <wp:lineTo x="0" y="21113"/>
                                  <wp:lineTo x="21390" y="21113"/>
                                  <wp:lineTo x="21390" y="0"/>
                                  <wp:lineTo x="0" y="0"/>
                                </wp:wrapPolygon>
                              </wp:wrapTight>
                              <wp:docPr id="16" name="Picture 16" descr="Image result for Council for Professional Recognition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Image result for Council for Professional Recognition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0505" cy="7600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A252F" w:rsidRPr="00334DC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A252F" w:rsidRPr="00334DC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A252F" w:rsidRPr="00334DC2" w:rsidTr="00334DC2">
                                      <w:trPr>
                                        <w:trHeight w:val="9891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180" w:rightFromText="180" w:vertAnchor="text" w:horzAnchor="margin" w:tblpY="191"/>
                                            <w:tblOverlap w:val="never"/>
                                            <w:tblW w:w="4984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71"/>
                                          </w:tblGrid>
                                          <w:tr w:rsidR="006062FB" w:rsidRPr="00334DC2" w:rsidTr="006062FB">
                                            <w:trPr>
                                              <w:trHeight w:val="4899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</w:tcPr>
                                              <w:p w:rsidR="00BC54CF" w:rsidRPr="00334DC2" w:rsidRDefault="00BC54CF" w:rsidP="00BC54CF">
                                                <w:pPr>
                                                  <w:shd w:val="clear" w:color="auto" w:fill="FFFFFF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El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Concilio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para el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Reconocimiento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Profesional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está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consciente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que las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últimas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semanas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han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sido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muy</w:t>
                                                </w:r>
                                                <w:bookmarkStart w:id="0" w:name="_GoBack"/>
                                                <w:bookmarkEnd w:id="0"/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difíciles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para la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comunidad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de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educadores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infantiles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Ustedes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están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en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la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primera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línea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para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ejecutar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las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mejores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prácticas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a fin de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tener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y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mantener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los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ambientes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de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aprendizaje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seguros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y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saludables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durante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la actual crisis sanitaria que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estamos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atravesando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. Les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estamos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muy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agradecidos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por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su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compromiso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incondicional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con la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comunidad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y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queremos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darle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el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margen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de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tiempo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suficiente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para que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puedan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renovar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su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credencial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BC54CF" w:rsidRPr="00334DC2" w:rsidRDefault="00BC54CF" w:rsidP="00BC54CF">
                                                <w:pPr>
                                                  <w:shd w:val="clear" w:color="auto" w:fill="FFFFFF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BC54CF" w:rsidRPr="00334DC2" w:rsidRDefault="00BC54CF" w:rsidP="00BC54CF">
                                                <w:pPr>
                                                  <w:shd w:val="clear" w:color="auto" w:fill="FFFFFF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Por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tal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motivo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el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Concilio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ha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decidido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extender el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programa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de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Amnistía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de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Renovación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hasta el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próximo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30 de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junio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de 2020.</w:t>
                                                </w:r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Dedíquele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tiempo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y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únase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a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los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miles de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Asociados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en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Desarrollo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Infantil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® que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han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aprovechado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esta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vía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rentable para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renovar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su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compromiso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con el campo que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tanto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aman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. Si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usted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posee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una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credencial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CDA®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cuya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fecha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de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expiración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data del 1 de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enero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de 2010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en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adelante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entonces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usted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califica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para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participar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BC54CF" w:rsidRPr="00334DC2" w:rsidRDefault="00BC54CF" w:rsidP="00BC54CF">
                                                <w:pPr>
                                                  <w:shd w:val="clear" w:color="auto" w:fill="FFFFFF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BC54CF" w:rsidRPr="00334DC2" w:rsidRDefault="00BC54CF" w:rsidP="00BC54CF">
                                                <w:pPr>
                                                  <w:shd w:val="clear" w:color="auto" w:fill="FFFFFF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6" w:tgtFrame="_blank" w:history="1">
                                                  <w:r w:rsidRPr="00334DC2"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1E82A0"/>
                                                      <w:sz w:val="20"/>
                                                      <w:szCs w:val="20"/>
                                                    </w:rPr>
                                                    <w:t>Entérese más</w:t>
                                                  </w:r>
                                                </w:hyperlink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7" w:history="1">
                                                  <w:r w:rsidRPr="00334DC2"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b/>
                                                      <w:sz w:val="20"/>
                                                      <w:szCs w:val="20"/>
                                                    </w:rPr>
                                                    <w:t>https://www.cdacouncil.org/renewal-amnesty-program</w:t>
                                                  </w:r>
                                                </w:hyperlink>
                                              </w:p>
                                              <w:p w:rsidR="00BC54CF" w:rsidRPr="00334DC2" w:rsidRDefault="00BC54CF" w:rsidP="00BC54CF">
                                                <w:pPr>
                                                  <w:shd w:val="clear" w:color="auto" w:fill="FFFFFF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BC54CF" w:rsidRPr="00334DC2" w:rsidRDefault="00BC54CF" w:rsidP="00BC54CF">
                                                <w:pPr>
                                                  <w:shd w:val="clear" w:color="auto" w:fill="FFFFFF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Lo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invitamos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a que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visite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nuestro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sitio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web para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obtener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más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información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sobre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las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últimas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noticias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y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sobre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la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extensión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del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programa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de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Amnistía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de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Renovación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. ¡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Manténgase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sano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y salvo y no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olvide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que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estamos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aquí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para </w:t>
                                                </w:r>
                                                <w:proofErr w:type="spellStart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usted</w:t>
                                                </w:r>
                                                <w:proofErr w:type="spellEnd"/>
                                                <w:r w:rsidRPr="00334DC2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  <w:t>!</w:t>
                                                </w:r>
                                              </w:p>
                                              <w:p w:rsidR="00334DC2" w:rsidRPr="00334DC2" w:rsidRDefault="00334DC2" w:rsidP="00BC54CF">
                                                <w:pPr>
                                                  <w:shd w:val="clear" w:color="auto" w:fill="FFFFFF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363636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334DC2" w:rsidRPr="00334DC2" w:rsidRDefault="00334DC2" w:rsidP="00334DC2">
                                                <w:pPr>
                                                  <w:shd w:val="clear" w:color="auto" w:fill="F8F9FA"/>
                                                  <w:tabs>
                                                    <w:tab w:val="left" w:pos="916"/>
                                                    <w:tab w:val="left" w:pos="1832"/>
                                                    <w:tab w:val="left" w:pos="2748"/>
                                                    <w:tab w:val="left" w:pos="3664"/>
                                                    <w:tab w:val="left" w:pos="4580"/>
                                                    <w:tab w:val="left" w:pos="5496"/>
                                                    <w:tab w:val="left" w:pos="6412"/>
                                                    <w:tab w:val="left" w:pos="7328"/>
                                                    <w:tab w:val="left" w:pos="8244"/>
                                                    <w:tab w:val="left" w:pos="9160"/>
                                                    <w:tab w:val="left" w:pos="10076"/>
                                                    <w:tab w:val="left" w:pos="10992"/>
                                                    <w:tab w:val="left" w:pos="11908"/>
                                                    <w:tab w:val="left" w:pos="12824"/>
                                                    <w:tab w:val="left" w:pos="13740"/>
                                                    <w:tab w:val="left" w:pos="14656"/>
                                                  </w:tabs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color w:val="22222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334DC2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color w:val="222222"/>
                                                    <w:sz w:val="20"/>
                                                    <w:szCs w:val="20"/>
                                                    <w:lang w:val="es-ES"/>
                                                  </w:rPr>
                                                  <w:t xml:space="preserve">Para obtener información sobre cómo renovar su credencial CDA, comuníquese con Idie Benjamin - </w:t>
                                                </w:r>
                                              </w:p>
                                              <w:p w:rsidR="00334DC2" w:rsidRPr="00334DC2" w:rsidRDefault="00334DC2" w:rsidP="00BC54CF">
                                                <w:pPr>
                                                  <w:shd w:val="clear" w:color="auto" w:fill="FFFFFF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shd w:val="clear" w:color="auto" w:fill="FFFFFF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71"/>
                                                </w:tblGrid>
                                                <w:tr w:rsidR="00BC54CF" w:rsidRPr="00334DC2" w:rsidTr="00334DC2">
                                                  <w:tc>
                                                    <w:tcPr>
                                                      <w:tcW w:w="5000" w:type="pct"/>
                                                      <w:shd w:val="clear" w:color="auto" w:fill="FFFFFF"/>
                                                    </w:tcPr>
                                                    <w:p w:rsidR="00BC54CF" w:rsidRPr="00334DC2" w:rsidRDefault="00334DC2" w:rsidP="00BC54CF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Nota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: Los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participantes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en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el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Programa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de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Amnistía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tienen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que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solicitar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la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renovación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en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línea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. El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Concilio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no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aceptará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solicitudes de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papel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para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este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programa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.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Asimismo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si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usted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ya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envió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por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correo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regular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una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solicitud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inicial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nueva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porque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su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credencial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expiró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;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entonces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usted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tiene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que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continuar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con el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proceso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de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solicitud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inicial</w:t>
                                                      </w:r>
                                                      <w:proofErr w:type="spellEnd"/>
                                                      <w:r w:rsidRPr="00334DC2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i/>
                                                          <w:iCs/>
                                                          <w:color w:val="403F42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regular.</w:t>
                                                      </w:r>
                                                    </w:p>
                                                    <w:p w:rsidR="00334DC2" w:rsidRPr="00334DC2" w:rsidRDefault="00334DC2" w:rsidP="00BC54CF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C54CF" w:rsidRPr="00334DC2" w:rsidRDefault="00BC54CF" w:rsidP="00BC54CF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vanish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BC54CF" w:rsidRPr="00334DC2" w:rsidRDefault="00BC54CF" w:rsidP="00BC54CF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vanish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shd w:val="clear" w:color="auto" w:fill="FFFFFF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55"/>
                                                  <w:gridCol w:w="5216"/>
                                                </w:tblGrid>
                                                <w:tr w:rsidR="00BC54CF" w:rsidRPr="00334DC2" w:rsidTr="00BC54CF">
                                                  <w:tc>
                                                    <w:tcPr>
                                                      <w:tcW w:w="1750" w:type="pct"/>
                                                      <w:shd w:val="clear" w:color="auto" w:fill="ED7539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155"/>
                                                      </w:tblGrid>
                                                      <w:tr w:rsidR="00BC54CF" w:rsidRPr="00334DC2" w:rsidTr="00BC54C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0" w:type="dxa"/>
                                                              <w:left w:w="300" w:type="dxa"/>
                                                              <w:bottom w:w="150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BC54CF" w:rsidRPr="00334DC2" w:rsidRDefault="00BC54CF" w:rsidP="00BC54CF">
                                                            <w:pPr>
                                                              <w:divId w:val="880555927"/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334DC2"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noProof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717675" cy="727075"/>
                                                                  <wp:effectExtent l="0" t="0" r="0" b="0"/>
                                                                  <wp:docPr id="4" name="Picture 4" descr="https://files.constantcontact.com/b2de7c85201/4f1ff9d8-dab8-44b8-a70e-eb2f3573ba5c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" descr="https://files.constantcontact.com/b2de7c85201/4f1ff9d8-dab8-44b8-a70e-eb2f3573ba5c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717675" cy="72707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C54CF" w:rsidRPr="00334DC2" w:rsidRDefault="00BC54CF" w:rsidP="00BC54CF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250" w:type="pct"/>
                                                      <w:shd w:val="clear" w:color="auto" w:fill="ED7539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216"/>
                                                      </w:tblGrid>
                                                      <w:tr w:rsidR="00BC54CF" w:rsidRPr="00334DC2" w:rsidTr="00BC54C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0" w:type="dxa"/>
                                                              <w:left w:w="150" w:type="dxa"/>
                                                              <w:bottom w:w="150" w:type="dxa"/>
                                                              <w:right w:w="30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BC54CF" w:rsidRPr="00334DC2" w:rsidRDefault="00BC54CF" w:rsidP="00BC54CF">
                                                            <w:pPr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bCs/>
                                                                <w:color w:val="1E82A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334DC2"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bCs/>
                                                                <w:color w:val="FFFFFF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¿PREGUNTAS?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BC54CF" w:rsidRPr="00334DC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0" w:type="dxa"/>
                                                              <w:left w:w="150" w:type="dxa"/>
                                                              <w:bottom w:w="150" w:type="dxa"/>
                                                              <w:right w:w="30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BC54CF" w:rsidRPr="00334DC2" w:rsidRDefault="00BC54CF" w:rsidP="00BC54CF">
                                                            <w:pPr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color w:val="403F42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334DC2"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color w:val="FFFFFF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No dude </w:t>
                                                            </w:r>
                                                            <w:proofErr w:type="spellStart"/>
                                                            <w:r w:rsidRPr="00334DC2"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color w:val="FFFFFF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en</w:t>
                                                            </w:r>
                                                            <w:proofErr w:type="spellEnd"/>
                                                            <w:r w:rsidRPr="00334DC2"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color w:val="FFFFFF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334DC2"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color w:val="FFFFFF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comunicarse</w:t>
                                                            </w:r>
                                                            <w:proofErr w:type="spellEnd"/>
                                                            <w:r w:rsidRPr="00334DC2"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color w:val="FFFFFF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con </w:t>
                                                            </w:r>
                                                            <w:proofErr w:type="spellStart"/>
                                                            <w:r w:rsidRPr="00334DC2"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color w:val="FFFFFF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nuestro</w:t>
                                                            </w:r>
                                                            <w:proofErr w:type="spellEnd"/>
                                                            <w:r w:rsidRPr="00334DC2"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color w:val="FFFFFF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334DC2"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color w:val="FFFFFF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Departamento</w:t>
                                                            </w:r>
                                                            <w:proofErr w:type="spellEnd"/>
                                                            <w:r w:rsidRPr="00334DC2"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color w:val="FFFFFF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de </w:t>
                                                            </w:r>
                                                            <w:proofErr w:type="spellStart"/>
                                                            <w:r w:rsidRPr="00334DC2"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color w:val="FFFFFF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Servicio</w:t>
                                                            </w:r>
                                                            <w:proofErr w:type="spellEnd"/>
                                                            <w:r w:rsidRPr="00334DC2"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color w:val="FFFFFF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al </w:t>
                                                            </w:r>
                                                            <w:proofErr w:type="spellStart"/>
                                                            <w:r w:rsidRPr="00334DC2"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color w:val="FFFFFF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Cliente</w:t>
                                                            </w:r>
                                                            <w:proofErr w:type="spellEnd"/>
                                                            <w:r w:rsidRPr="00334DC2"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color w:val="FFFFFF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al 800-424-4310, </w:t>
                                                            </w:r>
                                                            <w:proofErr w:type="spellStart"/>
                                                            <w:r w:rsidRPr="00334DC2"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color w:val="FFFFFF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por</w:t>
                                                            </w:r>
                                                            <w:proofErr w:type="spellEnd"/>
                                                            <w:r w:rsidRPr="00334DC2"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color w:val="FFFFFF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r w:rsidRPr="00334DC2"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i/>
                                                                <w:iCs/>
                                                                <w:color w:val="FFFFFF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chat</w:t>
                                                            </w:r>
                                                            <w:r w:rsidRPr="00334DC2"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color w:val="403F42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r w:rsidRPr="00334DC2"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color w:val="FFFFFF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o </w:t>
                                                            </w:r>
                                                            <w:proofErr w:type="spellStart"/>
                                                            <w:r w:rsidRPr="00334DC2"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color w:val="FFFFFF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por</w:t>
                                                            </w:r>
                                                            <w:proofErr w:type="spellEnd"/>
                                                            <w:r w:rsidRPr="00334DC2"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color w:val="FFFFFF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334DC2"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color w:val="FFFFFF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correo</w:t>
                                                            </w:r>
                                                            <w:proofErr w:type="spellEnd"/>
                                                            <w:r w:rsidRPr="00334DC2"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color w:val="FFFFFF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334DC2"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color w:val="FFFFFF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electrónico</w:t>
                                                            </w:r>
                                                            <w:proofErr w:type="spellEnd"/>
                                                            <w:r w:rsidRPr="00334DC2">
                                                              <w:rPr>
                                                                <w:rFonts w:ascii="Arial" w:hAnsi="Arial" w:cs="Arial"/>
                                                                <w:b/>
                                                                <w:color w:val="FFFFFF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.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C54CF" w:rsidRPr="00334DC2" w:rsidRDefault="00BC54CF" w:rsidP="00BC54CF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062FB" w:rsidRPr="00334DC2" w:rsidRDefault="006062FB" w:rsidP="006062FB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6062FB" w:rsidRPr="00334DC2" w:rsidRDefault="006062FB" w:rsidP="006062FB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color w:val="0070C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252F" w:rsidRPr="00334DC2" w:rsidRDefault="00AA252F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334DC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noProof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>
                                                <wp:extent cx="46990" cy="5715"/>
                                                <wp:effectExtent l="0" t="0" r="0" b="0"/>
                                                <wp:docPr id="8" name="Picture 8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6990" cy="571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A252F" w:rsidRPr="00334DC2" w:rsidRDefault="00AA252F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252F" w:rsidRPr="00334DC2" w:rsidRDefault="00AA252F">
                              <w:pPr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A252F" w:rsidRPr="00334DC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AA252F" w:rsidRPr="00334DC2" w:rsidRDefault="00AA252F">
                              <w:pPr>
                                <w:rPr>
                                  <w:rFonts w:eastAsia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A252F" w:rsidRPr="00334DC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AA252F" w:rsidRPr="00334DC2" w:rsidRDefault="00AA252F">
                              <w:pPr>
                                <w:rPr>
                                  <w:rFonts w:eastAsia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A252F" w:rsidRPr="00334DC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ED7539"/>
                              <w:hideMark/>
                            </w:tcPr>
                            <w:p w:rsidR="00AA252F" w:rsidRPr="00334DC2" w:rsidRDefault="00AA252F">
                              <w:pPr>
                                <w:rPr>
                                  <w:rFonts w:eastAsia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A252F" w:rsidRPr="00334DC2" w:rsidRDefault="00334DC2" w:rsidP="00334DC2">
                        <w:pPr>
                          <w:tabs>
                            <w:tab w:val="left" w:pos="325"/>
                          </w:tabs>
                          <w:rPr>
                            <w:rFonts w:eastAsia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</w:tc>
                  </w:tr>
                </w:tbl>
                <w:p w:rsidR="00AA252F" w:rsidRPr="00334DC2" w:rsidRDefault="00AA252F">
                  <w:pPr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A252F" w:rsidRDefault="00AA252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A252F" w:rsidRDefault="00AA252F"/>
    <w:sectPr w:rsidR="00AA252F" w:rsidSect="009C72A3">
      <w:pgSz w:w="12240" w:h="15840" w:code="1"/>
      <w:pgMar w:top="720" w:right="1296" w:bottom="720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oNotDisplayPageBoundaries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2F"/>
    <w:rsid w:val="00334DC2"/>
    <w:rsid w:val="003545FD"/>
    <w:rsid w:val="003C3EE6"/>
    <w:rsid w:val="006062FB"/>
    <w:rsid w:val="006F39E0"/>
    <w:rsid w:val="007D7ECD"/>
    <w:rsid w:val="009C72A3"/>
    <w:rsid w:val="00A42B02"/>
    <w:rsid w:val="00AA252F"/>
    <w:rsid w:val="00BC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116EDD"/>
  <w15:chartTrackingRefBased/>
  <w15:docId w15:val="{1C399820-CF31-4BC0-BAA5-543EF15C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2F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252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4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4DC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5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3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8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cdacouncil.org/renewal-amnesty-prog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acouncil.org/renewal-amnesty-progra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Idie Benjamin</dc:creator>
  <cp:keywords/>
  <dc:description/>
  <cp:lastModifiedBy>Idie Benjamin</cp:lastModifiedBy>
  <cp:revision>3</cp:revision>
  <dcterms:created xsi:type="dcterms:W3CDTF">2020-04-19T13:43:00Z</dcterms:created>
  <dcterms:modified xsi:type="dcterms:W3CDTF">2020-04-19T14:02:00Z</dcterms:modified>
</cp:coreProperties>
</file>