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7192" w14:textId="660C79FB" w:rsidR="00732BD2" w:rsidRDefault="008F007B" w:rsidP="008F007B">
      <w:pPr>
        <w:pStyle w:val="Title"/>
      </w:pPr>
      <w:r>
        <w:t>Provider Webinar ABA Services FAQs</w:t>
      </w:r>
    </w:p>
    <w:p w14:paraId="6F2AA75B" w14:textId="77777777" w:rsidR="00834412" w:rsidRDefault="00834412" w:rsidP="00834412">
      <w:pPr>
        <w:pStyle w:val="ListParagraph"/>
        <w:ind w:left="360"/>
      </w:pPr>
    </w:p>
    <w:p w14:paraId="07B06D4D" w14:textId="2CEBDA83" w:rsidR="008F007B" w:rsidRPr="001E0852" w:rsidRDefault="008F007B" w:rsidP="00834412">
      <w:pPr>
        <w:pStyle w:val="ListParagraph"/>
        <w:numPr>
          <w:ilvl w:val="0"/>
          <w:numId w:val="3"/>
        </w:numPr>
        <w:rPr>
          <w:rFonts w:cstheme="minorHAnsi"/>
        </w:rPr>
      </w:pPr>
      <w:r w:rsidRPr="001E0852">
        <w:rPr>
          <w:rFonts w:cstheme="minorHAnsi"/>
        </w:rPr>
        <w:t>Does the T1016 require prior authorization?</w:t>
      </w:r>
    </w:p>
    <w:p w14:paraId="4DF65436" w14:textId="5F610750" w:rsidR="00834412" w:rsidRPr="001E0852" w:rsidRDefault="00154F9C" w:rsidP="00834412">
      <w:pPr>
        <w:pStyle w:val="ListParagraph"/>
        <w:numPr>
          <w:ilvl w:val="1"/>
          <w:numId w:val="3"/>
        </w:numPr>
        <w:rPr>
          <w:rFonts w:cstheme="minorHAnsi"/>
        </w:rPr>
      </w:pPr>
      <w:r w:rsidRPr="001E0852">
        <w:rPr>
          <w:rFonts w:cstheme="minorHAnsi"/>
        </w:rPr>
        <w:t>No</w:t>
      </w:r>
    </w:p>
    <w:p w14:paraId="1056F492" w14:textId="77777777" w:rsidR="001E0852" w:rsidRDefault="001E0852" w:rsidP="001E0852">
      <w:pPr>
        <w:pStyle w:val="ListParagraph"/>
        <w:ind w:left="360"/>
        <w:rPr>
          <w:rFonts w:cstheme="minorHAnsi"/>
        </w:rPr>
      </w:pPr>
    </w:p>
    <w:p w14:paraId="029ED87C" w14:textId="424C9E05" w:rsidR="008F007B" w:rsidRPr="001E0852" w:rsidRDefault="008F007B" w:rsidP="00834412">
      <w:pPr>
        <w:pStyle w:val="ListParagraph"/>
        <w:numPr>
          <w:ilvl w:val="0"/>
          <w:numId w:val="3"/>
        </w:numPr>
        <w:rPr>
          <w:rFonts w:cstheme="minorHAnsi"/>
        </w:rPr>
      </w:pPr>
      <w:r w:rsidRPr="001E0852">
        <w:rPr>
          <w:rFonts w:cstheme="minorHAnsi"/>
        </w:rPr>
        <w:t xml:space="preserve">Can a BCBA waiting to obtain their Arizona LBA use the modifier HO if they have their BCBA certification? Or would they fall within the modifier HN? </w:t>
      </w:r>
    </w:p>
    <w:p w14:paraId="1A6E8EA9" w14:textId="30442D9C" w:rsidR="00834412" w:rsidRPr="001E0852" w:rsidRDefault="00146974" w:rsidP="00834412">
      <w:pPr>
        <w:pStyle w:val="ListParagraph"/>
        <w:numPr>
          <w:ilvl w:val="1"/>
          <w:numId w:val="3"/>
        </w:numPr>
        <w:rPr>
          <w:rFonts w:cstheme="minorHAnsi"/>
        </w:rPr>
      </w:pPr>
      <w:r w:rsidRPr="001E0852">
        <w:rPr>
          <w:rFonts w:cstheme="minorHAnsi"/>
        </w:rPr>
        <w:t>They would fall under the HN modifier</w:t>
      </w:r>
    </w:p>
    <w:p w14:paraId="60FDBF46" w14:textId="77777777" w:rsidR="001E0852" w:rsidRDefault="001E0852" w:rsidP="001E0852">
      <w:pPr>
        <w:pStyle w:val="ListParagraph"/>
        <w:ind w:left="360"/>
        <w:rPr>
          <w:rFonts w:cstheme="minorHAnsi"/>
        </w:rPr>
      </w:pPr>
    </w:p>
    <w:p w14:paraId="11FA9A96" w14:textId="2C3DFC1D" w:rsidR="008F007B" w:rsidRPr="001E0852" w:rsidRDefault="008F007B" w:rsidP="001E0852">
      <w:pPr>
        <w:pStyle w:val="ListParagraph"/>
        <w:numPr>
          <w:ilvl w:val="0"/>
          <w:numId w:val="5"/>
        </w:numPr>
        <w:rPr>
          <w:rFonts w:cstheme="minorHAnsi"/>
        </w:rPr>
      </w:pPr>
      <w:r w:rsidRPr="001E0852">
        <w:rPr>
          <w:rFonts w:cstheme="minorHAnsi"/>
        </w:rPr>
        <w:t xml:space="preserve">Regarding HCPCS T1016 Case management - What is the maximum allowed of billing per day for BC and/or 77 providers? Just wanted to be clear, since there are maximums per day for ABA codes, and if these are allowed to be concurrently billed with 97153 (from RBT/HM provider). Thank you! </w:t>
      </w:r>
      <w:r w:rsidRPr="001E0852">
        <w:rPr>
          <w:rFonts w:cstheme="minorHAnsi"/>
        </w:rPr>
        <w:softHyphen/>
      </w:r>
    </w:p>
    <w:p w14:paraId="71DE8224" w14:textId="7D98A51F" w:rsidR="00834412" w:rsidRPr="001E0852" w:rsidRDefault="00154F9C" w:rsidP="00834412">
      <w:pPr>
        <w:pStyle w:val="ListParagraph"/>
        <w:numPr>
          <w:ilvl w:val="1"/>
          <w:numId w:val="3"/>
        </w:numPr>
        <w:rPr>
          <w:rFonts w:cstheme="minorHAnsi"/>
        </w:rPr>
      </w:pPr>
      <w:r w:rsidRPr="001E0852">
        <w:rPr>
          <w:rFonts w:cstheme="minorHAnsi"/>
        </w:rPr>
        <w:t xml:space="preserve">There is no Max for code T1016 </w:t>
      </w:r>
      <w:proofErr w:type="gramStart"/>
      <w:r w:rsidRPr="001E0852">
        <w:rPr>
          <w:rFonts w:cstheme="minorHAnsi"/>
        </w:rPr>
        <w:t>as long as</w:t>
      </w:r>
      <w:proofErr w:type="gramEnd"/>
      <w:r w:rsidRPr="001E0852">
        <w:rPr>
          <w:rFonts w:cstheme="minorHAnsi"/>
        </w:rPr>
        <w:t xml:space="preserve"> providers are using this for strictly case management and not billing all ABA services with T1016.</w:t>
      </w:r>
    </w:p>
    <w:p w14:paraId="3388D6E1" w14:textId="77777777" w:rsidR="001E0852" w:rsidRDefault="001E0852" w:rsidP="001E0852">
      <w:pPr>
        <w:pStyle w:val="ListParagraph"/>
        <w:ind w:left="360"/>
        <w:rPr>
          <w:rFonts w:cstheme="minorHAnsi"/>
        </w:rPr>
      </w:pPr>
    </w:p>
    <w:p w14:paraId="1232D581" w14:textId="775FDC06" w:rsidR="008F007B" w:rsidRPr="001E0852" w:rsidRDefault="0039059C" w:rsidP="00834412">
      <w:pPr>
        <w:pStyle w:val="ListParagraph"/>
        <w:numPr>
          <w:ilvl w:val="0"/>
          <w:numId w:val="3"/>
        </w:numPr>
        <w:rPr>
          <w:rFonts w:cstheme="minorHAnsi"/>
        </w:rPr>
      </w:pPr>
      <w:r w:rsidRPr="001E0852">
        <w:rPr>
          <w:rFonts w:cstheme="minorHAnsi"/>
        </w:rPr>
        <w:t>I</w:t>
      </w:r>
      <w:r w:rsidR="008F007B" w:rsidRPr="001E0852">
        <w:rPr>
          <w:rFonts w:cstheme="minorHAnsi"/>
        </w:rPr>
        <w:t>f our BCBA is an LBA we can use Modifier HP even if they do not have a Doctorate?</w:t>
      </w:r>
      <w:r w:rsidR="008F007B" w:rsidRPr="001E0852">
        <w:rPr>
          <w:rFonts w:cstheme="minorHAnsi"/>
        </w:rPr>
        <w:softHyphen/>
      </w:r>
    </w:p>
    <w:p w14:paraId="574FE074" w14:textId="53C4C219" w:rsidR="00834412" w:rsidRPr="001E0852" w:rsidRDefault="00146974" w:rsidP="00834412">
      <w:pPr>
        <w:pStyle w:val="ListParagraph"/>
        <w:numPr>
          <w:ilvl w:val="1"/>
          <w:numId w:val="3"/>
        </w:numPr>
        <w:rPr>
          <w:rFonts w:cstheme="minorHAnsi"/>
        </w:rPr>
      </w:pPr>
      <w:r w:rsidRPr="001E0852">
        <w:rPr>
          <w:rFonts w:cstheme="minorHAnsi"/>
        </w:rPr>
        <w:t>No, they need to use HO</w:t>
      </w:r>
    </w:p>
    <w:p w14:paraId="0935C722" w14:textId="77777777" w:rsidR="001E0852" w:rsidRDefault="001E0852" w:rsidP="001E0852">
      <w:pPr>
        <w:pStyle w:val="ListParagraph"/>
        <w:ind w:left="360"/>
        <w:rPr>
          <w:rFonts w:cstheme="minorHAnsi"/>
        </w:rPr>
      </w:pPr>
    </w:p>
    <w:p w14:paraId="56FA6860" w14:textId="23A84397" w:rsidR="008F007B" w:rsidRPr="001E0852" w:rsidRDefault="008F007B" w:rsidP="00834412">
      <w:pPr>
        <w:pStyle w:val="ListParagraph"/>
        <w:numPr>
          <w:ilvl w:val="0"/>
          <w:numId w:val="3"/>
        </w:numPr>
        <w:rPr>
          <w:rFonts w:cstheme="minorHAnsi"/>
        </w:rPr>
      </w:pPr>
      <w:r w:rsidRPr="001E0852">
        <w:rPr>
          <w:rFonts w:cstheme="minorHAnsi"/>
        </w:rPr>
        <w:t>Do BCBAs have to have an LBA to be credentialed with Mercy Care?</w:t>
      </w:r>
    </w:p>
    <w:p w14:paraId="1AAA4DDA" w14:textId="3DCAD679" w:rsidR="00834412" w:rsidRPr="001E0852" w:rsidRDefault="00E907D9" w:rsidP="00834412">
      <w:pPr>
        <w:pStyle w:val="ListParagraph"/>
        <w:numPr>
          <w:ilvl w:val="1"/>
          <w:numId w:val="3"/>
        </w:numPr>
        <w:rPr>
          <w:rFonts w:cstheme="minorHAnsi"/>
        </w:rPr>
      </w:pPr>
      <w:r w:rsidRPr="001E0852">
        <w:rPr>
          <w:rFonts w:cstheme="minorHAnsi"/>
        </w:rPr>
        <w:t xml:space="preserve">Providers must be licensed and registered with to be credentialed with Mercy Care.  </w:t>
      </w:r>
    </w:p>
    <w:p w14:paraId="7DEC490B" w14:textId="6CBB377C" w:rsidR="001E0852" w:rsidRDefault="001E0852" w:rsidP="001E0852">
      <w:pPr>
        <w:pStyle w:val="ListParagraph"/>
        <w:ind w:left="360"/>
        <w:rPr>
          <w:rFonts w:cstheme="minorHAnsi"/>
        </w:rPr>
      </w:pPr>
      <w:bookmarkStart w:id="0" w:name="_Hlk108417903"/>
    </w:p>
    <w:p w14:paraId="0F42EB05" w14:textId="6F251D91" w:rsidR="001E0852" w:rsidRPr="001E0852" w:rsidRDefault="008F007B" w:rsidP="001E0852">
      <w:pPr>
        <w:pStyle w:val="ListParagraph"/>
        <w:numPr>
          <w:ilvl w:val="0"/>
          <w:numId w:val="3"/>
        </w:numPr>
        <w:rPr>
          <w:rFonts w:cstheme="minorHAnsi"/>
        </w:rPr>
      </w:pPr>
      <w:r w:rsidRPr="001E0852">
        <w:rPr>
          <w:rFonts w:cstheme="minorHAnsi"/>
        </w:rPr>
        <w:t>Can you speak to how pay and chase applies to EPSDT services?</w:t>
      </w:r>
      <w:bookmarkStart w:id="1" w:name="_Hlk108417989"/>
      <w:bookmarkEnd w:id="0"/>
    </w:p>
    <w:p w14:paraId="79AE9D82" w14:textId="66EC3890" w:rsidR="00E84210" w:rsidRPr="001E0852" w:rsidRDefault="00E84210" w:rsidP="001E0852">
      <w:pPr>
        <w:pStyle w:val="ListParagraph"/>
        <w:numPr>
          <w:ilvl w:val="1"/>
          <w:numId w:val="3"/>
        </w:numPr>
        <w:rPr>
          <w:rFonts w:cstheme="minorHAnsi"/>
        </w:rPr>
      </w:pPr>
      <w:r w:rsidRPr="001E0852">
        <w:rPr>
          <w:rFonts w:cstheme="minorHAnsi"/>
        </w:rPr>
        <w:t>EPSDT claims received containing primary payment information have benefits coordinated per the standard processes outlined by AHCCCS.  Claims received without primary insurance payment generated will be paid as primary by Mercy Care.  Contact will be made with the primary insurance to request they reimburse Mercy Care the difference between the amount to have been paid under the primary insurance and the amount paid by the plan.  Sometimes this is the full payment amount as generally speaking primary insurance allows more than the AHCCCS amounts.</w:t>
      </w:r>
    </w:p>
    <w:p w14:paraId="3ADD88DA" w14:textId="77777777" w:rsidR="00E84210" w:rsidRPr="001E0852" w:rsidRDefault="00E84210" w:rsidP="00E84210">
      <w:pPr>
        <w:pStyle w:val="ListParagraph"/>
        <w:ind w:left="360"/>
        <w:rPr>
          <w:rFonts w:cstheme="minorHAnsi"/>
        </w:rPr>
      </w:pPr>
    </w:p>
    <w:p w14:paraId="79D37A03" w14:textId="77777777" w:rsidR="001E0852" w:rsidRDefault="008F007B" w:rsidP="001E0852">
      <w:pPr>
        <w:pStyle w:val="ListParagraph"/>
        <w:numPr>
          <w:ilvl w:val="0"/>
          <w:numId w:val="3"/>
        </w:numPr>
        <w:rPr>
          <w:rFonts w:cstheme="minorHAnsi"/>
        </w:rPr>
      </w:pPr>
      <w:r w:rsidRPr="001E0852">
        <w:rPr>
          <w:rFonts w:cstheme="minorHAnsi"/>
        </w:rPr>
        <w:t xml:space="preserve">When you are secondary and primary is known to not cover </w:t>
      </w:r>
      <w:r w:rsidR="0039059C" w:rsidRPr="001E0852">
        <w:rPr>
          <w:rFonts w:cstheme="minorHAnsi"/>
        </w:rPr>
        <w:t>ABA</w:t>
      </w:r>
      <w:r w:rsidRPr="001E0852">
        <w:rPr>
          <w:rFonts w:cstheme="minorHAnsi"/>
        </w:rPr>
        <w:t xml:space="preserve">, does Mercy Care ever allow us to keep a denial from the primary on file rather than billing every claim to the primary? </w:t>
      </w:r>
      <w:bookmarkEnd w:id="1"/>
    </w:p>
    <w:p w14:paraId="674DA23C" w14:textId="5CA3251C" w:rsidR="00834412" w:rsidRPr="001E0852" w:rsidRDefault="00E84210" w:rsidP="001E0852">
      <w:pPr>
        <w:pStyle w:val="ListParagraph"/>
        <w:numPr>
          <w:ilvl w:val="1"/>
          <w:numId w:val="3"/>
        </w:numPr>
        <w:rPr>
          <w:rFonts w:cstheme="minorHAnsi"/>
        </w:rPr>
      </w:pPr>
      <w:r w:rsidRPr="001E0852">
        <w:rPr>
          <w:rFonts w:cstheme="minorHAnsi"/>
        </w:rPr>
        <w:t>As indicated previously, if no payment is noted from the primary, Mercy Care will pay as primary and request a refund from the primary insurance.  Services encountered to AHCCCS under the pay and chase model are pended with the state, however, until it may be demonstrated that they are not covered by the primary insurance with a denial for the specific services.  This may not be captured with a generic denial from a prior service and must be for the specific DOS on record.</w:t>
      </w:r>
    </w:p>
    <w:p w14:paraId="39CA969D" w14:textId="77777777" w:rsidR="001E0852" w:rsidRDefault="001E0852" w:rsidP="001E0852">
      <w:pPr>
        <w:pStyle w:val="ListParagraph"/>
        <w:ind w:left="360"/>
        <w:rPr>
          <w:rFonts w:cstheme="minorHAnsi"/>
        </w:rPr>
      </w:pPr>
    </w:p>
    <w:p w14:paraId="10483999" w14:textId="42D9D4EE" w:rsidR="008F007B" w:rsidRPr="001E0852" w:rsidRDefault="0039059C" w:rsidP="00834412">
      <w:pPr>
        <w:pStyle w:val="ListParagraph"/>
        <w:numPr>
          <w:ilvl w:val="0"/>
          <w:numId w:val="3"/>
        </w:numPr>
        <w:rPr>
          <w:rFonts w:cstheme="minorHAnsi"/>
        </w:rPr>
      </w:pPr>
      <w:r w:rsidRPr="001E0852">
        <w:rPr>
          <w:rFonts w:cstheme="minorHAnsi"/>
        </w:rPr>
        <w:t xml:space="preserve">Is the </w:t>
      </w:r>
      <w:r w:rsidR="008F007B" w:rsidRPr="001E0852">
        <w:rPr>
          <w:rFonts w:cstheme="minorHAnsi"/>
        </w:rPr>
        <w:t>HP modifier for an AZ LBA BCBA?</w:t>
      </w:r>
    </w:p>
    <w:p w14:paraId="15F64902" w14:textId="37309EE6" w:rsidR="00834412" w:rsidRPr="001E0852" w:rsidRDefault="00146974" w:rsidP="00834412">
      <w:pPr>
        <w:pStyle w:val="ListParagraph"/>
        <w:numPr>
          <w:ilvl w:val="1"/>
          <w:numId w:val="3"/>
        </w:numPr>
        <w:rPr>
          <w:rFonts w:cstheme="minorHAnsi"/>
        </w:rPr>
      </w:pPr>
      <w:r w:rsidRPr="001E0852">
        <w:rPr>
          <w:rFonts w:cstheme="minorHAnsi"/>
        </w:rPr>
        <w:t>No, BCBA-D only</w:t>
      </w:r>
    </w:p>
    <w:p w14:paraId="35766B73" w14:textId="77777777" w:rsidR="001E0852" w:rsidRDefault="001E0852" w:rsidP="001E0852">
      <w:pPr>
        <w:pStyle w:val="ListParagraph"/>
        <w:ind w:left="360"/>
        <w:rPr>
          <w:rFonts w:cstheme="minorHAnsi"/>
        </w:rPr>
      </w:pPr>
    </w:p>
    <w:p w14:paraId="25A5400B" w14:textId="77777777" w:rsidR="001E0852" w:rsidRDefault="001E0852" w:rsidP="001E0852">
      <w:pPr>
        <w:pStyle w:val="ListParagraph"/>
        <w:ind w:left="360"/>
        <w:rPr>
          <w:rFonts w:cstheme="minorHAnsi"/>
        </w:rPr>
      </w:pPr>
    </w:p>
    <w:p w14:paraId="2A9337FD" w14:textId="1B04E3D6" w:rsidR="008F007B" w:rsidRPr="001E0852" w:rsidRDefault="00834412" w:rsidP="00834412">
      <w:pPr>
        <w:pStyle w:val="ListParagraph"/>
        <w:numPr>
          <w:ilvl w:val="0"/>
          <w:numId w:val="3"/>
        </w:numPr>
        <w:rPr>
          <w:rFonts w:cstheme="minorHAnsi"/>
        </w:rPr>
      </w:pPr>
      <w:r w:rsidRPr="001E0852">
        <w:rPr>
          <w:rFonts w:cstheme="minorHAnsi"/>
        </w:rPr>
        <w:lastRenderedPageBreak/>
        <w:t>C</w:t>
      </w:r>
      <w:r w:rsidR="008F007B" w:rsidRPr="001E0852">
        <w:rPr>
          <w:rFonts w:cstheme="minorHAnsi"/>
        </w:rPr>
        <w:t>an</w:t>
      </w:r>
      <w:r w:rsidRPr="001E0852">
        <w:rPr>
          <w:rFonts w:cstheme="minorHAnsi"/>
        </w:rPr>
        <w:t xml:space="preserve"> we</w:t>
      </w:r>
      <w:r w:rsidR="008F007B" w:rsidRPr="001E0852">
        <w:rPr>
          <w:rFonts w:cstheme="minorHAnsi"/>
        </w:rPr>
        <w:t xml:space="preserve"> submit a BCBA to Mercy for credentialing even if they do not have their LBA yet? Will AHCCCS assign a number to a BCBA who is not licensed yet?</w:t>
      </w:r>
      <w:r w:rsidR="008F007B" w:rsidRPr="001E0852">
        <w:rPr>
          <w:rFonts w:cstheme="minorHAnsi"/>
        </w:rPr>
        <w:softHyphen/>
      </w:r>
    </w:p>
    <w:p w14:paraId="682E553F" w14:textId="45D501C6" w:rsidR="00834412" w:rsidRPr="001E0852" w:rsidRDefault="00154F9C" w:rsidP="00834412">
      <w:pPr>
        <w:pStyle w:val="ListParagraph"/>
        <w:numPr>
          <w:ilvl w:val="1"/>
          <w:numId w:val="3"/>
        </w:numPr>
        <w:rPr>
          <w:rFonts w:cstheme="minorHAnsi"/>
        </w:rPr>
      </w:pPr>
      <w:r w:rsidRPr="001E0852">
        <w:rPr>
          <w:rFonts w:cstheme="minorHAnsi"/>
        </w:rPr>
        <w:t xml:space="preserve">No, the BCBA must be licensed and registered with AHCCCS </w:t>
      </w:r>
      <w:proofErr w:type="gramStart"/>
      <w:r w:rsidRPr="001E0852">
        <w:rPr>
          <w:rFonts w:cstheme="minorHAnsi"/>
        </w:rPr>
        <w:t>in order to</w:t>
      </w:r>
      <w:proofErr w:type="gramEnd"/>
      <w:r w:rsidRPr="001E0852">
        <w:rPr>
          <w:rFonts w:cstheme="minorHAnsi"/>
        </w:rPr>
        <w:t xml:space="preserve"> be credentialed with Mercy Care</w:t>
      </w:r>
    </w:p>
    <w:p w14:paraId="5FD54544" w14:textId="77777777" w:rsidR="001E0852" w:rsidRDefault="001E0852" w:rsidP="001E0852">
      <w:pPr>
        <w:pStyle w:val="ListParagraph"/>
        <w:ind w:left="360"/>
        <w:rPr>
          <w:rFonts w:cstheme="minorHAnsi"/>
        </w:rPr>
      </w:pPr>
      <w:bookmarkStart w:id="2" w:name="_Hlk108418045"/>
    </w:p>
    <w:p w14:paraId="4D9736E8" w14:textId="4F969B6B" w:rsidR="001E0852" w:rsidRPr="001E0852" w:rsidRDefault="00834412" w:rsidP="00E84210">
      <w:pPr>
        <w:pStyle w:val="ListParagraph"/>
        <w:numPr>
          <w:ilvl w:val="0"/>
          <w:numId w:val="3"/>
        </w:numPr>
        <w:rPr>
          <w:rFonts w:cstheme="minorHAnsi"/>
        </w:rPr>
      </w:pPr>
      <w:r w:rsidRPr="001E0852">
        <w:rPr>
          <w:rFonts w:cstheme="minorHAnsi"/>
        </w:rPr>
        <w:t>P</w:t>
      </w:r>
      <w:r w:rsidR="008F007B" w:rsidRPr="001E0852">
        <w:rPr>
          <w:rFonts w:cstheme="minorHAnsi"/>
        </w:rPr>
        <w:t>roviders will not be subject to performance audits if they pay and chase for EPSDT</w:t>
      </w:r>
      <w:r w:rsidRPr="001E0852">
        <w:rPr>
          <w:rFonts w:cstheme="minorHAnsi"/>
        </w:rPr>
        <w:t>-</w:t>
      </w:r>
      <w:r w:rsidR="008F007B" w:rsidRPr="001E0852">
        <w:rPr>
          <w:rFonts w:cstheme="minorHAnsi"/>
        </w:rPr>
        <w:t>eligible ABA Services?</w:t>
      </w:r>
      <w:bookmarkEnd w:id="2"/>
    </w:p>
    <w:p w14:paraId="0B5C4C42" w14:textId="5247F8A3" w:rsidR="00834412" w:rsidRPr="001E0852" w:rsidRDefault="00E84210" w:rsidP="00E84210">
      <w:pPr>
        <w:pStyle w:val="ListParagraph"/>
        <w:numPr>
          <w:ilvl w:val="1"/>
          <w:numId w:val="3"/>
        </w:numPr>
        <w:rPr>
          <w:rFonts w:cstheme="minorHAnsi"/>
        </w:rPr>
      </w:pPr>
      <w:r w:rsidRPr="001E0852">
        <w:rPr>
          <w:rFonts w:cstheme="minorHAnsi"/>
        </w:rPr>
        <w:t>There will be no immediate penalties against providers in such instances.  However, routine refusal to submit claims through the primary insurance may result in a referral to the OIG, who will investigate and may take corrective action if deemed inappropriate.</w:t>
      </w:r>
    </w:p>
    <w:p w14:paraId="0C7FE83D" w14:textId="77777777" w:rsidR="001E0852" w:rsidRDefault="001E0852" w:rsidP="001E0852">
      <w:pPr>
        <w:pStyle w:val="ListParagraph"/>
        <w:ind w:left="360"/>
        <w:rPr>
          <w:rFonts w:cstheme="minorHAnsi"/>
        </w:rPr>
      </w:pPr>
    </w:p>
    <w:p w14:paraId="42C2AC0F" w14:textId="13CF230A" w:rsidR="008F007B" w:rsidRPr="001E0852" w:rsidRDefault="008F007B" w:rsidP="00834412">
      <w:pPr>
        <w:pStyle w:val="ListParagraph"/>
        <w:numPr>
          <w:ilvl w:val="0"/>
          <w:numId w:val="3"/>
        </w:numPr>
        <w:rPr>
          <w:rFonts w:cstheme="minorHAnsi"/>
        </w:rPr>
      </w:pPr>
      <w:r w:rsidRPr="001E0852">
        <w:rPr>
          <w:rFonts w:cstheme="minorHAnsi"/>
        </w:rPr>
        <w:t>Should we use the T1016 code to bill for CFT meetings?</w:t>
      </w:r>
    </w:p>
    <w:p w14:paraId="4463A819" w14:textId="20FDC79D" w:rsidR="00834412" w:rsidRPr="001E0852" w:rsidRDefault="00154F9C" w:rsidP="00834412">
      <w:pPr>
        <w:pStyle w:val="ListParagraph"/>
        <w:numPr>
          <w:ilvl w:val="1"/>
          <w:numId w:val="3"/>
        </w:numPr>
        <w:rPr>
          <w:rFonts w:cstheme="minorHAnsi"/>
        </w:rPr>
      </w:pPr>
      <w:r w:rsidRPr="001E0852">
        <w:rPr>
          <w:rFonts w:cstheme="minorHAnsi"/>
        </w:rPr>
        <w:t xml:space="preserve">Yes </w:t>
      </w:r>
    </w:p>
    <w:p w14:paraId="081DB198" w14:textId="7632D913" w:rsidR="001E0852" w:rsidRDefault="001E0852" w:rsidP="001E0852">
      <w:pPr>
        <w:pStyle w:val="ListParagraph"/>
        <w:ind w:left="360"/>
        <w:rPr>
          <w:rFonts w:cstheme="minorHAnsi"/>
        </w:rPr>
      </w:pPr>
    </w:p>
    <w:p w14:paraId="24A03706" w14:textId="21FD2914" w:rsidR="008F007B" w:rsidRPr="001E0852" w:rsidRDefault="008F007B" w:rsidP="00834412">
      <w:pPr>
        <w:pStyle w:val="ListParagraph"/>
        <w:numPr>
          <w:ilvl w:val="0"/>
          <w:numId w:val="3"/>
        </w:numPr>
        <w:rPr>
          <w:rFonts w:cstheme="minorHAnsi"/>
        </w:rPr>
      </w:pPr>
      <w:r w:rsidRPr="001E0852">
        <w:rPr>
          <w:rFonts w:cstheme="minorHAnsi"/>
        </w:rPr>
        <w:t xml:space="preserve">How is a non LBA BCBA using the HO modifier able to bill if they are unable to be credentialed?  </w:t>
      </w:r>
    </w:p>
    <w:p w14:paraId="21102438" w14:textId="033B1BD2" w:rsidR="00834412" w:rsidRPr="001E0852" w:rsidRDefault="001E0852" w:rsidP="00834412">
      <w:pPr>
        <w:pStyle w:val="ListParagraph"/>
        <w:numPr>
          <w:ilvl w:val="1"/>
          <w:numId w:val="3"/>
        </w:numPr>
        <w:rPr>
          <w:rFonts w:cstheme="minorHAnsi"/>
        </w:rPr>
      </w:pPr>
      <w:r w:rsidRPr="001E0852">
        <w:rPr>
          <w:rFonts w:eastAsia="Times New Roman" w:cstheme="minorHAnsi"/>
        </w:rPr>
        <w:t xml:space="preserve">You only bill with a licensed BCBA so anyone licensed with a </w:t>
      </w:r>
      <w:r w:rsidR="00E0071D" w:rsidRPr="001E0852">
        <w:rPr>
          <w:rFonts w:eastAsia="Times New Roman" w:cstheme="minorHAnsi"/>
        </w:rPr>
        <w:t>master’s</w:t>
      </w:r>
      <w:r w:rsidRPr="001E0852">
        <w:rPr>
          <w:rFonts w:eastAsia="Times New Roman" w:cstheme="minorHAnsi"/>
        </w:rPr>
        <w:t xml:space="preserve"> level degree who is AHCCCS registered can use the H) Modifier.</w:t>
      </w:r>
    </w:p>
    <w:p w14:paraId="08BFB86B" w14:textId="77777777" w:rsidR="001E0852" w:rsidRDefault="001E0852" w:rsidP="001E0852">
      <w:pPr>
        <w:pStyle w:val="ListParagraph"/>
        <w:ind w:left="360"/>
        <w:rPr>
          <w:rFonts w:cstheme="minorHAnsi"/>
        </w:rPr>
      </w:pPr>
    </w:p>
    <w:p w14:paraId="4834D66C" w14:textId="17BEAB56" w:rsidR="008F007B" w:rsidRPr="001E0852" w:rsidRDefault="0039059C" w:rsidP="00834412">
      <w:pPr>
        <w:pStyle w:val="ListParagraph"/>
        <w:numPr>
          <w:ilvl w:val="0"/>
          <w:numId w:val="3"/>
        </w:numPr>
        <w:rPr>
          <w:rFonts w:cstheme="minorHAnsi"/>
        </w:rPr>
      </w:pPr>
      <w:r w:rsidRPr="001E0852">
        <w:rPr>
          <w:rFonts w:cstheme="minorHAnsi"/>
        </w:rPr>
        <w:t>C</w:t>
      </w:r>
      <w:r w:rsidR="008F007B" w:rsidRPr="001E0852">
        <w:rPr>
          <w:rFonts w:cstheme="minorHAnsi"/>
        </w:rPr>
        <w:t>an</w:t>
      </w:r>
      <w:r w:rsidRPr="001E0852">
        <w:rPr>
          <w:rFonts w:cstheme="minorHAnsi"/>
        </w:rPr>
        <w:t xml:space="preserve"> T1016</w:t>
      </w:r>
      <w:r w:rsidR="008F007B" w:rsidRPr="001E0852">
        <w:rPr>
          <w:rFonts w:cstheme="minorHAnsi"/>
        </w:rPr>
        <w:t xml:space="preserve"> be billed by an RBT? </w:t>
      </w:r>
    </w:p>
    <w:p w14:paraId="4F8B6871" w14:textId="37E018A7" w:rsidR="00834412" w:rsidRPr="001E0852" w:rsidRDefault="00146974" w:rsidP="00834412">
      <w:pPr>
        <w:pStyle w:val="ListParagraph"/>
        <w:numPr>
          <w:ilvl w:val="1"/>
          <w:numId w:val="3"/>
        </w:numPr>
        <w:rPr>
          <w:rFonts w:cstheme="minorHAnsi"/>
        </w:rPr>
      </w:pPr>
      <w:r w:rsidRPr="001E0852">
        <w:rPr>
          <w:rFonts w:cstheme="minorHAnsi"/>
        </w:rPr>
        <w:t>Yes, make sure the provider is aware of the allowable codes per provider type.</w:t>
      </w:r>
    </w:p>
    <w:p w14:paraId="6BB1F667" w14:textId="77777777" w:rsidR="001E0852" w:rsidRDefault="001E0852" w:rsidP="001E0852">
      <w:pPr>
        <w:pStyle w:val="ListParagraph"/>
        <w:ind w:left="360"/>
        <w:rPr>
          <w:rFonts w:cstheme="minorHAnsi"/>
        </w:rPr>
      </w:pPr>
    </w:p>
    <w:p w14:paraId="0EF32D04" w14:textId="3E12A0DC" w:rsidR="008F007B" w:rsidRPr="001E0852" w:rsidRDefault="0039059C" w:rsidP="00834412">
      <w:pPr>
        <w:pStyle w:val="ListParagraph"/>
        <w:numPr>
          <w:ilvl w:val="0"/>
          <w:numId w:val="3"/>
        </w:numPr>
        <w:rPr>
          <w:rFonts w:cstheme="minorHAnsi"/>
        </w:rPr>
      </w:pPr>
      <w:r w:rsidRPr="001E0852">
        <w:rPr>
          <w:rFonts w:cstheme="minorHAnsi"/>
        </w:rPr>
        <w:t>M</w:t>
      </w:r>
      <w:r w:rsidR="008F007B" w:rsidRPr="001E0852">
        <w:rPr>
          <w:rFonts w:cstheme="minorHAnsi"/>
        </w:rPr>
        <w:t>odifier HP</w:t>
      </w:r>
      <w:r w:rsidRPr="001E0852">
        <w:rPr>
          <w:rFonts w:cstheme="minorHAnsi"/>
        </w:rPr>
        <w:t xml:space="preserve">, </w:t>
      </w:r>
      <w:r w:rsidR="008F007B" w:rsidRPr="001E0852">
        <w:rPr>
          <w:rFonts w:cstheme="minorHAnsi"/>
        </w:rPr>
        <w:t>is for a BCB</w:t>
      </w:r>
      <w:r w:rsidR="00834412" w:rsidRPr="001E0852">
        <w:rPr>
          <w:rFonts w:cstheme="minorHAnsi"/>
        </w:rPr>
        <w:t>A</w:t>
      </w:r>
      <w:r w:rsidR="008F007B" w:rsidRPr="001E0852">
        <w:rPr>
          <w:rFonts w:cstheme="minorHAnsi"/>
        </w:rPr>
        <w:t xml:space="preserve"> with an LBA and</w:t>
      </w:r>
      <w:r w:rsidR="00834412" w:rsidRPr="001E0852">
        <w:rPr>
          <w:rFonts w:cstheme="minorHAnsi"/>
        </w:rPr>
        <w:t>/</w:t>
      </w:r>
      <w:r w:rsidR="008F007B" w:rsidRPr="001E0852">
        <w:rPr>
          <w:rFonts w:cstheme="minorHAnsi"/>
        </w:rPr>
        <w:t>or a doctorate degree</w:t>
      </w:r>
      <w:r w:rsidRPr="001E0852">
        <w:rPr>
          <w:rFonts w:cstheme="minorHAnsi"/>
        </w:rPr>
        <w:t>, o</w:t>
      </w:r>
      <w:r w:rsidR="008F007B" w:rsidRPr="001E0852">
        <w:rPr>
          <w:rFonts w:cstheme="minorHAnsi"/>
        </w:rPr>
        <w:t>r only a doctorate degree?</w:t>
      </w:r>
    </w:p>
    <w:p w14:paraId="5C237E84" w14:textId="47F42E1C" w:rsidR="00834412" w:rsidRPr="001E0852" w:rsidRDefault="00146974" w:rsidP="00834412">
      <w:pPr>
        <w:pStyle w:val="ListParagraph"/>
        <w:numPr>
          <w:ilvl w:val="1"/>
          <w:numId w:val="3"/>
        </w:numPr>
        <w:rPr>
          <w:rFonts w:cstheme="minorHAnsi"/>
        </w:rPr>
      </w:pPr>
      <w:r w:rsidRPr="001E0852">
        <w:rPr>
          <w:rFonts w:cstheme="minorHAnsi"/>
        </w:rPr>
        <w:t>Only doctorate</w:t>
      </w:r>
    </w:p>
    <w:p w14:paraId="2892FB34" w14:textId="77777777" w:rsidR="001E0852" w:rsidRDefault="001E0852" w:rsidP="001E0852">
      <w:pPr>
        <w:pStyle w:val="ListParagraph"/>
        <w:ind w:left="360"/>
        <w:rPr>
          <w:rFonts w:cstheme="minorHAnsi"/>
        </w:rPr>
      </w:pPr>
    </w:p>
    <w:p w14:paraId="515B7FC7" w14:textId="2546CF7F" w:rsidR="008F007B" w:rsidRPr="001E0852" w:rsidRDefault="008F007B" w:rsidP="00834412">
      <w:pPr>
        <w:pStyle w:val="ListParagraph"/>
        <w:numPr>
          <w:ilvl w:val="0"/>
          <w:numId w:val="3"/>
        </w:numPr>
        <w:rPr>
          <w:rFonts w:cstheme="minorHAnsi"/>
        </w:rPr>
      </w:pPr>
      <w:r w:rsidRPr="001E0852">
        <w:rPr>
          <w:rFonts w:cstheme="minorHAnsi"/>
        </w:rPr>
        <w:t>Will telehealth services for 97155</w:t>
      </w:r>
      <w:r w:rsidR="00834412" w:rsidRPr="001E0852">
        <w:rPr>
          <w:rFonts w:cstheme="minorHAnsi"/>
        </w:rPr>
        <w:t xml:space="preserve"> and </w:t>
      </w:r>
      <w:r w:rsidRPr="001E0852">
        <w:rPr>
          <w:rFonts w:cstheme="minorHAnsi"/>
        </w:rPr>
        <w:t>97156 continue once the federal health</w:t>
      </w:r>
      <w:r w:rsidR="00834412" w:rsidRPr="001E0852">
        <w:rPr>
          <w:rFonts w:cstheme="minorHAnsi"/>
        </w:rPr>
        <w:t xml:space="preserve"> </w:t>
      </w:r>
      <w:r w:rsidRPr="001E0852">
        <w:rPr>
          <w:rFonts w:cstheme="minorHAnsi"/>
        </w:rPr>
        <w:t>emergency ends?</w:t>
      </w:r>
    </w:p>
    <w:p w14:paraId="5BFAC67A" w14:textId="7BC26371" w:rsidR="00834412" w:rsidRPr="001E0852" w:rsidRDefault="00154F9C" w:rsidP="001E0852">
      <w:pPr>
        <w:pStyle w:val="ListParagraph"/>
        <w:numPr>
          <w:ilvl w:val="1"/>
          <w:numId w:val="3"/>
        </w:numPr>
        <w:rPr>
          <w:rFonts w:cstheme="minorHAnsi"/>
        </w:rPr>
      </w:pPr>
      <w:r w:rsidRPr="001E0852">
        <w:rPr>
          <w:rFonts w:cstheme="minorHAnsi"/>
        </w:rPr>
        <w:t xml:space="preserve">We do not know what codes AHCCCS will and will not allow once the federal health emergency ends.  As soon as AHCCCS lets us know, we will update providers. </w:t>
      </w:r>
    </w:p>
    <w:p w14:paraId="21B44CC7" w14:textId="77777777" w:rsidR="001E0852" w:rsidRDefault="001E0852" w:rsidP="001E0852">
      <w:pPr>
        <w:pStyle w:val="ListParagraph"/>
        <w:ind w:left="360"/>
        <w:rPr>
          <w:rFonts w:cstheme="minorHAnsi"/>
        </w:rPr>
      </w:pPr>
    </w:p>
    <w:p w14:paraId="4780A4AA" w14:textId="29BBB8FB" w:rsidR="00834412" w:rsidRPr="001E0852" w:rsidRDefault="0039059C" w:rsidP="00834412">
      <w:pPr>
        <w:pStyle w:val="ListParagraph"/>
        <w:numPr>
          <w:ilvl w:val="0"/>
          <w:numId w:val="3"/>
        </w:numPr>
        <w:rPr>
          <w:rFonts w:cstheme="minorHAnsi"/>
        </w:rPr>
      </w:pPr>
      <w:r w:rsidRPr="001E0852">
        <w:rPr>
          <w:rFonts w:cstheme="minorHAnsi"/>
        </w:rPr>
        <w:t>The updates made under the ABA Tier Model slide states "BCBA-D &amp; LBA" utilize education Modifier HP. Does this mean that a Board-Certified Behavior Analyst (BCBA) who is also a Licensed Behavior Analyst (LBA) in the state of Arizona can bill with the same HP Modifier as a Board-Certified Behavior Analyst-Doctorate (BCBA-D)? Or does this education modifier (HP) solely apply for Doctorate-level providers (BCBA-Ds who are also LBAs)? </w:t>
      </w:r>
    </w:p>
    <w:p w14:paraId="4C8013A4" w14:textId="30D91C43" w:rsidR="0039059C" w:rsidRPr="001E0852" w:rsidRDefault="00146974" w:rsidP="0039059C">
      <w:pPr>
        <w:pStyle w:val="ListParagraph"/>
        <w:numPr>
          <w:ilvl w:val="1"/>
          <w:numId w:val="3"/>
        </w:numPr>
        <w:rPr>
          <w:rFonts w:cstheme="minorHAnsi"/>
        </w:rPr>
      </w:pPr>
      <w:r w:rsidRPr="001E0852">
        <w:rPr>
          <w:rFonts w:cstheme="minorHAnsi"/>
        </w:rPr>
        <w:t>HP is only for doctorate staff.</w:t>
      </w:r>
    </w:p>
    <w:p w14:paraId="11F79DDE" w14:textId="77777777" w:rsidR="001E0852" w:rsidRDefault="001E0852" w:rsidP="001E0852">
      <w:pPr>
        <w:pStyle w:val="ListParagraph"/>
        <w:ind w:left="360"/>
        <w:rPr>
          <w:rFonts w:cstheme="minorHAnsi"/>
        </w:rPr>
      </w:pPr>
    </w:p>
    <w:p w14:paraId="2B8AED2E" w14:textId="1CF22EBC" w:rsidR="0039059C" w:rsidRPr="001E0852" w:rsidRDefault="0039059C" w:rsidP="0039059C">
      <w:pPr>
        <w:pStyle w:val="ListParagraph"/>
        <w:numPr>
          <w:ilvl w:val="0"/>
          <w:numId w:val="3"/>
        </w:numPr>
        <w:rPr>
          <w:rFonts w:cstheme="minorHAnsi"/>
        </w:rPr>
      </w:pPr>
      <w:r w:rsidRPr="001E0852">
        <w:rPr>
          <w:rFonts w:cstheme="minorHAnsi"/>
        </w:rPr>
        <w:t>Can you confirm that HP can be used for a licensed BCBA, and HO can be used for an unlicensed BCBA?</w:t>
      </w:r>
    </w:p>
    <w:p w14:paraId="52F4CD79" w14:textId="79DB247E" w:rsidR="0039059C" w:rsidRPr="001E0852" w:rsidRDefault="00146974" w:rsidP="0039059C">
      <w:pPr>
        <w:pStyle w:val="ListParagraph"/>
        <w:numPr>
          <w:ilvl w:val="1"/>
          <w:numId w:val="3"/>
        </w:numPr>
        <w:rPr>
          <w:rFonts w:cstheme="minorHAnsi"/>
        </w:rPr>
      </w:pPr>
      <w:r w:rsidRPr="001E0852">
        <w:rPr>
          <w:rFonts w:cstheme="minorHAnsi"/>
        </w:rPr>
        <w:t>HP is doctorate, and HO will be for LBA</w:t>
      </w:r>
    </w:p>
    <w:sectPr w:rsidR="0039059C" w:rsidRPr="001E08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135E" w14:textId="77777777" w:rsidR="0051302E" w:rsidRDefault="0051302E" w:rsidP="008F007B">
      <w:pPr>
        <w:spacing w:after="0" w:line="240" w:lineRule="auto"/>
      </w:pPr>
      <w:r>
        <w:separator/>
      </w:r>
    </w:p>
  </w:endnote>
  <w:endnote w:type="continuationSeparator" w:id="0">
    <w:p w14:paraId="374B1712" w14:textId="77777777" w:rsidR="0051302E" w:rsidRDefault="0051302E" w:rsidP="008F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34FD" w14:textId="77777777" w:rsidR="0051302E" w:rsidRDefault="0051302E" w:rsidP="008F007B">
      <w:pPr>
        <w:spacing w:after="0" w:line="240" w:lineRule="auto"/>
      </w:pPr>
      <w:r>
        <w:separator/>
      </w:r>
    </w:p>
  </w:footnote>
  <w:footnote w:type="continuationSeparator" w:id="0">
    <w:p w14:paraId="7F5EF381" w14:textId="77777777" w:rsidR="0051302E" w:rsidRDefault="0051302E" w:rsidP="008F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5BEA" w14:textId="1AB9EF6F" w:rsidR="008F007B" w:rsidRDefault="008F007B" w:rsidP="008F007B">
    <w:pPr>
      <w:pStyle w:val="Header"/>
      <w:jc w:val="right"/>
    </w:pPr>
    <w:r>
      <w:rPr>
        <w:noProof/>
      </w:rPr>
      <w:drawing>
        <wp:inline distT="0" distB="0" distL="0" distR="0" wp14:anchorId="6A232F9E" wp14:editId="2B814059">
          <wp:extent cx="792098" cy="457200"/>
          <wp:effectExtent l="0" t="0" r="825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09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788"/>
    <w:multiLevelType w:val="hybridMultilevel"/>
    <w:tmpl w:val="1120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531DB"/>
    <w:multiLevelType w:val="hybridMultilevel"/>
    <w:tmpl w:val="CDC23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66740"/>
    <w:multiLevelType w:val="hybridMultilevel"/>
    <w:tmpl w:val="97C4A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1A08F0"/>
    <w:multiLevelType w:val="hybridMultilevel"/>
    <w:tmpl w:val="2AD23FDA"/>
    <w:lvl w:ilvl="0" w:tplc="7EF87E5C">
      <w:start w:val="1"/>
      <w:numFmt w:val="bullet"/>
      <w:lvlText w:val="Q"/>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321992"/>
    <w:multiLevelType w:val="hybridMultilevel"/>
    <w:tmpl w:val="800A9B30"/>
    <w:lvl w:ilvl="0" w:tplc="7EF87E5C">
      <w:start w:val="1"/>
      <w:numFmt w:val="bullet"/>
      <w:lvlText w:val="Q"/>
      <w:lvlJc w:val="left"/>
      <w:pPr>
        <w:ind w:left="360" w:hanging="360"/>
      </w:pPr>
      <w:rPr>
        <w:rFonts w:ascii="Calibri" w:hAnsi="Calibri" w:hint="default"/>
      </w:rPr>
    </w:lvl>
    <w:lvl w:ilvl="1" w:tplc="BB263A64">
      <w:start w:val="1"/>
      <w:numFmt w:val="bullet"/>
      <w:lvlText w:val="A"/>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7B"/>
    <w:rsid w:val="00146974"/>
    <w:rsid w:val="00150946"/>
    <w:rsid w:val="00154F9C"/>
    <w:rsid w:val="001E0852"/>
    <w:rsid w:val="0039059C"/>
    <w:rsid w:val="0051302E"/>
    <w:rsid w:val="00732BD2"/>
    <w:rsid w:val="00834412"/>
    <w:rsid w:val="008F007B"/>
    <w:rsid w:val="00E0071D"/>
    <w:rsid w:val="00E84210"/>
    <w:rsid w:val="00E9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32951"/>
  <w15:chartTrackingRefBased/>
  <w15:docId w15:val="{CA7F6976-B79D-467D-BA73-D55FE0CD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7B"/>
  </w:style>
  <w:style w:type="paragraph" w:styleId="Footer">
    <w:name w:val="footer"/>
    <w:basedOn w:val="Normal"/>
    <w:link w:val="FooterChar"/>
    <w:uiPriority w:val="99"/>
    <w:unhideWhenUsed/>
    <w:rsid w:val="008F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7B"/>
  </w:style>
  <w:style w:type="paragraph" w:styleId="Title">
    <w:name w:val="Title"/>
    <w:basedOn w:val="Normal"/>
    <w:next w:val="Normal"/>
    <w:link w:val="TitleChar"/>
    <w:uiPriority w:val="10"/>
    <w:qFormat/>
    <w:rsid w:val="008F0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7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F0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12848">
      <w:bodyDiv w:val="1"/>
      <w:marLeft w:val="0"/>
      <w:marRight w:val="0"/>
      <w:marTop w:val="0"/>
      <w:marBottom w:val="0"/>
      <w:divBdr>
        <w:top w:val="none" w:sz="0" w:space="0" w:color="auto"/>
        <w:left w:val="none" w:sz="0" w:space="0" w:color="auto"/>
        <w:bottom w:val="none" w:sz="0" w:space="0" w:color="auto"/>
        <w:right w:val="none" w:sz="0" w:space="0" w:color="auto"/>
      </w:divBdr>
    </w:div>
    <w:div w:id="823469614">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476602920">
      <w:bodyDiv w:val="1"/>
      <w:marLeft w:val="0"/>
      <w:marRight w:val="0"/>
      <w:marTop w:val="0"/>
      <w:marBottom w:val="0"/>
      <w:divBdr>
        <w:top w:val="none" w:sz="0" w:space="0" w:color="auto"/>
        <w:left w:val="none" w:sz="0" w:space="0" w:color="auto"/>
        <w:bottom w:val="none" w:sz="0" w:space="0" w:color="auto"/>
        <w:right w:val="none" w:sz="0" w:space="0" w:color="auto"/>
      </w:divBdr>
    </w:div>
    <w:div w:id="16219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A1079D53D1148A7903EA02AC1B258" ma:contentTypeVersion="12" ma:contentTypeDescription="Create a new document." ma:contentTypeScope="" ma:versionID="7129cf675616408098e120b661054240">
  <xsd:schema xmlns:xsd="http://www.w3.org/2001/XMLSchema" xmlns:xs="http://www.w3.org/2001/XMLSchema" xmlns:p="http://schemas.microsoft.com/office/2006/metadata/properties" xmlns:ns2="2027f573-3115-4200-add2-e51daa8d5a36" xmlns:ns3="883440e4-687f-4122-b145-cdb7ca6f67f1" targetNamespace="http://schemas.microsoft.com/office/2006/metadata/properties" ma:root="true" ma:fieldsID="39eec623333701f6fa7b2ebcc0beca73" ns2:_="" ns3:_="">
    <xsd:import namespace="2027f573-3115-4200-add2-e51daa8d5a36"/>
    <xsd:import namespace="883440e4-687f-4122-b145-cdb7ca6f6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7f573-3115-4200-add2-e51daa8d5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3440e4-687f-4122-b145-cdb7ca6f67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62248-530E-4087-B460-49CB9F355324}">
  <ds:schemaRefs>
    <ds:schemaRef ds:uri="http://schemas.microsoft.com/sharepoint/v3/contenttype/forms"/>
  </ds:schemaRefs>
</ds:datastoreItem>
</file>

<file path=customXml/itemProps2.xml><?xml version="1.0" encoding="utf-8"?>
<ds:datastoreItem xmlns:ds="http://schemas.openxmlformats.org/officeDocument/2006/customXml" ds:itemID="{5D64D638-1A6D-4AA0-BC70-7D821F00F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7f573-3115-4200-add2-e51daa8d5a36"/>
    <ds:schemaRef ds:uri="883440e4-687f-4122-b145-cdb7ca6f6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2A224-DE8C-4A2F-8156-9F563EFB9758}">
  <ds:schemaRefs>
    <ds:schemaRef ds:uri="2027f573-3115-4200-add2-e51daa8d5a36"/>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83440e4-687f-4122-b145-cdb7ca6f67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Daffern, Tara</dc:creator>
  <cp:keywords/>
  <dc:description/>
  <cp:lastModifiedBy>Daffern, Tara</cp:lastModifiedBy>
  <cp:revision>2</cp:revision>
  <dcterms:created xsi:type="dcterms:W3CDTF">2022-08-10T19:29:00Z</dcterms:created>
  <dcterms:modified xsi:type="dcterms:W3CDTF">2022-08-10T19:29:00Z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2022-07-08T19:05:06Z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96beaffb-aeb0-44bb-879d-2b9887578512</vt:lpwstr>
  </property>
  <property fmtid="{D5CDD505-2E9C-101B-9397-08002B2CF9AE}" pid="8" name="MSIP_Label_67599526-06ca-49cc-9fa9-5307800a949a_ContentBits">
    <vt:lpwstr>0</vt:lpwstr>
  </property>
  <property fmtid="{D5CDD505-2E9C-101B-9397-08002B2CF9AE}" pid="9" name="ContentTypeId">
    <vt:lpwstr>0x0101007A1A1079D53D1148A7903EA02AC1B258</vt:lpwstr>
  </property>
</Properties>
</file>