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36B10" w14:textId="1A11C19E" w:rsidR="00F376B8" w:rsidRPr="00634078" w:rsidRDefault="00F376B8">
      <w:pPr>
        <w:rPr>
          <w:sz w:val="32"/>
        </w:rPr>
      </w:pPr>
      <w:r w:rsidRPr="00634078">
        <w:rPr>
          <w:sz w:val="32"/>
        </w:rPr>
        <w:t>QU</w:t>
      </w:r>
      <w:r w:rsidR="00D33E7F">
        <w:rPr>
          <w:sz w:val="32"/>
        </w:rPr>
        <w:t>AL</w:t>
      </w:r>
      <w:r w:rsidRPr="00634078">
        <w:rPr>
          <w:sz w:val="32"/>
        </w:rPr>
        <w:t>IFIED OPPORTUNITY ZONE / FUND INVESTING TAX BENEFITS</w:t>
      </w:r>
    </w:p>
    <w:p w14:paraId="1EF2F6A2" w14:textId="7E5DADA1" w:rsidR="00F376B8" w:rsidRDefault="00F376B8">
      <w:r>
        <w:t xml:space="preserve">Presented by: </w:t>
      </w:r>
      <w:r w:rsidRPr="00634078">
        <w:rPr>
          <w:b/>
          <w:bCs/>
          <w:sz w:val="32"/>
          <w:szCs w:val="32"/>
        </w:rPr>
        <w:t>Carl Mankowski, CPA/MBA</w:t>
      </w:r>
    </w:p>
    <w:p w14:paraId="6FD1B437" w14:textId="0EF5870D" w:rsidR="00F376B8" w:rsidRPr="00634078" w:rsidRDefault="00F376B8">
      <w:pPr>
        <w:rPr>
          <w:b/>
          <w:bCs/>
          <w:sz w:val="32"/>
          <w:szCs w:val="32"/>
        </w:rPr>
      </w:pPr>
      <w:r w:rsidRPr="00634078">
        <w:rPr>
          <w:b/>
          <w:bCs/>
          <w:sz w:val="32"/>
          <w:szCs w:val="32"/>
        </w:rPr>
        <w:t>301-760-6856</w:t>
      </w:r>
    </w:p>
    <w:p w14:paraId="56A55868" w14:textId="66E6C2E5" w:rsidR="00F376B8" w:rsidRPr="00634078" w:rsidRDefault="00D33E7F">
      <w:pPr>
        <w:rPr>
          <w:b/>
          <w:bCs/>
          <w:sz w:val="32"/>
          <w:szCs w:val="32"/>
        </w:rPr>
      </w:pPr>
      <w:hyperlink r:id="rId7" w:history="1">
        <w:r w:rsidR="00F376B8" w:rsidRPr="00634078">
          <w:rPr>
            <w:rStyle w:val="Hyperlink"/>
            <w:b/>
            <w:bCs/>
            <w:sz w:val="32"/>
            <w:szCs w:val="32"/>
          </w:rPr>
          <w:t>REIACPA@gmail.com</w:t>
        </w:r>
      </w:hyperlink>
    </w:p>
    <w:p w14:paraId="1F6F164D" w14:textId="66D31789" w:rsidR="00601EAF" w:rsidRDefault="00D33E7F">
      <w:hyperlink r:id="rId8" w:history="1">
        <w:r w:rsidR="00C26F67" w:rsidRPr="00C26F67">
          <w:rPr>
            <w:rStyle w:val="Hyperlink"/>
          </w:rPr>
          <w:t>Opportunity zone - Wikipedia</w:t>
        </w:r>
      </w:hyperlink>
      <w:r w:rsidR="00F376B8">
        <w:t xml:space="preserve"> (link to article excerpts below)</w:t>
      </w:r>
    </w:p>
    <w:p w14:paraId="093A2A8E" w14:textId="77777777" w:rsidR="00C26F67" w:rsidRPr="00C26F67" w:rsidRDefault="00C26F67" w:rsidP="00C26F67">
      <w:r w:rsidRPr="00C26F67">
        <w:t>An </w:t>
      </w:r>
      <w:r w:rsidRPr="00C26F67">
        <w:rPr>
          <w:b/>
          <w:bCs/>
        </w:rPr>
        <w:t>Opportunity Zone</w:t>
      </w:r>
      <w:r w:rsidRPr="00C26F67">
        <w:t> is a designation and investment program created by the </w:t>
      </w:r>
      <w:hyperlink r:id="rId9" w:tooltip="Tax Cuts and Jobs Act of 2017" w:history="1">
        <w:r w:rsidRPr="00C26F67">
          <w:rPr>
            <w:rStyle w:val="Hyperlink"/>
          </w:rPr>
          <w:t>Tax Cuts and Jobs Act of 2017</w:t>
        </w:r>
      </w:hyperlink>
      <w:r w:rsidRPr="00C26F67">
        <w:t> allowing for certain investments in lower income areas to have tax advantages. The purpose of this program is to put capital to work that would otherwise be locked up due to the asset holder's unwillingness to trigger a </w:t>
      </w:r>
      <w:hyperlink r:id="rId10" w:tooltip="Capital gains tax" w:history="1">
        <w:r w:rsidRPr="00C26F67">
          <w:rPr>
            <w:rStyle w:val="Hyperlink"/>
          </w:rPr>
          <w:t>capital gains tax</w:t>
        </w:r>
      </w:hyperlink>
      <w:r w:rsidRPr="00C26F67">
        <w:t>.</w:t>
      </w:r>
      <w:hyperlink r:id="rId11" w:anchor="cite_note-arixa-1" w:history="1">
        <w:r w:rsidRPr="00C26F67">
          <w:rPr>
            <w:rStyle w:val="Hyperlink"/>
            <w:vertAlign w:val="superscript"/>
          </w:rPr>
          <w:t>[1]</w:t>
        </w:r>
      </w:hyperlink>
    </w:p>
    <w:p w14:paraId="177F4F7F" w14:textId="77777777" w:rsidR="00C26F67" w:rsidRPr="00C26F67" w:rsidRDefault="00C26F67" w:rsidP="00C26F67">
      <w:pPr>
        <w:rPr>
          <w:b/>
          <w:bCs/>
        </w:rPr>
      </w:pPr>
      <w:r w:rsidRPr="00C26F67">
        <w:rPr>
          <w:b/>
          <w:bCs/>
        </w:rPr>
        <w:t>History</w:t>
      </w:r>
    </w:p>
    <w:p w14:paraId="0A1980AC" w14:textId="77777777" w:rsidR="00C26F67" w:rsidRPr="00C26F67" w:rsidRDefault="00C26F67" w:rsidP="00C26F67">
      <w:r w:rsidRPr="00C26F67">
        <w:t>[</w:t>
      </w:r>
      <w:hyperlink r:id="rId12" w:tooltip="Edit section: History" w:history="1">
        <w:r w:rsidRPr="00C26F67">
          <w:rPr>
            <w:rStyle w:val="Hyperlink"/>
          </w:rPr>
          <w:t>edit</w:t>
        </w:r>
      </w:hyperlink>
      <w:r w:rsidRPr="00C26F67">
        <w:t>]</w:t>
      </w:r>
    </w:p>
    <w:p w14:paraId="0F6A0F8B" w14:textId="77777777" w:rsidR="00C26F67" w:rsidRPr="00C26F67" w:rsidRDefault="00C26F67" w:rsidP="00C26F67">
      <w:r w:rsidRPr="00C26F67">
        <w:t>Opportunity Zones were proposed by </w:t>
      </w:r>
      <w:hyperlink r:id="rId13" w:tooltip="United States Senate" w:history="1">
        <w:r w:rsidRPr="00C26F67">
          <w:rPr>
            <w:rStyle w:val="Hyperlink"/>
          </w:rPr>
          <w:t>Senators</w:t>
        </w:r>
      </w:hyperlink>
      <w:r w:rsidRPr="00C26F67">
        <w:t> </w:t>
      </w:r>
      <w:hyperlink r:id="rId14" w:tooltip="Tim Scott" w:history="1">
        <w:r w:rsidRPr="00C26F67">
          <w:rPr>
            <w:rStyle w:val="Hyperlink"/>
          </w:rPr>
          <w:t>Tim Scott</w:t>
        </w:r>
      </w:hyperlink>
      <w:r w:rsidRPr="00C26F67">
        <w:t>, </w:t>
      </w:r>
      <w:hyperlink r:id="rId15" w:tooltip="Cory Booker" w:history="1">
        <w:r w:rsidRPr="00C26F67">
          <w:rPr>
            <w:rStyle w:val="Hyperlink"/>
          </w:rPr>
          <w:t>Cory Booker</w:t>
        </w:r>
      </w:hyperlink>
      <w:r w:rsidRPr="00C26F67">
        <w:t>, and </w:t>
      </w:r>
      <w:hyperlink r:id="rId16" w:tooltip="United States House of Representatives" w:history="1">
        <w:r w:rsidRPr="00C26F67">
          <w:rPr>
            <w:rStyle w:val="Hyperlink"/>
          </w:rPr>
          <w:t>Representatives</w:t>
        </w:r>
      </w:hyperlink>
      <w:r w:rsidRPr="00C26F67">
        <w:t> </w:t>
      </w:r>
      <w:hyperlink r:id="rId17" w:tooltip="Ron Kind" w:history="1">
        <w:r w:rsidRPr="00C26F67">
          <w:rPr>
            <w:rStyle w:val="Hyperlink"/>
          </w:rPr>
          <w:t>Ron Kind</w:t>
        </w:r>
      </w:hyperlink>
      <w:r w:rsidRPr="00C26F67">
        <w:t>, </w:t>
      </w:r>
      <w:hyperlink r:id="rId18" w:tooltip="Pat Tiberi" w:history="1">
        <w:r w:rsidRPr="00C26F67">
          <w:rPr>
            <w:rStyle w:val="Hyperlink"/>
          </w:rPr>
          <w:t>Pat Tiberi</w:t>
        </w:r>
      </w:hyperlink>
      <w:hyperlink r:id="rId19" w:anchor="cite_note-2" w:history="1">
        <w:r w:rsidRPr="00C26F67">
          <w:rPr>
            <w:rStyle w:val="Hyperlink"/>
            <w:vertAlign w:val="superscript"/>
          </w:rPr>
          <w:t>[2]</w:t>
        </w:r>
      </w:hyperlink>
      <w:r w:rsidRPr="00C26F67">
        <w:t> and supported by </w:t>
      </w:r>
      <w:hyperlink r:id="rId20" w:tooltip="Sean Parker" w:history="1">
        <w:r w:rsidRPr="00C26F67">
          <w:rPr>
            <w:rStyle w:val="Hyperlink"/>
          </w:rPr>
          <w:t>Sean Parker</w:t>
        </w:r>
      </w:hyperlink>
      <w:r w:rsidRPr="00C26F67">
        <w:t>'s </w:t>
      </w:r>
      <w:hyperlink r:id="rId21" w:tooltip="Economic Innovation Group (page does not exist)" w:history="1">
        <w:r w:rsidRPr="00C26F67">
          <w:rPr>
            <w:rStyle w:val="Hyperlink"/>
          </w:rPr>
          <w:t>Economic Innovation Group</w:t>
        </w:r>
      </w:hyperlink>
      <w:r w:rsidRPr="00C26F67">
        <w:t>.</w:t>
      </w:r>
      <w:hyperlink r:id="rId22" w:anchor="cite_note-NYT20180129-3" w:history="1">
        <w:r w:rsidRPr="00C26F67">
          <w:rPr>
            <w:rStyle w:val="Hyperlink"/>
            <w:vertAlign w:val="superscript"/>
          </w:rPr>
          <w:t>[3]</w:t>
        </w:r>
      </w:hyperlink>
      <w:r w:rsidRPr="00C26F67">
        <w:t> States may designate up to 25% of low-income census tracts as Opportunity Zones.</w:t>
      </w:r>
      <w:hyperlink r:id="rId23" w:anchor="cite_note-NYT20180129-3" w:history="1">
        <w:r w:rsidRPr="00C26F67">
          <w:rPr>
            <w:rStyle w:val="Hyperlink"/>
            <w:vertAlign w:val="superscript"/>
          </w:rPr>
          <w:t>[3]</w:t>
        </w:r>
      </w:hyperlink>
      <w:r w:rsidRPr="00C26F67">
        <w:t> Opportunity Zones were created under the 2017 Tax Cuts and Jobs Act, signed into law by </w:t>
      </w:r>
      <w:hyperlink r:id="rId24" w:tooltip="President Donald Trump" w:history="1">
        <w:r w:rsidRPr="00C26F67">
          <w:rPr>
            <w:rStyle w:val="Hyperlink"/>
          </w:rPr>
          <w:t>President Donald Trump</w:t>
        </w:r>
      </w:hyperlink>
      <w:r w:rsidRPr="00C26F67">
        <w:t>.</w:t>
      </w:r>
    </w:p>
    <w:p w14:paraId="72E2FECA" w14:textId="77777777" w:rsidR="00C26F67" w:rsidRPr="00C26F67" w:rsidRDefault="00C26F67" w:rsidP="00C26F67">
      <w:r w:rsidRPr="00C26F67">
        <w:t>The first Opportunity Zones were designated in April 2018.</w:t>
      </w:r>
      <w:hyperlink r:id="rId25" w:anchor="cite_note-4" w:history="1">
        <w:r w:rsidRPr="00C26F67">
          <w:rPr>
            <w:rStyle w:val="Hyperlink"/>
            <w:vertAlign w:val="superscript"/>
          </w:rPr>
          <w:t>[4]</w:t>
        </w:r>
      </w:hyperlink>
      <w:r w:rsidRPr="00C26F67">
        <w:t> There are 8,764 Opportunity Zones in the 50 states, and five U.S. possessions, including American Samoa, Guam, Northern Mariana Islands, Puerto Rico, and the Virgin Islands.</w:t>
      </w:r>
      <w:hyperlink r:id="rId26" w:anchor="cite_note-OZlocations-5" w:history="1">
        <w:r w:rsidRPr="00C26F67">
          <w:rPr>
            <w:rStyle w:val="Hyperlink"/>
            <w:vertAlign w:val="superscript"/>
          </w:rPr>
          <w:t>[5]</w:t>
        </w:r>
      </w:hyperlink>
    </w:p>
    <w:p w14:paraId="09558D89" w14:textId="77777777" w:rsidR="00C26F67" w:rsidRDefault="00C26F67" w:rsidP="00C26F67">
      <w:r w:rsidRPr="00C26F67">
        <w:t xml:space="preserve">Not all Opportunity Zones are in </w:t>
      </w:r>
      <w:proofErr w:type="gramStart"/>
      <w:r w:rsidRPr="00C26F67">
        <w:t>low income</w:t>
      </w:r>
      <w:proofErr w:type="gramEnd"/>
      <w:r w:rsidRPr="00C26F67">
        <w:t xml:space="preserve"> communities. Per </w:t>
      </w:r>
      <w:hyperlink r:id="rId27" w:tooltip="Internal Revenue Code" w:history="1">
        <w:r w:rsidRPr="00C26F67">
          <w:rPr>
            <w:rStyle w:val="Hyperlink"/>
          </w:rPr>
          <w:t>Internal Revenue Code</w:t>
        </w:r>
      </w:hyperlink>
      <w:r w:rsidRPr="00C26F67">
        <w:t> Section 1400Z-1(e), up to five percent of the Opportunity Zones in each state can be non-low income tracts contiguous to low-income tracts.</w:t>
      </w:r>
      <w:hyperlink r:id="rId28" w:anchor="cite_note-1400z-1-6" w:history="1">
        <w:r w:rsidRPr="00C26F67">
          <w:rPr>
            <w:rStyle w:val="Hyperlink"/>
            <w:vertAlign w:val="superscript"/>
          </w:rPr>
          <w:t>[6]</w:t>
        </w:r>
      </w:hyperlink>
      <w:r w:rsidRPr="00C26F67">
        <w:t> In December 2019, Treasury issued final regulatory guidance on Qualified Opportunity Fund investing.</w:t>
      </w:r>
      <w:hyperlink r:id="rId29" w:anchor="cite_note-finalregs-7" w:history="1">
        <w:r w:rsidRPr="00C26F67">
          <w:rPr>
            <w:rStyle w:val="Hyperlink"/>
            <w:vertAlign w:val="superscript"/>
          </w:rPr>
          <w:t>[7]</w:t>
        </w:r>
      </w:hyperlink>
    </w:p>
    <w:p w14:paraId="3804B4C9" w14:textId="77777777" w:rsidR="0086376D" w:rsidRDefault="0086376D">
      <w:pPr>
        <w:rPr>
          <w:highlight w:val="yellow"/>
        </w:rPr>
      </w:pPr>
    </w:p>
    <w:p w14:paraId="6451E2E7" w14:textId="6333099D" w:rsidR="00C26F67" w:rsidRDefault="00C26F67">
      <w:r w:rsidRPr="0086376D">
        <w:rPr>
          <w:highlight w:val="yellow"/>
        </w:rPr>
        <w:t>An investor who triggers an eligible gain (including capital gains and qualified 1231 gains) may reinvest the capital gain in a Qualified Opportunity Fund within 180 days in order to receive Opportunity Zone tax benefits</w:t>
      </w:r>
      <w:r w:rsidRPr="00C26F67">
        <w:t>.</w:t>
      </w:r>
      <w:hyperlink r:id="rId30" w:anchor="cite_note-crain-8" w:history="1">
        <w:r w:rsidRPr="00C26F67">
          <w:rPr>
            <w:rStyle w:val="Hyperlink"/>
            <w:vertAlign w:val="superscript"/>
          </w:rPr>
          <w:t>[8]</w:t>
        </w:r>
      </w:hyperlink>
    </w:p>
    <w:p w14:paraId="6D70083B" w14:textId="77777777" w:rsidR="00C26F67" w:rsidRPr="00C26F67" w:rsidRDefault="00C26F67" w:rsidP="00C26F67">
      <w:pPr>
        <w:rPr>
          <w:b/>
          <w:bCs/>
        </w:rPr>
      </w:pPr>
      <w:r w:rsidRPr="00C26F67">
        <w:rPr>
          <w:b/>
          <w:bCs/>
        </w:rPr>
        <w:t>Tax benefits</w:t>
      </w:r>
    </w:p>
    <w:p w14:paraId="7DF8A914" w14:textId="77777777" w:rsidR="00C26F67" w:rsidRPr="00C26F67" w:rsidRDefault="00C26F67" w:rsidP="00C26F67">
      <w:r w:rsidRPr="00C26F67">
        <w:t>[</w:t>
      </w:r>
      <w:hyperlink r:id="rId31" w:tooltip="Edit section: Tax benefits" w:history="1">
        <w:r w:rsidRPr="00C26F67">
          <w:rPr>
            <w:rStyle w:val="Hyperlink"/>
          </w:rPr>
          <w:t>edit</w:t>
        </w:r>
      </w:hyperlink>
      <w:r w:rsidRPr="00C26F67">
        <w:t>]</w:t>
      </w:r>
    </w:p>
    <w:p w14:paraId="477B68F7" w14:textId="77777777" w:rsidR="00C26F67" w:rsidRPr="00C26F67" w:rsidRDefault="00C26F67" w:rsidP="00C26F67">
      <w:r w:rsidRPr="00C26F67">
        <w:t>There are four major tax benefits available to U.S. taxpayers who timely reinvest eligible gains into Qualified Opportunity Funds that comply with the Opportunity Zone statute and IRS regulatory guidance.</w:t>
      </w:r>
      <w:hyperlink r:id="rId32" w:anchor="cite_note-taxbenefits-12" w:history="1">
        <w:r w:rsidRPr="00C26F67">
          <w:rPr>
            <w:rStyle w:val="Hyperlink"/>
            <w:vertAlign w:val="superscript"/>
          </w:rPr>
          <w:t>[12]</w:t>
        </w:r>
      </w:hyperlink>
    </w:p>
    <w:p w14:paraId="64769994" w14:textId="77777777" w:rsidR="00C26F67" w:rsidRPr="00C26F67" w:rsidRDefault="00C26F67" w:rsidP="00C26F67">
      <w:pPr>
        <w:numPr>
          <w:ilvl w:val="0"/>
          <w:numId w:val="1"/>
        </w:numPr>
      </w:pPr>
      <w:r w:rsidRPr="00C26F67">
        <w:rPr>
          <w:highlight w:val="yellow"/>
        </w:rPr>
        <w:t>For tax reporting purposes, the eligible gain is deferred until December 31, 2026</w:t>
      </w:r>
      <w:r w:rsidRPr="00C26F67">
        <w:t>.</w:t>
      </w:r>
    </w:p>
    <w:p w14:paraId="34EEB867" w14:textId="77777777" w:rsidR="00C26F67" w:rsidRPr="00C26F67" w:rsidRDefault="00C26F67" w:rsidP="00C26F67">
      <w:pPr>
        <w:numPr>
          <w:ilvl w:val="0"/>
          <w:numId w:val="1"/>
        </w:numPr>
      </w:pPr>
      <w:r w:rsidRPr="00C26F67">
        <w:lastRenderedPageBreak/>
        <w:t>The tax liability on the reinvested eligible gains is reduced, through a basis step-up of either 10 or 15 percent. Note: The 15% benefit expired after December 31, 2019. The 10% benefit expired after December 31, 2021. Investments in QOFs made after December 31, 2021 no longer receive this benefit.</w:t>
      </w:r>
    </w:p>
    <w:p w14:paraId="45252800" w14:textId="77777777" w:rsidR="00C26F67" w:rsidRPr="00C26F67" w:rsidRDefault="00C26F67" w:rsidP="00C26F67">
      <w:pPr>
        <w:numPr>
          <w:ilvl w:val="0"/>
          <w:numId w:val="1"/>
        </w:numPr>
      </w:pPr>
      <w:r w:rsidRPr="00C26F67">
        <w:rPr>
          <w:highlight w:val="yellow"/>
        </w:rPr>
        <w:t>The tax liability resulting from the sale of the Qualified Opportunity Fund is eliminated, through a step-up to fair market value upon disposition, so long as the Qualified Opportunity Fund has been held for a period of at least 10 years</w:t>
      </w:r>
      <w:r w:rsidRPr="00C26F67">
        <w:t>.</w:t>
      </w:r>
    </w:p>
    <w:p w14:paraId="3D7C6702" w14:textId="77777777" w:rsidR="00C26F67" w:rsidRPr="00C26F67" w:rsidRDefault="00C26F67" w:rsidP="00C26F67">
      <w:pPr>
        <w:numPr>
          <w:ilvl w:val="0"/>
          <w:numId w:val="1"/>
        </w:numPr>
      </w:pPr>
      <w:r w:rsidRPr="00C26F67">
        <w:rPr>
          <w:highlight w:val="yellow"/>
        </w:rPr>
        <w:t>There is no depreciation recapture upon the sale of depreciated Qualified Opportunity Zone Property</w:t>
      </w:r>
      <w:r w:rsidRPr="00C26F67">
        <w:t>.</w:t>
      </w:r>
    </w:p>
    <w:p w14:paraId="68889DDA" w14:textId="77777777" w:rsidR="00C26F67" w:rsidRPr="00C26F67" w:rsidRDefault="00C26F67" w:rsidP="00C26F67">
      <w:r w:rsidRPr="00C26F67">
        <w:t xml:space="preserve">In order to report the investment to the IRS, the taxpayer needs to </w:t>
      </w:r>
      <w:r w:rsidRPr="00C26F67">
        <w:rPr>
          <w:highlight w:val="yellow"/>
        </w:rPr>
        <w:t>file IRS Form 8997 annually</w:t>
      </w:r>
      <w:r w:rsidRPr="00C26F67">
        <w:t>.</w:t>
      </w:r>
      <w:hyperlink r:id="rId33" w:anchor="cite_note-form8997-13" w:history="1">
        <w:r w:rsidRPr="00C26F67">
          <w:rPr>
            <w:rStyle w:val="Hyperlink"/>
            <w:vertAlign w:val="superscript"/>
          </w:rPr>
          <w:t>[13]</w:t>
        </w:r>
      </w:hyperlink>
    </w:p>
    <w:p w14:paraId="5C1CA423" w14:textId="77777777" w:rsidR="00C26F67" w:rsidRDefault="00C26F67" w:rsidP="00C26F67">
      <w:r w:rsidRPr="00C26F67">
        <w:rPr>
          <w:highlight w:val="yellow"/>
        </w:rPr>
        <w:t>Prior to the law creating Opportunity Zones, an investor could defer capital gains taxes only through a </w:t>
      </w:r>
      <w:hyperlink r:id="rId34" w:tooltip="Like-kind exchange" w:history="1">
        <w:r w:rsidRPr="00C26F67">
          <w:rPr>
            <w:rStyle w:val="Hyperlink"/>
            <w:highlight w:val="yellow"/>
          </w:rPr>
          <w:t>like-kind exchange</w:t>
        </w:r>
      </w:hyperlink>
      <w:r w:rsidRPr="00C26F67">
        <w:rPr>
          <w:highlight w:val="yellow"/>
        </w:rPr>
        <w:t>, i.e., by trading one asset with another asset in the same asset class by using a Section 1031 exchange</w:t>
      </w:r>
      <w:r w:rsidRPr="00C26F67">
        <w:t>.</w:t>
      </w:r>
      <w:hyperlink r:id="rId35" w:anchor="cite_note-arixa-1" w:history="1">
        <w:r w:rsidRPr="00C26F67">
          <w:rPr>
            <w:rStyle w:val="Hyperlink"/>
            <w:vertAlign w:val="superscript"/>
          </w:rPr>
          <w:t>[1]</w:t>
        </w:r>
      </w:hyperlink>
      <w:hyperlink r:id="rId36" w:anchor="cite_note-borland-14" w:history="1">
        <w:r w:rsidRPr="00C26F67">
          <w:rPr>
            <w:rStyle w:val="Hyperlink"/>
            <w:vertAlign w:val="superscript"/>
          </w:rPr>
          <w:t>[14]</w:t>
        </w:r>
      </w:hyperlink>
      <w:r w:rsidRPr="00C26F67">
        <w:t> Opportunity Zones are similar, but there are several key differences.</w:t>
      </w:r>
      <w:hyperlink r:id="rId37" w:anchor="cite_note-ozs1031s-15" w:history="1">
        <w:r w:rsidRPr="00C26F67">
          <w:rPr>
            <w:rStyle w:val="Hyperlink"/>
            <w:vertAlign w:val="superscript"/>
          </w:rPr>
          <w:t>[15]</w:t>
        </w:r>
      </w:hyperlink>
      <w:r w:rsidRPr="00C26F67">
        <w:t xml:space="preserve"> One such difference is that an </w:t>
      </w:r>
      <w:r w:rsidRPr="00C26F67">
        <w:rPr>
          <w:b/>
          <w:bCs/>
          <w:color w:val="FF0000"/>
          <w:highlight w:val="yellow"/>
        </w:rPr>
        <w:t>Opportunity Zone does not require a like-kind exchange. Instead, by investing in a Qualified Opportunity Fund, an investor can defer any eligible gain (either capital gains or qualified 1231 gains) arising from the transaction of a property in any asset class (e.g., stocks, privately held business, real estate, collectibles, etc</w:t>
      </w:r>
      <w:r w:rsidRPr="00C26F67">
        <w:t>.).</w:t>
      </w:r>
      <w:hyperlink r:id="rId38" w:anchor="cite_note-arixa-1" w:history="1">
        <w:r w:rsidRPr="00C26F67">
          <w:rPr>
            <w:rStyle w:val="Hyperlink"/>
            <w:vertAlign w:val="superscript"/>
          </w:rPr>
          <w:t>[1]</w:t>
        </w:r>
      </w:hyperlink>
      <w:hyperlink r:id="rId39" w:anchor="cite_note-borland-14" w:history="1">
        <w:r w:rsidRPr="00C26F67">
          <w:rPr>
            <w:rStyle w:val="Hyperlink"/>
            <w:vertAlign w:val="superscript"/>
          </w:rPr>
          <w:t>[14]</w:t>
        </w:r>
      </w:hyperlink>
    </w:p>
    <w:p w14:paraId="79382CE4" w14:textId="077251E5" w:rsidR="00AB7E48" w:rsidRDefault="00AB7E48" w:rsidP="00C26F67">
      <w:r>
        <w:t>The above excerpts were taken from the Wikipedia website (link above) as of July 22, 2024.</w:t>
      </w:r>
    </w:p>
    <w:p w14:paraId="71777A46" w14:textId="0C7FC0FE" w:rsidR="00AB7E48" w:rsidRPr="00C26F67" w:rsidRDefault="00AB7E48" w:rsidP="00C26F67">
      <w:r>
        <w:t>The following video links are provided as possible additional short overviews of QOZ/QOF Investing.</w:t>
      </w:r>
    </w:p>
    <w:p w14:paraId="1FAB8A86" w14:textId="66DF8504" w:rsidR="00C26F67" w:rsidRDefault="00D33E7F">
      <w:hyperlink r:id="rId40" w:history="1">
        <w:r w:rsidR="00C26F67" w:rsidRPr="00C26F67">
          <w:rPr>
            <w:rStyle w:val="Hyperlink"/>
          </w:rPr>
          <w:t>Bing Videos</w:t>
        </w:r>
      </w:hyperlink>
    </w:p>
    <w:p w14:paraId="2494226E" w14:textId="4F1C7907" w:rsidR="00C26F67" w:rsidRDefault="00D33E7F">
      <w:hyperlink r:id="rId41" w:history="1">
        <w:r w:rsidR="00C26F67" w:rsidRPr="003B704A">
          <w:rPr>
            <w:rStyle w:val="Hyperlink"/>
          </w:rPr>
          <w:t>https://www.bing.com/videos/riverview/relatedvideo?&amp;q=the+histroy+of+qualified+opportunity+zones&amp;qpvt=the+histroy+of+qualified+opportunity+zones&amp;mid=DFDDE8812B8F453204ABDFDDE8812B8F453204AB&amp;mmscn=mtsc&amp;aps=9&amp;FORM=VRDGAR</w:t>
        </w:r>
      </w:hyperlink>
    </w:p>
    <w:p w14:paraId="4FF362C0" w14:textId="48AAE066" w:rsidR="00C26F67" w:rsidRDefault="00D33E7F">
      <w:hyperlink r:id="rId42" w:history="1">
        <w:r w:rsidR="00C420B8" w:rsidRPr="003B704A">
          <w:rPr>
            <w:rStyle w:val="Hyperlink"/>
          </w:rPr>
          <w:t>https://www.bing.com/videos/riverview/relatedvideo?&amp;q=the+histroy+of+qualified+opportunity+zones&amp;qpvt=the+histroy+of+qualified+opportunity+zones&amp;mid=AED19DF5F5B2A1E0B313AED19DF5F5B2A1E0B313&amp;mmscn=mtsc&amp;aps=0&amp;FORM=VRDGAR</w:t>
        </w:r>
      </w:hyperlink>
    </w:p>
    <w:p w14:paraId="2EAB43A7" w14:textId="1739F4EA" w:rsidR="00C420B8" w:rsidRDefault="00D33E7F">
      <w:hyperlink r:id="rId43" w:history="1">
        <w:r w:rsidR="00A1657D" w:rsidRPr="003B704A">
          <w:rPr>
            <w:rStyle w:val="Hyperlink"/>
          </w:rPr>
          <w:t>https://www.bing.com/videos/riverview/relatedvideo?&amp;q=the+histroy+of+qualified+opportunity+zones&amp;qpvt=the+histroy+of+qualified+opportunity+zones&amp;mid=BCC433F9217372049047BCC433F9217372049047&amp;mmscn=mtsc&amp;aps=130&amp;FORM=VRDGAR</w:t>
        </w:r>
      </w:hyperlink>
    </w:p>
    <w:p w14:paraId="333594E9" w14:textId="38025C82" w:rsidR="00A1657D" w:rsidRDefault="00D33E7F">
      <w:hyperlink r:id="rId44" w:history="1">
        <w:r w:rsidR="00F34E67" w:rsidRPr="003B704A">
          <w:rPr>
            <w:rStyle w:val="Hyperlink"/>
          </w:rPr>
          <w:t>https://www.bing.com/videos/riverview/relatedvideo?&amp;q=the+histroy+of+qualified+opportunity+zones&amp;qpvt=the+histroy+of+qualified+opportunity+zones&amp;mid=70C2EF19CAD1D6BC907470C2EF19CAD1D6BC9074&amp;&amp;FORM=VRDGAR</w:t>
        </w:r>
      </w:hyperlink>
    </w:p>
    <w:p w14:paraId="7482E752" w14:textId="77777777" w:rsidR="00F34E67" w:rsidRDefault="00F34E67"/>
    <w:p w14:paraId="7598ECE6" w14:textId="77777777" w:rsidR="00C420B8" w:rsidRDefault="00C420B8"/>
    <w:sectPr w:rsidR="00C420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139DD"/>
    <w:multiLevelType w:val="multilevel"/>
    <w:tmpl w:val="17022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6106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B02EF"/>
    <w:rsid w:val="00601EAF"/>
    <w:rsid w:val="006230AA"/>
    <w:rsid w:val="00634078"/>
    <w:rsid w:val="0086376D"/>
    <w:rsid w:val="008B02EF"/>
    <w:rsid w:val="009A6106"/>
    <w:rsid w:val="00A1657D"/>
    <w:rsid w:val="00AB7E48"/>
    <w:rsid w:val="00B451CC"/>
    <w:rsid w:val="00C048FF"/>
    <w:rsid w:val="00C26F67"/>
    <w:rsid w:val="00C420B8"/>
    <w:rsid w:val="00D33E7F"/>
    <w:rsid w:val="00DE6BBE"/>
    <w:rsid w:val="00F34E67"/>
    <w:rsid w:val="00F376B8"/>
    <w:rsid w:val="00FD3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F4E5"/>
  <w15:chartTrackingRefBased/>
  <w15:docId w15:val="{5EC32B6C-E907-4AB7-8A20-5A8AB11D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2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02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02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02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02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02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2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2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2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2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02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02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2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2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2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2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2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2EF"/>
    <w:rPr>
      <w:rFonts w:eastAsiaTheme="majorEastAsia" w:cstheme="majorBidi"/>
      <w:color w:val="272727" w:themeColor="text1" w:themeTint="D8"/>
    </w:rPr>
  </w:style>
  <w:style w:type="paragraph" w:styleId="Title">
    <w:name w:val="Title"/>
    <w:basedOn w:val="Normal"/>
    <w:next w:val="Normal"/>
    <w:link w:val="TitleChar"/>
    <w:uiPriority w:val="10"/>
    <w:qFormat/>
    <w:rsid w:val="008B02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2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2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2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2EF"/>
    <w:pPr>
      <w:spacing w:before="160"/>
      <w:jc w:val="center"/>
    </w:pPr>
    <w:rPr>
      <w:i/>
      <w:iCs/>
      <w:color w:val="404040" w:themeColor="text1" w:themeTint="BF"/>
    </w:rPr>
  </w:style>
  <w:style w:type="character" w:customStyle="1" w:styleId="QuoteChar">
    <w:name w:val="Quote Char"/>
    <w:basedOn w:val="DefaultParagraphFont"/>
    <w:link w:val="Quote"/>
    <w:uiPriority w:val="29"/>
    <w:rsid w:val="008B02EF"/>
    <w:rPr>
      <w:i/>
      <w:iCs/>
      <w:color w:val="404040" w:themeColor="text1" w:themeTint="BF"/>
    </w:rPr>
  </w:style>
  <w:style w:type="paragraph" w:styleId="ListParagraph">
    <w:name w:val="List Paragraph"/>
    <w:basedOn w:val="Normal"/>
    <w:uiPriority w:val="34"/>
    <w:qFormat/>
    <w:rsid w:val="008B02EF"/>
    <w:pPr>
      <w:ind w:left="720"/>
      <w:contextualSpacing/>
    </w:pPr>
  </w:style>
  <w:style w:type="character" w:styleId="IntenseEmphasis">
    <w:name w:val="Intense Emphasis"/>
    <w:basedOn w:val="DefaultParagraphFont"/>
    <w:uiPriority w:val="21"/>
    <w:qFormat/>
    <w:rsid w:val="008B02EF"/>
    <w:rPr>
      <w:i/>
      <w:iCs/>
      <w:color w:val="0F4761" w:themeColor="accent1" w:themeShade="BF"/>
    </w:rPr>
  </w:style>
  <w:style w:type="paragraph" w:styleId="IntenseQuote">
    <w:name w:val="Intense Quote"/>
    <w:basedOn w:val="Normal"/>
    <w:next w:val="Normal"/>
    <w:link w:val="IntenseQuoteChar"/>
    <w:uiPriority w:val="30"/>
    <w:qFormat/>
    <w:rsid w:val="008B02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02EF"/>
    <w:rPr>
      <w:i/>
      <w:iCs/>
      <w:color w:val="0F4761" w:themeColor="accent1" w:themeShade="BF"/>
    </w:rPr>
  </w:style>
  <w:style w:type="character" w:styleId="IntenseReference">
    <w:name w:val="Intense Reference"/>
    <w:basedOn w:val="DefaultParagraphFont"/>
    <w:uiPriority w:val="32"/>
    <w:qFormat/>
    <w:rsid w:val="008B02EF"/>
    <w:rPr>
      <w:b/>
      <w:bCs/>
      <w:smallCaps/>
      <w:color w:val="0F4761" w:themeColor="accent1" w:themeShade="BF"/>
      <w:spacing w:val="5"/>
    </w:rPr>
  </w:style>
  <w:style w:type="character" w:styleId="Hyperlink">
    <w:name w:val="Hyperlink"/>
    <w:basedOn w:val="DefaultParagraphFont"/>
    <w:uiPriority w:val="99"/>
    <w:unhideWhenUsed/>
    <w:rsid w:val="00C26F67"/>
    <w:rPr>
      <w:color w:val="467886" w:themeColor="hyperlink"/>
      <w:u w:val="single"/>
    </w:rPr>
  </w:style>
  <w:style w:type="character" w:styleId="UnresolvedMention">
    <w:name w:val="Unresolved Mention"/>
    <w:basedOn w:val="DefaultParagraphFont"/>
    <w:uiPriority w:val="99"/>
    <w:semiHidden/>
    <w:unhideWhenUsed/>
    <w:rsid w:val="00C26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491317">
      <w:bodyDiv w:val="1"/>
      <w:marLeft w:val="0"/>
      <w:marRight w:val="0"/>
      <w:marTop w:val="0"/>
      <w:marBottom w:val="0"/>
      <w:divBdr>
        <w:top w:val="none" w:sz="0" w:space="0" w:color="auto"/>
        <w:left w:val="none" w:sz="0" w:space="0" w:color="auto"/>
        <w:bottom w:val="none" w:sz="0" w:space="0" w:color="auto"/>
        <w:right w:val="none" w:sz="0" w:space="0" w:color="auto"/>
      </w:divBdr>
      <w:divsChild>
        <w:div w:id="203908367">
          <w:marLeft w:val="0"/>
          <w:marRight w:val="0"/>
          <w:marTop w:val="60"/>
          <w:marBottom w:val="60"/>
          <w:divBdr>
            <w:top w:val="none" w:sz="0" w:space="0" w:color="auto"/>
            <w:left w:val="none" w:sz="0" w:space="0" w:color="auto"/>
            <w:bottom w:val="none" w:sz="0" w:space="0" w:color="auto"/>
            <w:right w:val="none" w:sz="0" w:space="0" w:color="auto"/>
          </w:divBdr>
        </w:div>
      </w:divsChild>
    </w:div>
    <w:div w:id="1060784736">
      <w:bodyDiv w:val="1"/>
      <w:marLeft w:val="0"/>
      <w:marRight w:val="0"/>
      <w:marTop w:val="0"/>
      <w:marBottom w:val="0"/>
      <w:divBdr>
        <w:top w:val="none" w:sz="0" w:space="0" w:color="auto"/>
        <w:left w:val="none" w:sz="0" w:space="0" w:color="auto"/>
        <w:bottom w:val="none" w:sz="0" w:space="0" w:color="auto"/>
        <w:right w:val="none" w:sz="0" w:space="0" w:color="auto"/>
      </w:divBdr>
      <w:divsChild>
        <w:div w:id="2138446815">
          <w:marLeft w:val="0"/>
          <w:marRight w:val="0"/>
          <w:marTop w:val="60"/>
          <w:marBottom w:val="60"/>
          <w:divBdr>
            <w:top w:val="none" w:sz="0" w:space="0" w:color="auto"/>
            <w:left w:val="none" w:sz="0" w:space="0" w:color="auto"/>
            <w:bottom w:val="none" w:sz="0" w:space="0" w:color="auto"/>
            <w:right w:val="none" w:sz="0" w:space="0" w:color="auto"/>
          </w:divBdr>
        </w:div>
      </w:divsChild>
    </w:div>
    <w:div w:id="1263219439">
      <w:bodyDiv w:val="1"/>
      <w:marLeft w:val="0"/>
      <w:marRight w:val="0"/>
      <w:marTop w:val="0"/>
      <w:marBottom w:val="0"/>
      <w:divBdr>
        <w:top w:val="none" w:sz="0" w:space="0" w:color="auto"/>
        <w:left w:val="none" w:sz="0" w:space="0" w:color="auto"/>
        <w:bottom w:val="none" w:sz="0" w:space="0" w:color="auto"/>
        <w:right w:val="none" w:sz="0" w:space="0" w:color="auto"/>
      </w:divBdr>
      <w:divsChild>
        <w:div w:id="1611820388">
          <w:marLeft w:val="0"/>
          <w:marRight w:val="0"/>
          <w:marTop w:val="60"/>
          <w:marBottom w:val="60"/>
          <w:divBdr>
            <w:top w:val="none" w:sz="0" w:space="0" w:color="auto"/>
            <w:left w:val="none" w:sz="0" w:space="0" w:color="auto"/>
            <w:bottom w:val="none" w:sz="0" w:space="0" w:color="auto"/>
            <w:right w:val="none" w:sz="0" w:space="0" w:color="auto"/>
          </w:divBdr>
        </w:div>
      </w:divsChild>
    </w:div>
    <w:div w:id="2130393891">
      <w:bodyDiv w:val="1"/>
      <w:marLeft w:val="0"/>
      <w:marRight w:val="0"/>
      <w:marTop w:val="0"/>
      <w:marBottom w:val="0"/>
      <w:divBdr>
        <w:top w:val="none" w:sz="0" w:space="0" w:color="auto"/>
        <w:left w:val="none" w:sz="0" w:space="0" w:color="auto"/>
        <w:bottom w:val="none" w:sz="0" w:space="0" w:color="auto"/>
        <w:right w:val="none" w:sz="0" w:space="0" w:color="auto"/>
      </w:divBdr>
      <w:divsChild>
        <w:div w:id="1569262042">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United_States_Senate" TargetMode="External"/><Relationship Id="rId18" Type="http://schemas.openxmlformats.org/officeDocument/2006/relationships/hyperlink" Target="https://en.wikipedia.org/wiki/Pat_Tiberi" TargetMode="External"/><Relationship Id="rId26" Type="http://schemas.openxmlformats.org/officeDocument/2006/relationships/hyperlink" Target="https://en.wikipedia.org/wiki/Opportunity_zone" TargetMode="External"/><Relationship Id="rId39" Type="http://schemas.openxmlformats.org/officeDocument/2006/relationships/hyperlink" Target="https://en.wikipedia.org/wiki/Opportunity_zone" TargetMode="External"/><Relationship Id="rId21" Type="http://schemas.openxmlformats.org/officeDocument/2006/relationships/hyperlink" Target="https://en.wikipedia.org/w/index.php?title=Economic_Innovation_Group&amp;action=edit&amp;redlink=1" TargetMode="External"/><Relationship Id="rId34" Type="http://schemas.openxmlformats.org/officeDocument/2006/relationships/hyperlink" Target="https://en.wikipedia.org/wiki/Like-kind_exchange" TargetMode="External"/><Relationship Id="rId42" Type="http://schemas.openxmlformats.org/officeDocument/2006/relationships/hyperlink" Target="https://www.bing.com/videos/riverview/relatedvideo?&amp;q=the+histroy+of+qualified+opportunity+zones&amp;qpvt=the+histroy+of+qualified+opportunity+zones&amp;mid=AED19DF5F5B2A1E0B313AED19DF5F5B2A1E0B313&amp;mmscn=mtsc&amp;aps=0&amp;FORM=VRDGAR" TargetMode="External"/><Relationship Id="rId7" Type="http://schemas.openxmlformats.org/officeDocument/2006/relationships/hyperlink" Target="mailto:REIACPA@gmail.com" TargetMode="External"/><Relationship Id="rId2" Type="http://schemas.openxmlformats.org/officeDocument/2006/relationships/customXml" Target="../customXml/item2.xml"/><Relationship Id="rId16" Type="http://schemas.openxmlformats.org/officeDocument/2006/relationships/hyperlink" Target="https://en.wikipedia.org/wiki/United_States_House_of_Representatives" TargetMode="External"/><Relationship Id="rId29" Type="http://schemas.openxmlformats.org/officeDocument/2006/relationships/hyperlink" Target="https://en.wikipedia.org/wiki/Opportunity_zo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Opportunity_zone" TargetMode="External"/><Relationship Id="rId24" Type="http://schemas.openxmlformats.org/officeDocument/2006/relationships/hyperlink" Target="https://en.wikipedia.org/wiki/President_Donald_Trump" TargetMode="External"/><Relationship Id="rId32" Type="http://schemas.openxmlformats.org/officeDocument/2006/relationships/hyperlink" Target="https://en.wikipedia.org/wiki/Opportunity_zone" TargetMode="External"/><Relationship Id="rId37" Type="http://schemas.openxmlformats.org/officeDocument/2006/relationships/hyperlink" Target="https://en.wikipedia.org/wiki/Opportunity_zone" TargetMode="External"/><Relationship Id="rId40" Type="http://schemas.openxmlformats.org/officeDocument/2006/relationships/hyperlink" Target="https://www.bing.com/videos/riverview/relatedvideo?&amp;q=the+histroy+of+qualified+opportunity+zones&amp;qpvt=the+histroy+of+qualified+opportunity+zones&amp;mid=DFDDE8812B8F453204ABDFDDE8812B8F453204AB&amp;mmscn=mtsc&amp;aps=9&amp;FORM=VRDGAR"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n.wikipedia.org/wiki/Cory_Booker" TargetMode="External"/><Relationship Id="rId23" Type="http://schemas.openxmlformats.org/officeDocument/2006/relationships/hyperlink" Target="https://en.wikipedia.org/wiki/Opportunity_zone" TargetMode="External"/><Relationship Id="rId28" Type="http://schemas.openxmlformats.org/officeDocument/2006/relationships/hyperlink" Target="https://en.wikipedia.org/wiki/Opportunity_zone" TargetMode="External"/><Relationship Id="rId36" Type="http://schemas.openxmlformats.org/officeDocument/2006/relationships/hyperlink" Target="https://en.wikipedia.org/wiki/Opportunity_zone" TargetMode="External"/><Relationship Id="rId10" Type="http://schemas.openxmlformats.org/officeDocument/2006/relationships/hyperlink" Target="https://en.wikipedia.org/wiki/Capital_gains_tax" TargetMode="External"/><Relationship Id="rId19" Type="http://schemas.openxmlformats.org/officeDocument/2006/relationships/hyperlink" Target="https://en.wikipedia.org/wiki/Opportunity_zone" TargetMode="External"/><Relationship Id="rId31" Type="http://schemas.openxmlformats.org/officeDocument/2006/relationships/hyperlink" Target="https://en.wikipedia.org/w/index.php?title=Opportunity_zone&amp;action=edit&amp;section=3" TargetMode="External"/><Relationship Id="rId44" Type="http://schemas.openxmlformats.org/officeDocument/2006/relationships/hyperlink" Target="https://www.bing.com/videos/riverview/relatedvideo?&amp;q=the+histroy+of+qualified+opportunity+zones&amp;qpvt=the+histroy+of+qualified+opportunity+zones&amp;mid=70C2EF19CAD1D6BC907470C2EF19CAD1D6BC9074&amp;&amp;FORM=VRDGAR" TargetMode="External"/><Relationship Id="rId4" Type="http://schemas.openxmlformats.org/officeDocument/2006/relationships/styles" Target="styles.xml"/><Relationship Id="rId9" Type="http://schemas.openxmlformats.org/officeDocument/2006/relationships/hyperlink" Target="https://en.wikipedia.org/wiki/Tax_Cuts_and_Jobs_Act_of_2017" TargetMode="External"/><Relationship Id="rId14" Type="http://schemas.openxmlformats.org/officeDocument/2006/relationships/hyperlink" Target="https://en.wikipedia.org/wiki/Tim_Scott" TargetMode="External"/><Relationship Id="rId22" Type="http://schemas.openxmlformats.org/officeDocument/2006/relationships/hyperlink" Target="https://en.wikipedia.org/wiki/Opportunity_zone" TargetMode="External"/><Relationship Id="rId27" Type="http://schemas.openxmlformats.org/officeDocument/2006/relationships/hyperlink" Target="https://en.wikipedia.org/wiki/Internal_Revenue_Code" TargetMode="External"/><Relationship Id="rId30" Type="http://schemas.openxmlformats.org/officeDocument/2006/relationships/hyperlink" Target="https://en.wikipedia.org/wiki/Opportunity_zone" TargetMode="External"/><Relationship Id="rId35" Type="http://schemas.openxmlformats.org/officeDocument/2006/relationships/hyperlink" Target="https://en.wikipedia.org/wiki/Opportunity_zone" TargetMode="External"/><Relationship Id="rId43" Type="http://schemas.openxmlformats.org/officeDocument/2006/relationships/hyperlink" Target="https://www.bing.com/videos/riverview/relatedvideo?&amp;q=the+histroy+of+qualified+opportunity+zones&amp;qpvt=the+histroy+of+qualified+opportunity+zones&amp;mid=BCC433F9217372049047BCC433F9217372049047&amp;mmscn=mtsc&amp;aps=130&amp;FORM=VRDGAR" TargetMode="External"/><Relationship Id="rId8" Type="http://schemas.openxmlformats.org/officeDocument/2006/relationships/hyperlink" Target="https://en.wikipedia.org/wiki/Opportunity_zone" TargetMode="External"/><Relationship Id="rId3" Type="http://schemas.openxmlformats.org/officeDocument/2006/relationships/numbering" Target="numbering.xml"/><Relationship Id="rId12" Type="http://schemas.openxmlformats.org/officeDocument/2006/relationships/hyperlink" Target="https://en.wikipedia.org/w/index.php?title=Opportunity_zone&amp;action=edit&amp;section=1" TargetMode="External"/><Relationship Id="rId17" Type="http://schemas.openxmlformats.org/officeDocument/2006/relationships/hyperlink" Target="https://en.wikipedia.org/wiki/Ron_Kind" TargetMode="External"/><Relationship Id="rId25" Type="http://schemas.openxmlformats.org/officeDocument/2006/relationships/hyperlink" Target="https://en.wikipedia.org/wiki/Opportunity_zone" TargetMode="External"/><Relationship Id="rId33" Type="http://schemas.openxmlformats.org/officeDocument/2006/relationships/hyperlink" Target="https://en.wikipedia.org/wiki/Opportunity_zone" TargetMode="External"/><Relationship Id="rId38" Type="http://schemas.openxmlformats.org/officeDocument/2006/relationships/hyperlink" Target="https://en.wikipedia.org/wiki/Opportunity_zone" TargetMode="External"/><Relationship Id="rId46" Type="http://schemas.openxmlformats.org/officeDocument/2006/relationships/theme" Target="theme/theme1.xml"/><Relationship Id="rId20" Type="http://schemas.openxmlformats.org/officeDocument/2006/relationships/hyperlink" Target="https://en.wikipedia.org/wiki/Sean_Parker" TargetMode="External"/><Relationship Id="rId41" Type="http://schemas.openxmlformats.org/officeDocument/2006/relationships/hyperlink" Target="https://www.bing.com/videos/riverview/relatedvideo?&amp;q=the+histroy+of+qualified+opportunity+zones&amp;qpvt=the+histroy+of+qualified+opportunity+zones&amp;mid=DFDDE8812B8F453204ABDFDDE8812B8F453204AB&amp;mmscn=mtsc&amp;aps=9&amp;FORM=VRDG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373DFF1F3D974496292BA18E6530DE" ma:contentTypeVersion="15" ma:contentTypeDescription="Create a new document." ma:contentTypeScope="" ma:versionID="9d38aa6900c84a82a8e02c733a6a0387">
  <xsd:schema xmlns:xsd="http://www.w3.org/2001/XMLSchema" xmlns:xs="http://www.w3.org/2001/XMLSchema" xmlns:p="http://schemas.microsoft.com/office/2006/metadata/properties" xmlns:ns2="dce04fd9-d184-4bfe-9eed-c9f14a3803ad" xmlns:ns3="b89abb03-337a-4871-becc-2248528c8051" targetNamespace="http://schemas.microsoft.com/office/2006/metadata/properties" ma:root="true" ma:fieldsID="e6412014605ee6d212c40564bc706ecc" ns2:_="" ns3:_="">
    <xsd:import namespace="dce04fd9-d184-4bfe-9eed-c9f14a3803ad"/>
    <xsd:import namespace="b89abb03-337a-4871-becc-2248528c80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04fd9-d184-4bfe-9eed-c9f14a380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391c6f9-9fb2-41a7-9516-d277600cf7f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9abb03-337a-4871-becc-2248528c805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febd711-f984-4b4f-9124-a00a22130e34}" ma:internalName="TaxCatchAll" ma:showField="CatchAllData" ma:web="b89abb03-337a-4871-becc-2248528c805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9A811C-C003-4FEA-AF1D-F54EBFBFC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04fd9-d184-4bfe-9eed-c9f14a3803ad"/>
    <ds:schemaRef ds:uri="b89abb03-337a-4871-becc-2248528c8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B3BACF-A3AE-45E9-9A17-BE745DA3CA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1590</TotalTime>
  <Pages>2</Pages>
  <Words>1288</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Mankowski</dc:creator>
  <cp:keywords/>
  <dc:description/>
  <cp:lastModifiedBy>Tanner Hedger</cp:lastModifiedBy>
  <cp:revision>10</cp:revision>
  <dcterms:created xsi:type="dcterms:W3CDTF">2024-07-23T14:29:00Z</dcterms:created>
  <dcterms:modified xsi:type="dcterms:W3CDTF">2024-07-24T20:22:00Z</dcterms:modified>
</cp:coreProperties>
</file>