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E63A" w14:textId="77777777" w:rsidR="00DF59E9" w:rsidRPr="00473794" w:rsidRDefault="00DF59E9" w:rsidP="008B0568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1097DBF" w14:textId="70E77935" w:rsidR="008B0568" w:rsidRPr="00473794" w:rsidRDefault="008B0568" w:rsidP="008B056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60800" behindDoc="0" locked="0" layoutInCell="1" allowOverlap="1" wp14:anchorId="1CCA5D03" wp14:editId="5C06772D">
            <wp:simplePos x="0" y="0"/>
            <wp:positionH relativeFrom="margin">
              <wp:posOffset>1879600</wp:posOffset>
            </wp:positionH>
            <wp:positionV relativeFrom="margin">
              <wp:posOffset>-603250</wp:posOffset>
            </wp:positionV>
            <wp:extent cx="2057399" cy="504824"/>
            <wp:effectExtent l="0" t="0" r="0" b="0"/>
            <wp:wrapSquare wrapText="bothSides"/>
            <wp:docPr id="29" name="Image 29" descr="A black and blu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A black and blue logo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9" cy="504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3794">
        <w:rPr>
          <w:rFonts w:ascii="Calibri" w:hAnsi="Calibri" w:cs="Calibri"/>
          <w:sz w:val="22"/>
          <w:szCs w:val="22"/>
        </w:rPr>
        <w:t>Michael Tanner</w:t>
      </w:r>
    </w:p>
    <w:p w14:paraId="0429BD5D" w14:textId="77777777" w:rsidR="008B0568" w:rsidRPr="00473794" w:rsidRDefault="008B0568" w:rsidP="008B056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>Executive Director, Labour Policy &amp; Legislation</w:t>
      </w:r>
    </w:p>
    <w:p w14:paraId="50525C5F" w14:textId="45BEEB7C" w:rsidR="008B0568" w:rsidRPr="00473794" w:rsidRDefault="008B0568" w:rsidP="008B056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>Ministry of Labour</w:t>
      </w:r>
    </w:p>
    <w:p w14:paraId="02AE7C36" w14:textId="7E59E2E8" w:rsidR="008B0568" w:rsidRPr="00473794" w:rsidRDefault="008B0568" w:rsidP="008B056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>Box 9594 Stn Prov Govt</w:t>
      </w:r>
      <w:r w:rsidRPr="00473794">
        <w:rPr>
          <w:rFonts w:ascii="Calibri" w:hAnsi="Calibri" w:cs="Calibri"/>
          <w:sz w:val="22"/>
          <w:szCs w:val="22"/>
        </w:rPr>
        <w:tab/>
      </w:r>
      <w:r w:rsidRPr="00473794">
        <w:rPr>
          <w:rFonts w:ascii="Calibri" w:hAnsi="Calibri" w:cs="Calibri"/>
          <w:sz w:val="22"/>
          <w:szCs w:val="22"/>
        </w:rPr>
        <w:tab/>
      </w:r>
      <w:r w:rsidRPr="00473794">
        <w:rPr>
          <w:rFonts w:ascii="Calibri" w:hAnsi="Calibri" w:cs="Calibri"/>
          <w:sz w:val="22"/>
          <w:szCs w:val="22"/>
        </w:rPr>
        <w:tab/>
      </w:r>
      <w:r w:rsidRPr="00473794">
        <w:rPr>
          <w:rFonts w:ascii="Calibri" w:hAnsi="Calibri" w:cs="Calibri"/>
          <w:sz w:val="22"/>
          <w:szCs w:val="22"/>
        </w:rPr>
        <w:tab/>
      </w:r>
      <w:r w:rsidRPr="00473794">
        <w:rPr>
          <w:rFonts w:ascii="Calibri" w:hAnsi="Calibri" w:cs="Calibri"/>
          <w:sz w:val="22"/>
          <w:szCs w:val="22"/>
        </w:rPr>
        <w:tab/>
      </w:r>
      <w:r w:rsidRPr="00473794">
        <w:rPr>
          <w:rFonts w:ascii="Calibri" w:hAnsi="Calibri" w:cs="Calibri"/>
          <w:sz w:val="22"/>
          <w:szCs w:val="22"/>
        </w:rPr>
        <w:tab/>
        <w:t>August 15, 2025</w:t>
      </w:r>
    </w:p>
    <w:p w14:paraId="7ADFD2F8" w14:textId="77777777" w:rsidR="008B0568" w:rsidRPr="00473794" w:rsidRDefault="008B0568" w:rsidP="008B056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>Victoria, B.C.</w:t>
      </w:r>
    </w:p>
    <w:p w14:paraId="77AD6C81" w14:textId="77777777" w:rsidR="008B0568" w:rsidRPr="00473794" w:rsidRDefault="008B0568" w:rsidP="008B0568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>V8W 9R1</w:t>
      </w:r>
    </w:p>
    <w:p w14:paraId="3FBC1B47" w14:textId="77777777" w:rsidR="008B0568" w:rsidRPr="00473794" w:rsidRDefault="008B0568" w:rsidP="008268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B19650B" w14:textId="5311AC50" w:rsidR="00A21AAD" w:rsidRPr="00473794" w:rsidRDefault="00605921" w:rsidP="008268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3794">
        <w:rPr>
          <w:rFonts w:ascii="Calibri" w:hAnsi="Calibri" w:cs="Calibri"/>
          <w:b/>
          <w:bCs/>
          <w:sz w:val="22"/>
          <w:szCs w:val="22"/>
        </w:rPr>
        <w:t>Re:</w:t>
      </w:r>
      <w:r w:rsidRPr="00473794">
        <w:rPr>
          <w:rFonts w:ascii="Calibri" w:hAnsi="Calibri" w:cs="Calibri"/>
          <w:sz w:val="22"/>
          <w:szCs w:val="22"/>
        </w:rPr>
        <w:t xml:space="preserve"> </w:t>
      </w:r>
      <w:r w:rsidR="00826834" w:rsidRPr="00473794">
        <w:rPr>
          <w:rFonts w:ascii="Calibri" w:hAnsi="Calibri" w:cs="Calibri"/>
          <w:b/>
          <w:bCs/>
          <w:sz w:val="22"/>
          <w:szCs w:val="22"/>
        </w:rPr>
        <w:t xml:space="preserve">TIABC </w:t>
      </w:r>
      <w:r w:rsidR="00513DC7" w:rsidRPr="00473794">
        <w:rPr>
          <w:rFonts w:ascii="Calibri" w:hAnsi="Calibri" w:cs="Calibri"/>
          <w:b/>
          <w:bCs/>
          <w:sz w:val="22"/>
          <w:szCs w:val="22"/>
        </w:rPr>
        <w:t xml:space="preserve">Submission </w:t>
      </w:r>
      <w:r w:rsidR="00A21AAD" w:rsidRPr="00473794">
        <w:rPr>
          <w:rFonts w:ascii="Calibri" w:hAnsi="Calibri" w:cs="Calibri"/>
          <w:b/>
          <w:bCs/>
          <w:sz w:val="22"/>
          <w:szCs w:val="22"/>
        </w:rPr>
        <w:t>on Extended Leave P</w:t>
      </w:r>
      <w:r w:rsidR="00663E83" w:rsidRPr="00473794">
        <w:rPr>
          <w:rFonts w:ascii="Calibri" w:hAnsi="Calibri" w:cs="Calibri"/>
          <w:b/>
          <w:bCs/>
          <w:sz w:val="22"/>
          <w:szCs w:val="22"/>
        </w:rPr>
        <w:t>eriod</w:t>
      </w:r>
    </w:p>
    <w:p w14:paraId="26761E82" w14:textId="77777777" w:rsidR="00013A56" w:rsidRPr="00473794" w:rsidRDefault="00013A56" w:rsidP="00826834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657F9EE" w14:textId="4C8BA715" w:rsidR="005D33D8" w:rsidRPr="00473794" w:rsidRDefault="00013A56" w:rsidP="00DF59E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 xml:space="preserve">On behalf of the Tourism Industry Association of BC (TIABC), I am pleased to provide </w:t>
      </w:r>
      <w:r w:rsidR="003F1274" w:rsidRPr="00473794">
        <w:rPr>
          <w:rFonts w:ascii="Calibri" w:hAnsi="Calibri" w:cs="Calibri"/>
          <w:sz w:val="22"/>
          <w:szCs w:val="22"/>
        </w:rPr>
        <w:t>information and recommendations on the Ministry of Labour’s formal consultation process on the implementation of a 27-week job-protected medical/illness leave that works for B.C.’s tourism economy.</w:t>
      </w:r>
    </w:p>
    <w:p w14:paraId="1B9CFC12" w14:textId="77777777" w:rsidR="00DF59E9" w:rsidRPr="00473794" w:rsidRDefault="00DF59E9" w:rsidP="00DF59E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8A34D37" w14:textId="70139FE4" w:rsidR="00826834" w:rsidRPr="00473794" w:rsidRDefault="001A1101" w:rsidP="00826834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73794">
        <w:rPr>
          <w:rFonts w:ascii="Calibri" w:hAnsi="Calibri" w:cs="Calibri"/>
          <w:b/>
          <w:bCs/>
          <w:sz w:val="22"/>
          <w:szCs w:val="22"/>
        </w:rPr>
        <w:t>Background</w:t>
      </w:r>
    </w:p>
    <w:p w14:paraId="0BD60B21" w14:textId="29213384" w:rsidR="00826834" w:rsidRPr="00473794" w:rsidRDefault="00CF3DCD" w:rsidP="00EB404A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>The Tourism Industry Association of BC (TIABC)</w:t>
      </w:r>
      <w:r w:rsidR="00D842F8" w:rsidRPr="004737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73794">
        <w:rPr>
          <w:rFonts w:ascii="Calibri" w:hAnsi="Calibri" w:cs="Calibri"/>
          <w:sz w:val="22"/>
          <w:szCs w:val="22"/>
        </w:rPr>
        <w:t>supports the principle of extending job-protected leave for employees with serious illness or</w:t>
      </w:r>
      <w:r w:rsidR="00EB404A" w:rsidRPr="00473794">
        <w:rPr>
          <w:rFonts w:ascii="Calibri" w:hAnsi="Calibri" w:cs="Calibri"/>
          <w:sz w:val="22"/>
          <w:szCs w:val="22"/>
        </w:rPr>
        <w:t xml:space="preserve"> </w:t>
      </w:r>
      <w:r w:rsidRPr="00473794">
        <w:rPr>
          <w:rFonts w:ascii="Calibri" w:hAnsi="Calibri" w:cs="Calibri"/>
          <w:sz w:val="22"/>
          <w:szCs w:val="22"/>
        </w:rPr>
        <w:t>injury to 27 weeks to align with federal EI sickness benefits and other jurisdictions. This change</w:t>
      </w:r>
      <w:r w:rsidR="00EB404A" w:rsidRPr="00473794">
        <w:rPr>
          <w:rFonts w:ascii="Calibri" w:hAnsi="Calibri" w:cs="Calibri"/>
          <w:sz w:val="22"/>
          <w:szCs w:val="22"/>
        </w:rPr>
        <w:t xml:space="preserve"> </w:t>
      </w:r>
      <w:r w:rsidRPr="00473794">
        <w:rPr>
          <w:rFonts w:ascii="Calibri" w:hAnsi="Calibri" w:cs="Calibri"/>
          <w:sz w:val="22"/>
          <w:szCs w:val="22"/>
        </w:rPr>
        <w:t>fills a gap in BC’s Employment Standards Act and supports workers facing significant health</w:t>
      </w:r>
      <w:r w:rsidR="00EB404A" w:rsidRPr="00473794">
        <w:rPr>
          <w:rFonts w:ascii="Calibri" w:hAnsi="Calibri" w:cs="Calibri"/>
          <w:sz w:val="22"/>
          <w:szCs w:val="22"/>
        </w:rPr>
        <w:t xml:space="preserve"> </w:t>
      </w:r>
      <w:r w:rsidRPr="00473794">
        <w:rPr>
          <w:rFonts w:ascii="Calibri" w:hAnsi="Calibri" w:cs="Calibri"/>
          <w:sz w:val="22"/>
          <w:szCs w:val="22"/>
        </w:rPr>
        <w:t>challenges.</w:t>
      </w:r>
      <w:r w:rsidR="00EB404A" w:rsidRPr="00473794">
        <w:rPr>
          <w:rFonts w:ascii="Calibri" w:hAnsi="Calibri" w:cs="Calibri"/>
          <w:sz w:val="22"/>
          <w:szCs w:val="22"/>
        </w:rPr>
        <w:t xml:space="preserve"> </w:t>
      </w:r>
      <w:r w:rsidR="00826834" w:rsidRPr="00473794">
        <w:rPr>
          <w:rFonts w:ascii="Calibri" w:hAnsi="Calibri" w:cs="Calibri"/>
          <w:sz w:val="22"/>
          <w:szCs w:val="22"/>
        </w:rPr>
        <w:t xml:space="preserve">Ontario brought a comparable 27-week long-term illness leave into force for all employers on June 19, 2025, offering a clear precedent for simple, predictable rollout. </w:t>
      </w:r>
    </w:p>
    <w:p w14:paraId="1D89691A" w14:textId="77777777" w:rsidR="00FD790E" w:rsidRPr="00473794" w:rsidRDefault="00FD790E" w:rsidP="00EB404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5195C12" w14:textId="2A6ED429" w:rsidR="00826834" w:rsidRPr="00473794" w:rsidRDefault="00D31571" w:rsidP="00D3157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 xml:space="preserve">Given the unique characteristics of BC’s tourism sector (high seasonality, reliance on seasonal and small-business employers), we respectfully request the Ministry include the </w:t>
      </w:r>
      <w:r w:rsidR="00F618DB">
        <w:rPr>
          <w:rFonts w:ascii="Calibri" w:hAnsi="Calibri" w:cs="Calibri"/>
          <w:sz w:val="22"/>
          <w:szCs w:val="22"/>
        </w:rPr>
        <w:t xml:space="preserve">recommended </w:t>
      </w:r>
      <w:r w:rsidRPr="00473794">
        <w:rPr>
          <w:rFonts w:ascii="Calibri" w:hAnsi="Calibri" w:cs="Calibri"/>
          <w:sz w:val="22"/>
          <w:szCs w:val="22"/>
        </w:rPr>
        <w:t>measures to ensure practical, workable implementation and to limit unintended harm to operators and employees</w:t>
      </w:r>
      <w:r w:rsidR="00513DC7" w:rsidRPr="00473794">
        <w:rPr>
          <w:rFonts w:ascii="Calibri" w:hAnsi="Calibri" w:cs="Calibri"/>
          <w:sz w:val="22"/>
          <w:szCs w:val="22"/>
        </w:rPr>
        <w:t>.</w:t>
      </w:r>
      <w:r w:rsidR="00F618DB">
        <w:rPr>
          <w:rFonts w:ascii="Calibri" w:hAnsi="Calibri" w:cs="Calibri"/>
          <w:sz w:val="22"/>
          <w:szCs w:val="22"/>
        </w:rPr>
        <w:t xml:space="preserve"> </w:t>
      </w:r>
      <w:r w:rsidR="00826834" w:rsidRPr="00473794">
        <w:rPr>
          <w:rFonts w:ascii="Calibri" w:hAnsi="Calibri" w:cs="Calibri"/>
          <w:sz w:val="22"/>
          <w:szCs w:val="22"/>
        </w:rPr>
        <w:t xml:space="preserve">Employers need clarity on documentation, continuous service across seasons, and reinstatement when roles are seasonal or casual so workers are </w:t>
      </w:r>
      <w:r w:rsidR="00513DC7" w:rsidRPr="00473794">
        <w:rPr>
          <w:rFonts w:ascii="Calibri" w:hAnsi="Calibri" w:cs="Calibri"/>
          <w:sz w:val="22"/>
          <w:szCs w:val="22"/>
        </w:rPr>
        <w:t>protected,</w:t>
      </w:r>
      <w:r w:rsidR="00826834" w:rsidRPr="00473794">
        <w:rPr>
          <w:rFonts w:ascii="Calibri" w:hAnsi="Calibri" w:cs="Calibri"/>
          <w:sz w:val="22"/>
          <w:szCs w:val="22"/>
        </w:rPr>
        <w:t xml:space="preserve"> and businesses can plan coverage without undue disruption.</w:t>
      </w:r>
    </w:p>
    <w:p w14:paraId="15FABE26" w14:textId="77777777" w:rsidR="00F814B5" w:rsidRPr="00473794" w:rsidRDefault="00F814B5" w:rsidP="00D3157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F3F8B70" w14:textId="43DA02E6" w:rsidR="00F814B5" w:rsidRPr="00473794" w:rsidRDefault="00F814B5" w:rsidP="00D3157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34F27">
        <w:rPr>
          <w:rFonts w:ascii="Calibri" w:hAnsi="Calibri" w:cs="Calibri"/>
          <w:sz w:val="22"/>
          <w:szCs w:val="22"/>
        </w:rPr>
        <w:t>TIABC supports the Province’s direction to reduce health-system burden by limiting sick notes for short-term absences. Our recommendations here focus on long-term, job-protected leave only. We ask the Ministry to make plain in regulation and guidance that the 27-week leave can require reasonably sufficient medical certification (e.g., from a physician or nurse practitioner), while Bill 11’s “no-sick-note for short-term absences” remains intact. This prevents misapplication of Bill 11 to extended leaves and gives small seasonal employers predictable tools for planning coverage.</w:t>
      </w:r>
      <w:r w:rsidR="00C16394" w:rsidRPr="00473794">
        <w:rPr>
          <w:rFonts w:ascii="Calibri" w:hAnsi="Calibri" w:cs="Calibri"/>
          <w:sz w:val="22"/>
          <w:szCs w:val="22"/>
        </w:rPr>
        <w:t xml:space="preserve"> </w:t>
      </w:r>
    </w:p>
    <w:p w14:paraId="1A71603D" w14:textId="77777777" w:rsidR="00513DC7" w:rsidRPr="00473794" w:rsidRDefault="00513DC7" w:rsidP="00D3157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6F55FF4" w14:textId="1639549B" w:rsidR="000814F6" w:rsidRPr="00473794" w:rsidRDefault="000814F6" w:rsidP="00826834">
      <w:pPr>
        <w:rPr>
          <w:rFonts w:ascii="Calibri" w:hAnsi="Calibri" w:cs="Calibri"/>
          <w:b/>
          <w:bCs/>
          <w:sz w:val="22"/>
          <w:szCs w:val="22"/>
        </w:rPr>
      </w:pPr>
      <w:r w:rsidRPr="00473794">
        <w:rPr>
          <w:rFonts w:ascii="Calibri" w:hAnsi="Calibri" w:cs="Calibri"/>
          <w:b/>
          <w:bCs/>
          <w:sz w:val="22"/>
          <w:szCs w:val="22"/>
        </w:rPr>
        <w:t>Contex</w:t>
      </w:r>
      <w:r w:rsidR="00A43FC9" w:rsidRPr="00473794">
        <w:rPr>
          <w:rFonts w:ascii="Calibri" w:hAnsi="Calibri" w:cs="Calibri"/>
          <w:b/>
          <w:bCs/>
          <w:sz w:val="22"/>
          <w:szCs w:val="22"/>
        </w:rPr>
        <w:t xml:space="preserve">t – Seasonal Workers </w:t>
      </w:r>
    </w:p>
    <w:p w14:paraId="6CDA8D09" w14:textId="219B9AE9" w:rsidR="00A43FC9" w:rsidRPr="00473794" w:rsidRDefault="00BB6C81" w:rsidP="00826834">
      <w:pPr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>As employee</w:t>
      </w:r>
      <w:r w:rsidR="00A43FC9" w:rsidRPr="00473794">
        <w:rPr>
          <w:rFonts w:ascii="Calibri" w:hAnsi="Calibri" w:cs="Calibri"/>
          <w:sz w:val="22"/>
          <w:szCs w:val="22"/>
        </w:rPr>
        <w:t xml:space="preserve"> replacements must often hold regulated certifications and live on-site in remote seasonal settings, we recommend time-limited backfill</w:t>
      </w:r>
      <w:r w:rsidR="00473794">
        <w:rPr>
          <w:rFonts w:ascii="Calibri" w:hAnsi="Calibri" w:cs="Calibri"/>
          <w:sz w:val="22"/>
          <w:szCs w:val="22"/>
        </w:rPr>
        <w:t xml:space="preserve"> or </w:t>
      </w:r>
      <w:r w:rsidR="00A43FC9" w:rsidRPr="00473794">
        <w:rPr>
          <w:rFonts w:ascii="Calibri" w:hAnsi="Calibri" w:cs="Calibri"/>
          <w:sz w:val="22"/>
          <w:szCs w:val="22"/>
        </w:rPr>
        <w:t xml:space="preserve">placement supports, </w:t>
      </w:r>
      <w:r w:rsidR="00473794">
        <w:rPr>
          <w:rFonts w:ascii="Calibri" w:hAnsi="Calibri" w:cs="Calibri"/>
          <w:sz w:val="22"/>
          <w:szCs w:val="22"/>
        </w:rPr>
        <w:t xml:space="preserve">potential </w:t>
      </w:r>
      <w:r w:rsidR="00A43FC9" w:rsidRPr="00473794">
        <w:rPr>
          <w:rFonts w:ascii="Calibri" w:hAnsi="Calibri" w:cs="Calibri"/>
          <w:sz w:val="22"/>
          <w:szCs w:val="22"/>
        </w:rPr>
        <w:t>housing</w:t>
      </w:r>
      <w:r w:rsidR="00C6229D">
        <w:rPr>
          <w:rFonts w:ascii="Calibri" w:hAnsi="Calibri" w:cs="Calibri"/>
          <w:sz w:val="22"/>
          <w:szCs w:val="22"/>
        </w:rPr>
        <w:t>,</w:t>
      </w:r>
      <w:r w:rsidR="00473794">
        <w:rPr>
          <w:rFonts w:ascii="Calibri" w:hAnsi="Calibri" w:cs="Calibri"/>
          <w:sz w:val="22"/>
          <w:szCs w:val="22"/>
        </w:rPr>
        <w:t xml:space="preserve"> and </w:t>
      </w:r>
      <w:r w:rsidR="00A43FC9" w:rsidRPr="00473794">
        <w:rPr>
          <w:rFonts w:ascii="Calibri" w:hAnsi="Calibri" w:cs="Calibri"/>
          <w:sz w:val="22"/>
          <w:szCs w:val="22"/>
        </w:rPr>
        <w:t xml:space="preserve">travel offsets to seasonal </w:t>
      </w:r>
      <w:r w:rsidR="00473794">
        <w:rPr>
          <w:rFonts w:ascii="Calibri" w:hAnsi="Calibri" w:cs="Calibri"/>
          <w:sz w:val="22"/>
          <w:szCs w:val="22"/>
        </w:rPr>
        <w:t xml:space="preserve">tourism </w:t>
      </w:r>
      <w:r w:rsidR="00A43FC9" w:rsidRPr="00473794">
        <w:rPr>
          <w:rFonts w:ascii="Calibri" w:hAnsi="Calibri" w:cs="Calibri"/>
          <w:sz w:val="22"/>
          <w:szCs w:val="22"/>
        </w:rPr>
        <w:t>operations.</w:t>
      </w:r>
    </w:p>
    <w:p w14:paraId="3EE5D165" w14:textId="78CDEFEC" w:rsidR="0087048F" w:rsidRPr="00473794" w:rsidRDefault="00270F04" w:rsidP="00826834">
      <w:pPr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>In the case of b</w:t>
      </w:r>
      <w:r w:rsidR="00BB6C81" w:rsidRPr="00473794">
        <w:rPr>
          <w:rFonts w:ascii="Calibri" w:hAnsi="Calibri" w:cs="Calibri"/>
          <w:sz w:val="22"/>
          <w:szCs w:val="22"/>
        </w:rPr>
        <w:t>ear-viewing lodge</w:t>
      </w:r>
      <w:r w:rsidRPr="00473794">
        <w:rPr>
          <w:rFonts w:ascii="Calibri" w:hAnsi="Calibri" w:cs="Calibri"/>
          <w:sz w:val="22"/>
          <w:szCs w:val="22"/>
        </w:rPr>
        <w:t>s</w:t>
      </w:r>
      <w:r w:rsidR="00BB6C81" w:rsidRPr="00473794">
        <w:rPr>
          <w:rFonts w:ascii="Calibri" w:hAnsi="Calibri" w:cs="Calibri"/>
          <w:sz w:val="22"/>
          <w:szCs w:val="22"/>
        </w:rPr>
        <w:t xml:space="preserve"> </w:t>
      </w:r>
      <w:r w:rsidR="00473794">
        <w:rPr>
          <w:rFonts w:ascii="Calibri" w:hAnsi="Calibri" w:cs="Calibri"/>
          <w:sz w:val="22"/>
          <w:szCs w:val="22"/>
        </w:rPr>
        <w:t xml:space="preserve">for example </w:t>
      </w:r>
      <w:r w:rsidRPr="00473794">
        <w:rPr>
          <w:rFonts w:ascii="Calibri" w:hAnsi="Calibri" w:cs="Calibri"/>
          <w:sz w:val="22"/>
          <w:szCs w:val="22"/>
        </w:rPr>
        <w:t xml:space="preserve">which typically operate from </w:t>
      </w:r>
      <w:r w:rsidR="00BB6C81" w:rsidRPr="00473794">
        <w:rPr>
          <w:rFonts w:ascii="Calibri" w:hAnsi="Calibri" w:cs="Calibri"/>
          <w:sz w:val="22"/>
          <w:szCs w:val="22"/>
        </w:rPr>
        <w:t>May–October</w:t>
      </w:r>
      <w:r w:rsidRPr="00473794">
        <w:rPr>
          <w:rFonts w:ascii="Calibri" w:hAnsi="Calibri" w:cs="Calibri"/>
          <w:sz w:val="22"/>
          <w:szCs w:val="22"/>
        </w:rPr>
        <w:t>, g</w:t>
      </w:r>
      <w:r w:rsidR="00BB6C81" w:rsidRPr="00473794">
        <w:rPr>
          <w:rFonts w:ascii="Calibri" w:hAnsi="Calibri" w:cs="Calibri"/>
          <w:sz w:val="22"/>
          <w:szCs w:val="22"/>
        </w:rPr>
        <w:t>uides need wildlife-specific training (e.g., Commercial Bear Viewing Association levels, wilderness first aid). If a certified lead guide takes extended leave, a replacement must meet those standards before guiding guests, which can’t be done overnight. A small onetime backfill stipend for seasonal lodges would help.</w:t>
      </w:r>
    </w:p>
    <w:p w14:paraId="4B48C5CB" w14:textId="1880873E" w:rsidR="00235DE9" w:rsidRPr="00473794" w:rsidRDefault="00622D03" w:rsidP="00826834">
      <w:pPr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lastRenderedPageBreak/>
        <w:t>For golf courses and winter mountain resort operations, seasonal greens or lift maintenance teams are small; pulling one certified mechanic into long-term leave pushes mandated safety checks onto overtime. R</w:t>
      </w:r>
      <w:r w:rsidR="0073614B" w:rsidRPr="00473794">
        <w:rPr>
          <w:rFonts w:ascii="Calibri" w:hAnsi="Calibri" w:cs="Calibri"/>
          <w:sz w:val="22"/>
          <w:szCs w:val="22"/>
        </w:rPr>
        <w:t xml:space="preserve">eturn to work </w:t>
      </w:r>
      <w:r w:rsidRPr="00473794">
        <w:rPr>
          <w:rFonts w:ascii="Calibri" w:hAnsi="Calibri" w:cs="Calibri"/>
          <w:sz w:val="22"/>
          <w:szCs w:val="22"/>
        </w:rPr>
        <w:t>coaching and a shared regional staffing pool (</w:t>
      </w:r>
      <w:r w:rsidR="0073614B" w:rsidRPr="00473794">
        <w:rPr>
          <w:rFonts w:ascii="Calibri" w:hAnsi="Calibri" w:cs="Calibri"/>
          <w:sz w:val="22"/>
          <w:szCs w:val="22"/>
        </w:rPr>
        <w:t xml:space="preserve">potentially </w:t>
      </w:r>
      <w:r w:rsidRPr="00473794">
        <w:rPr>
          <w:rFonts w:ascii="Calibri" w:hAnsi="Calibri" w:cs="Calibri"/>
          <w:sz w:val="22"/>
          <w:szCs w:val="22"/>
        </w:rPr>
        <w:t>in partnership with go2HR/</w:t>
      </w:r>
      <w:proofErr w:type="spellStart"/>
      <w:r w:rsidRPr="00473794">
        <w:rPr>
          <w:rFonts w:ascii="Calibri" w:hAnsi="Calibri" w:cs="Calibri"/>
          <w:sz w:val="22"/>
          <w:szCs w:val="22"/>
        </w:rPr>
        <w:t>WorkBC</w:t>
      </w:r>
      <w:proofErr w:type="spellEnd"/>
      <w:r w:rsidRPr="00473794">
        <w:rPr>
          <w:rFonts w:ascii="Calibri" w:hAnsi="Calibri" w:cs="Calibri"/>
          <w:sz w:val="22"/>
          <w:szCs w:val="22"/>
        </w:rPr>
        <w:t xml:space="preserve">) </w:t>
      </w:r>
      <w:r w:rsidR="00235DE9">
        <w:rPr>
          <w:rFonts w:ascii="Calibri" w:hAnsi="Calibri" w:cs="Calibri"/>
          <w:sz w:val="22"/>
          <w:szCs w:val="22"/>
        </w:rPr>
        <w:t>c</w:t>
      </w:r>
      <w:r w:rsidRPr="00473794">
        <w:rPr>
          <w:rFonts w:ascii="Calibri" w:hAnsi="Calibri" w:cs="Calibri"/>
          <w:sz w:val="22"/>
          <w:szCs w:val="22"/>
        </w:rPr>
        <w:t>ould reduce downtime.</w:t>
      </w:r>
    </w:p>
    <w:p w14:paraId="08EDD04C" w14:textId="1D96382A" w:rsidR="00826834" w:rsidRPr="00473794" w:rsidRDefault="00DE5BED" w:rsidP="00826834">
      <w:pPr>
        <w:rPr>
          <w:rFonts w:ascii="Calibri" w:hAnsi="Calibri" w:cs="Calibri"/>
          <w:b/>
          <w:bCs/>
          <w:sz w:val="22"/>
          <w:szCs w:val="22"/>
        </w:rPr>
      </w:pPr>
      <w:r w:rsidRPr="00473794">
        <w:rPr>
          <w:rFonts w:ascii="Calibri" w:hAnsi="Calibri" w:cs="Calibri"/>
          <w:b/>
          <w:bCs/>
          <w:sz w:val="22"/>
          <w:szCs w:val="22"/>
        </w:rPr>
        <w:t>R</w:t>
      </w:r>
      <w:r w:rsidR="00826834" w:rsidRPr="00473794">
        <w:rPr>
          <w:rFonts w:ascii="Calibri" w:hAnsi="Calibri" w:cs="Calibri"/>
          <w:b/>
          <w:bCs/>
          <w:sz w:val="22"/>
          <w:szCs w:val="22"/>
        </w:rPr>
        <w:t>ecommendations</w:t>
      </w:r>
    </w:p>
    <w:p w14:paraId="265C981A" w14:textId="5DB7E8B6" w:rsidR="00826834" w:rsidRPr="00473794" w:rsidRDefault="00826834" w:rsidP="00826834">
      <w:pPr>
        <w:rPr>
          <w:rFonts w:ascii="Calibri" w:hAnsi="Calibri" w:cs="Calibri"/>
          <w:b/>
          <w:bCs/>
          <w:sz w:val="22"/>
          <w:szCs w:val="22"/>
        </w:rPr>
      </w:pPr>
      <w:r w:rsidRPr="00473794">
        <w:rPr>
          <w:rFonts w:ascii="Calibri" w:hAnsi="Calibri" w:cs="Calibri"/>
          <w:b/>
          <w:bCs/>
          <w:sz w:val="22"/>
          <w:szCs w:val="22"/>
        </w:rPr>
        <w:t>1) Clear and predictable timing</w:t>
      </w:r>
    </w:p>
    <w:p w14:paraId="4943E287" w14:textId="5F5A3656" w:rsidR="00826834" w:rsidRPr="00473794" w:rsidRDefault="00826834" w:rsidP="0082683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 xml:space="preserve">Primary ask: Set one province-wide in-force </w:t>
      </w:r>
      <w:r w:rsidR="00172EAB" w:rsidRPr="00473794">
        <w:rPr>
          <w:rFonts w:ascii="Calibri" w:hAnsi="Calibri" w:cs="Calibri"/>
          <w:sz w:val="22"/>
          <w:szCs w:val="22"/>
        </w:rPr>
        <w:t xml:space="preserve">launch </w:t>
      </w:r>
      <w:r w:rsidRPr="00473794">
        <w:rPr>
          <w:rFonts w:ascii="Calibri" w:hAnsi="Calibri" w:cs="Calibri"/>
          <w:sz w:val="22"/>
          <w:szCs w:val="22"/>
        </w:rPr>
        <w:t>date preceded by a 6–</w:t>
      </w:r>
      <w:proofErr w:type="gramStart"/>
      <w:r w:rsidR="00FD790E" w:rsidRPr="00473794">
        <w:rPr>
          <w:rFonts w:ascii="Calibri" w:hAnsi="Calibri" w:cs="Calibri"/>
          <w:sz w:val="22"/>
          <w:szCs w:val="22"/>
        </w:rPr>
        <w:t>12 month</w:t>
      </w:r>
      <w:proofErr w:type="gramEnd"/>
      <w:r w:rsidRPr="00473794">
        <w:rPr>
          <w:rFonts w:ascii="Calibri" w:hAnsi="Calibri" w:cs="Calibri"/>
          <w:sz w:val="22"/>
          <w:szCs w:val="22"/>
        </w:rPr>
        <w:t xml:space="preserve"> transition focused on education, templates, and compliance support. </w:t>
      </w:r>
    </w:p>
    <w:p w14:paraId="4C564104" w14:textId="6F2708CC" w:rsidR="00826834" w:rsidRPr="00473794" w:rsidRDefault="00826834" w:rsidP="0082683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 xml:space="preserve">Seasonality alignment clause: If an employer’s operating season starts within 90 days of the in-force date, allow compliance to begin on the first day of that </w:t>
      </w:r>
      <w:r w:rsidR="00172EAB" w:rsidRPr="00473794">
        <w:rPr>
          <w:rFonts w:ascii="Calibri" w:hAnsi="Calibri" w:cs="Calibri"/>
          <w:sz w:val="22"/>
          <w:szCs w:val="22"/>
        </w:rPr>
        <w:t xml:space="preserve">operating </w:t>
      </w:r>
      <w:r w:rsidRPr="00473794">
        <w:rPr>
          <w:rFonts w:ascii="Calibri" w:hAnsi="Calibri" w:cs="Calibri"/>
          <w:sz w:val="22"/>
          <w:szCs w:val="22"/>
        </w:rPr>
        <w:t>season to avoid mid-season policy changes.</w:t>
      </w:r>
    </w:p>
    <w:p w14:paraId="2E6A6B87" w14:textId="04D429C1" w:rsidR="005D33D8" w:rsidRPr="00473794" w:rsidRDefault="00826834" w:rsidP="0073614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>24-month review: Commit to a formal review (with sectoral data) to assess impacts on seasonal operations and make evidence-based adjustments.</w:t>
      </w:r>
    </w:p>
    <w:p w14:paraId="735CF8B2" w14:textId="77777777" w:rsidR="00826834" w:rsidRPr="00473794" w:rsidRDefault="00826834" w:rsidP="00826834">
      <w:pPr>
        <w:rPr>
          <w:rFonts w:ascii="Calibri" w:hAnsi="Calibri" w:cs="Calibri"/>
          <w:b/>
          <w:bCs/>
          <w:sz w:val="22"/>
          <w:szCs w:val="22"/>
        </w:rPr>
      </w:pPr>
      <w:r w:rsidRPr="00473794">
        <w:rPr>
          <w:rFonts w:ascii="Calibri" w:hAnsi="Calibri" w:cs="Calibri"/>
          <w:b/>
          <w:bCs/>
          <w:sz w:val="22"/>
          <w:szCs w:val="22"/>
        </w:rPr>
        <w:t>2) Clear medical documentation rules for long-term leave</w:t>
      </w:r>
    </w:p>
    <w:p w14:paraId="50BDB3A2" w14:textId="141647DC" w:rsidR="00826834" w:rsidRPr="00473794" w:rsidRDefault="00826834" w:rsidP="0082683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>For the 27-week leave only, clarify reasonably sufficient proof include</w:t>
      </w:r>
      <w:r w:rsidR="00F618DB">
        <w:rPr>
          <w:rFonts w:ascii="Calibri" w:hAnsi="Calibri" w:cs="Calibri"/>
          <w:sz w:val="22"/>
          <w:szCs w:val="22"/>
        </w:rPr>
        <w:t>s</w:t>
      </w:r>
      <w:r w:rsidRPr="00473794">
        <w:rPr>
          <w:rFonts w:ascii="Calibri" w:hAnsi="Calibri" w:cs="Calibri"/>
          <w:sz w:val="22"/>
          <w:szCs w:val="22"/>
        </w:rPr>
        <w:t xml:space="preserve"> </w:t>
      </w:r>
      <w:r w:rsidR="00F814B5" w:rsidRPr="00473794">
        <w:rPr>
          <w:rFonts w:ascii="Calibri" w:hAnsi="Calibri" w:cs="Calibri"/>
          <w:sz w:val="22"/>
          <w:szCs w:val="22"/>
        </w:rPr>
        <w:t xml:space="preserve">medical </w:t>
      </w:r>
      <w:r w:rsidRPr="00473794">
        <w:rPr>
          <w:rFonts w:ascii="Calibri" w:hAnsi="Calibri" w:cs="Calibri"/>
          <w:sz w:val="22"/>
          <w:szCs w:val="22"/>
        </w:rPr>
        <w:t>certifications from physicians or nurse practitioners.</w:t>
      </w:r>
    </w:p>
    <w:p w14:paraId="18A12825" w14:textId="107710B1" w:rsidR="00826834" w:rsidRPr="00473794" w:rsidRDefault="00826834" w:rsidP="00826834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 xml:space="preserve">Explain how this interacts with Bill 11 (short-term sick-note restrictions), so employers don’t mistakenly apply “no-note” rules to extended leaves. </w:t>
      </w:r>
      <w:r w:rsidRPr="00473794">
        <w:rPr>
          <w:rStyle w:val="FootnoteReference"/>
          <w:rFonts w:ascii="Calibri" w:hAnsi="Calibri" w:cs="Calibri"/>
          <w:sz w:val="22"/>
          <w:szCs w:val="22"/>
        </w:rPr>
        <w:footnoteReference w:id="1"/>
      </w:r>
    </w:p>
    <w:p w14:paraId="798DC232" w14:textId="3B995011" w:rsidR="00826834" w:rsidRPr="00473794" w:rsidRDefault="00826834" w:rsidP="00826834">
      <w:pPr>
        <w:rPr>
          <w:rFonts w:ascii="Calibri" w:hAnsi="Calibri" w:cs="Calibri"/>
          <w:b/>
          <w:bCs/>
          <w:sz w:val="22"/>
          <w:szCs w:val="22"/>
        </w:rPr>
      </w:pPr>
      <w:r w:rsidRPr="00473794">
        <w:rPr>
          <w:rFonts w:ascii="Calibri" w:hAnsi="Calibri" w:cs="Calibri"/>
          <w:b/>
          <w:bCs/>
          <w:sz w:val="22"/>
          <w:szCs w:val="22"/>
        </w:rPr>
        <w:t xml:space="preserve">3) Seasonal operations guidance </w:t>
      </w:r>
    </w:p>
    <w:p w14:paraId="5EF418D7" w14:textId="77777777" w:rsidR="00F618DB" w:rsidRPr="00F618DB" w:rsidRDefault="00F618DB" w:rsidP="00F618DB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F618DB">
        <w:rPr>
          <w:rFonts w:ascii="Calibri" w:hAnsi="Calibri" w:cs="Calibri"/>
          <w:sz w:val="22"/>
          <w:szCs w:val="22"/>
        </w:rPr>
        <w:t>Continuous service across seasons:</w:t>
      </w:r>
      <w:r w:rsidRPr="00F618D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618DB">
        <w:rPr>
          <w:rFonts w:ascii="Calibri" w:hAnsi="Calibri" w:cs="Calibri"/>
          <w:sz w:val="22"/>
          <w:szCs w:val="22"/>
        </w:rPr>
        <w:t>When an employee returns to the same employer within 12 months, count their prior seasonal time as continuous service for eligibility and recall.</w:t>
      </w:r>
    </w:p>
    <w:p w14:paraId="5569E704" w14:textId="70350582" w:rsidR="00F618DB" w:rsidRPr="00F618DB" w:rsidRDefault="00F618DB" w:rsidP="00F618DB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F618DB">
        <w:rPr>
          <w:rFonts w:ascii="Calibri" w:hAnsi="Calibri" w:cs="Calibri"/>
          <w:sz w:val="22"/>
          <w:szCs w:val="22"/>
        </w:rPr>
        <w:t xml:space="preserve">Reinstatement </w:t>
      </w:r>
      <w:r w:rsidR="0089411C">
        <w:rPr>
          <w:rFonts w:ascii="Calibri" w:hAnsi="Calibri" w:cs="Calibri"/>
          <w:sz w:val="22"/>
          <w:szCs w:val="22"/>
        </w:rPr>
        <w:t>for</w:t>
      </w:r>
      <w:r w:rsidRPr="00F618DB">
        <w:rPr>
          <w:rFonts w:ascii="Calibri" w:hAnsi="Calibri" w:cs="Calibri"/>
          <w:sz w:val="22"/>
          <w:szCs w:val="22"/>
        </w:rPr>
        <w:t xml:space="preserve"> seasonal</w:t>
      </w:r>
      <w:r w:rsidRPr="0089411C">
        <w:rPr>
          <w:rFonts w:ascii="Calibri" w:hAnsi="Calibri" w:cs="Calibri"/>
          <w:sz w:val="22"/>
          <w:szCs w:val="22"/>
        </w:rPr>
        <w:t xml:space="preserve"> or </w:t>
      </w:r>
      <w:r w:rsidRPr="00F618DB">
        <w:rPr>
          <w:rFonts w:ascii="Calibri" w:hAnsi="Calibri" w:cs="Calibri"/>
          <w:sz w:val="22"/>
          <w:szCs w:val="22"/>
        </w:rPr>
        <w:t>casual</w:t>
      </w:r>
      <w:r w:rsidR="0089411C">
        <w:rPr>
          <w:rFonts w:ascii="Calibri" w:hAnsi="Calibri" w:cs="Calibri"/>
          <w:sz w:val="22"/>
          <w:szCs w:val="22"/>
        </w:rPr>
        <w:t xml:space="preserve"> roles</w:t>
      </w:r>
      <w:r w:rsidRPr="00F618DB">
        <w:rPr>
          <w:rFonts w:ascii="Calibri" w:hAnsi="Calibri" w:cs="Calibri"/>
          <w:sz w:val="22"/>
          <w:szCs w:val="22"/>
        </w:rPr>
        <w:t>:</w:t>
      </w:r>
      <w:r w:rsidRPr="00F618D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618DB">
        <w:rPr>
          <w:rFonts w:ascii="Calibri" w:hAnsi="Calibri" w:cs="Calibri"/>
          <w:sz w:val="22"/>
          <w:szCs w:val="22"/>
        </w:rPr>
        <w:t>If the identical job isn’t operating off-season, give the worker first right of recall to the same role</w:t>
      </w:r>
      <w:r>
        <w:rPr>
          <w:rFonts w:ascii="Calibri" w:hAnsi="Calibri" w:cs="Calibri"/>
          <w:sz w:val="22"/>
          <w:szCs w:val="22"/>
        </w:rPr>
        <w:t xml:space="preserve"> </w:t>
      </w:r>
      <w:r w:rsidRPr="00F618DB">
        <w:rPr>
          <w:rFonts w:ascii="Calibri" w:hAnsi="Calibri" w:cs="Calibri"/>
          <w:sz w:val="22"/>
          <w:szCs w:val="22"/>
        </w:rPr>
        <w:t>on the next season’s opening</w:t>
      </w:r>
      <w:r w:rsidR="0089411C">
        <w:rPr>
          <w:rFonts w:ascii="Calibri" w:hAnsi="Calibri" w:cs="Calibri"/>
          <w:sz w:val="22"/>
          <w:szCs w:val="22"/>
        </w:rPr>
        <w:t xml:space="preserve">. The employer may </w:t>
      </w:r>
      <w:r w:rsidRPr="00F618DB">
        <w:rPr>
          <w:rFonts w:ascii="Calibri" w:hAnsi="Calibri" w:cs="Calibri"/>
          <w:sz w:val="22"/>
          <w:szCs w:val="22"/>
        </w:rPr>
        <w:t>offer a comparable job in the interim if available (similar duties, skill level, and pay band).</w:t>
      </w:r>
    </w:p>
    <w:p w14:paraId="5AD06868" w14:textId="33686F38" w:rsidR="00F618DB" w:rsidRPr="00F618DB" w:rsidRDefault="00F618DB" w:rsidP="00F618DB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F618DB">
        <w:rPr>
          <w:rFonts w:ascii="Calibri" w:hAnsi="Calibri" w:cs="Calibri"/>
          <w:sz w:val="22"/>
          <w:szCs w:val="22"/>
        </w:rPr>
        <w:t>Fixed-term seasonal contracts:</w:t>
      </w:r>
      <w:r w:rsidRPr="00F618D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618DB">
        <w:rPr>
          <w:rFonts w:ascii="Calibri" w:hAnsi="Calibri" w:cs="Calibri"/>
          <w:sz w:val="22"/>
          <w:szCs w:val="22"/>
        </w:rPr>
        <w:t xml:space="preserve">Once the service threshold is met, fixed-term seasonal employees </w:t>
      </w:r>
      <w:r>
        <w:rPr>
          <w:rFonts w:ascii="Calibri" w:hAnsi="Calibri" w:cs="Calibri"/>
          <w:sz w:val="22"/>
          <w:szCs w:val="22"/>
        </w:rPr>
        <w:t>would be</w:t>
      </w:r>
      <w:r w:rsidRPr="00F618DB">
        <w:rPr>
          <w:rFonts w:ascii="Calibri" w:hAnsi="Calibri" w:cs="Calibri"/>
          <w:sz w:val="22"/>
          <w:szCs w:val="22"/>
        </w:rPr>
        <w:t xml:space="preserve"> eligible for the 27-week leave. If the term ends during leave, allow return before season end if feasible, or recall at next season start where the position resumes.</w:t>
      </w:r>
    </w:p>
    <w:p w14:paraId="0FADAB33" w14:textId="77777777" w:rsidR="00826834" w:rsidRPr="00473794" w:rsidRDefault="00826834" w:rsidP="00826834">
      <w:pPr>
        <w:rPr>
          <w:rFonts w:ascii="Calibri" w:hAnsi="Calibri" w:cs="Calibri"/>
          <w:b/>
          <w:bCs/>
          <w:sz w:val="22"/>
          <w:szCs w:val="22"/>
        </w:rPr>
      </w:pPr>
      <w:r w:rsidRPr="00473794">
        <w:rPr>
          <w:rFonts w:ascii="Calibri" w:hAnsi="Calibri" w:cs="Calibri"/>
          <w:b/>
          <w:bCs/>
          <w:sz w:val="22"/>
          <w:szCs w:val="22"/>
        </w:rPr>
        <w:t>4) Implementation toolkit for small and remote employers</w:t>
      </w:r>
    </w:p>
    <w:p w14:paraId="148D89AA" w14:textId="35C57712" w:rsidR="00826834" w:rsidRPr="00473794" w:rsidRDefault="00826834" w:rsidP="00826834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>Publish a sector-ready toolkit</w:t>
      </w:r>
      <w:r w:rsidR="00F618DB">
        <w:rPr>
          <w:rFonts w:ascii="Calibri" w:hAnsi="Calibri" w:cs="Calibri"/>
          <w:sz w:val="22"/>
          <w:szCs w:val="22"/>
        </w:rPr>
        <w:t xml:space="preserve"> in partnership with WorkSafeBC</w:t>
      </w:r>
      <w:r w:rsidRPr="00473794">
        <w:rPr>
          <w:rFonts w:ascii="Calibri" w:hAnsi="Calibri" w:cs="Calibri"/>
          <w:sz w:val="22"/>
          <w:szCs w:val="22"/>
        </w:rPr>
        <w:t xml:space="preserve">: model policies, </w:t>
      </w:r>
      <w:r w:rsidR="006B2D82" w:rsidRPr="00473794">
        <w:rPr>
          <w:rFonts w:ascii="Calibri" w:hAnsi="Calibri" w:cs="Calibri"/>
          <w:sz w:val="22"/>
          <w:szCs w:val="22"/>
        </w:rPr>
        <w:t>employer</w:t>
      </w:r>
      <w:r w:rsidRPr="00473794">
        <w:rPr>
          <w:rFonts w:ascii="Calibri" w:hAnsi="Calibri" w:cs="Calibri"/>
          <w:sz w:val="22"/>
          <w:szCs w:val="22"/>
        </w:rPr>
        <w:t xml:space="preserve"> FAQs, </w:t>
      </w:r>
      <w:r w:rsidR="0089411C" w:rsidRPr="00473794">
        <w:rPr>
          <w:rFonts w:ascii="Calibri" w:hAnsi="Calibri" w:cs="Calibri"/>
          <w:sz w:val="22"/>
          <w:szCs w:val="22"/>
        </w:rPr>
        <w:t xml:space="preserve">return-to-work checklists, </w:t>
      </w:r>
      <w:r w:rsidRPr="00473794">
        <w:rPr>
          <w:rFonts w:ascii="Calibri" w:hAnsi="Calibri" w:cs="Calibri"/>
          <w:sz w:val="22"/>
          <w:szCs w:val="22"/>
        </w:rPr>
        <w:t>and sample staff communications</w:t>
      </w:r>
      <w:r w:rsidR="0089411C">
        <w:rPr>
          <w:rFonts w:ascii="Calibri" w:hAnsi="Calibri" w:cs="Calibri"/>
          <w:sz w:val="22"/>
          <w:szCs w:val="22"/>
        </w:rPr>
        <w:t xml:space="preserve">, </w:t>
      </w:r>
      <w:r w:rsidR="0020336C" w:rsidRPr="00473794">
        <w:rPr>
          <w:rFonts w:ascii="Calibri" w:hAnsi="Calibri" w:cs="Calibri"/>
          <w:sz w:val="22"/>
          <w:szCs w:val="22"/>
        </w:rPr>
        <w:t>aligned with</w:t>
      </w:r>
      <w:r w:rsidRPr="00473794">
        <w:rPr>
          <w:rFonts w:ascii="Calibri" w:hAnsi="Calibri" w:cs="Calibri"/>
          <w:sz w:val="22"/>
          <w:szCs w:val="22"/>
        </w:rPr>
        <w:t xml:space="preserve"> </w:t>
      </w:r>
      <w:r w:rsidR="00F618DB">
        <w:rPr>
          <w:rFonts w:ascii="Calibri" w:hAnsi="Calibri" w:cs="Calibri"/>
          <w:sz w:val="22"/>
          <w:szCs w:val="22"/>
        </w:rPr>
        <w:t>the seasonality</w:t>
      </w:r>
      <w:r w:rsidR="0089411C">
        <w:rPr>
          <w:rFonts w:ascii="Calibri" w:hAnsi="Calibri" w:cs="Calibri"/>
          <w:sz w:val="22"/>
          <w:szCs w:val="22"/>
        </w:rPr>
        <w:t xml:space="preserve"> and </w:t>
      </w:r>
      <w:r w:rsidR="00F618DB">
        <w:rPr>
          <w:rFonts w:ascii="Calibri" w:hAnsi="Calibri" w:cs="Calibri"/>
          <w:sz w:val="22"/>
          <w:szCs w:val="22"/>
        </w:rPr>
        <w:t xml:space="preserve">pronounced </w:t>
      </w:r>
      <w:r w:rsidR="00235DE9">
        <w:rPr>
          <w:rFonts w:ascii="Calibri" w:hAnsi="Calibri" w:cs="Calibri"/>
          <w:sz w:val="22"/>
          <w:szCs w:val="22"/>
        </w:rPr>
        <w:t>variability</w:t>
      </w:r>
      <w:r w:rsidR="0089411C">
        <w:rPr>
          <w:rFonts w:ascii="Calibri" w:hAnsi="Calibri" w:cs="Calibri"/>
          <w:sz w:val="22"/>
          <w:szCs w:val="22"/>
        </w:rPr>
        <w:t xml:space="preserve"> </w:t>
      </w:r>
      <w:r w:rsidR="00F618DB">
        <w:rPr>
          <w:rFonts w:ascii="Calibri" w:hAnsi="Calibri" w:cs="Calibri"/>
          <w:sz w:val="22"/>
          <w:szCs w:val="22"/>
        </w:rPr>
        <w:t xml:space="preserve">of the </w:t>
      </w:r>
      <w:r w:rsidRPr="00473794">
        <w:rPr>
          <w:rFonts w:ascii="Calibri" w:hAnsi="Calibri" w:cs="Calibri"/>
          <w:sz w:val="22"/>
          <w:szCs w:val="22"/>
        </w:rPr>
        <w:t>hospitality and tourism</w:t>
      </w:r>
      <w:r w:rsidR="00F618DB">
        <w:rPr>
          <w:rFonts w:ascii="Calibri" w:hAnsi="Calibri" w:cs="Calibri"/>
          <w:sz w:val="22"/>
          <w:szCs w:val="22"/>
        </w:rPr>
        <w:t xml:space="preserve"> industry</w:t>
      </w:r>
      <w:r w:rsidRPr="00473794">
        <w:rPr>
          <w:rFonts w:ascii="Calibri" w:hAnsi="Calibri" w:cs="Calibri"/>
          <w:sz w:val="22"/>
          <w:szCs w:val="22"/>
        </w:rPr>
        <w:t>.</w:t>
      </w:r>
    </w:p>
    <w:p w14:paraId="14E6F2D6" w14:textId="77777777" w:rsidR="00826834" w:rsidRPr="00473794" w:rsidRDefault="00826834" w:rsidP="00826834">
      <w:pPr>
        <w:rPr>
          <w:rFonts w:ascii="Calibri" w:hAnsi="Calibri" w:cs="Calibri"/>
          <w:b/>
          <w:bCs/>
          <w:sz w:val="22"/>
          <w:szCs w:val="22"/>
        </w:rPr>
      </w:pPr>
      <w:r w:rsidRPr="00473794">
        <w:rPr>
          <w:rFonts w:ascii="Calibri" w:hAnsi="Calibri" w:cs="Calibri"/>
          <w:b/>
          <w:bCs/>
          <w:sz w:val="22"/>
          <w:szCs w:val="22"/>
        </w:rPr>
        <w:lastRenderedPageBreak/>
        <w:t>5) Targeted transition supports</w:t>
      </w:r>
    </w:p>
    <w:p w14:paraId="604FC18B" w14:textId="6C486485" w:rsidR="00826834" w:rsidRPr="00473794" w:rsidRDefault="00826834" w:rsidP="00826834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>Consider temporary staffing placement subsidy support for peak periods, or one-time transition funding</w:t>
      </w:r>
      <w:r w:rsidR="0089411C">
        <w:rPr>
          <w:rFonts w:ascii="Calibri" w:hAnsi="Calibri" w:cs="Calibri"/>
          <w:sz w:val="22"/>
          <w:szCs w:val="22"/>
        </w:rPr>
        <w:t>/</w:t>
      </w:r>
      <w:r w:rsidRPr="00473794">
        <w:rPr>
          <w:rFonts w:ascii="Calibri" w:hAnsi="Calibri" w:cs="Calibri"/>
          <w:sz w:val="22"/>
          <w:szCs w:val="22"/>
        </w:rPr>
        <w:t>tax credits to offset backfill and onboarding costs for small operators in rural</w:t>
      </w:r>
      <w:r w:rsidR="00F618DB">
        <w:rPr>
          <w:rFonts w:ascii="Calibri" w:hAnsi="Calibri" w:cs="Calibri"/>
          <w:sz w:val="22"/>
          <w:szCs w:val="22"/>
        </w:rPr>
        <w:t xml:space="preserve"> and </w:t>
      </w:r>
      <w:r w:rsidRPr="00473794">
        <w:rPr>
          <w:rFonts w:ascii="Calibri" w:hAnsi="Calibri" w:cs="Calibri"/>
          <w:sz w:val="22"/>
          <w:szCs w:val="22"/>
        </w:rPr>
        <w:t>remote communities.</w:t>
      </w:r>
    </w:p>
    <w:p w14:paraId="31D58F08" w14:textId="77777777" w:rsidR="005D33D8" w:rsidRPr="00473794" w:rsidRDefault="005D33D8" w:rsidP="00F618DB">
      <w:pPr>
        <w:rPr>
          <w:rFonts w:ascii="Calibri" w:hAnsi="Calibri" w:cs="Calibri"/>
          <w:sz w:val="22"/>
          <w:szCs w:val="22"/>
        </w:rPr>
      </w:pPr>
    </w:p>
    <w:p w14:paraId="03F95052" w14:textId="77777777" w:rsidR="00826834" w:rsidRPr="00473794" w:rsidRDefault="00826834" w:rsidP="0082683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b/>
          <w:bCs/>
          <w:sz w:val="22"/>
          <w:szCs w:val="22"/>
        </w:rPr>
        <w:t>Contact:</w:t>
      </w:r>
      <w:r w:rsidRPr="00473794">
        <w:rPr>
          <w:rFonts w:ascii="Calibri" w:hAnsi="Calibri" w:cs="Calibri"/>
          <w:sz w:val="22"/>
          <w:szCs w:val="22"/>
        </w:rPr>
        <w:br/>
        <w:t xml:space="preserve">Cassandra Zerebeski, Policy Director, </w:t>
      </w:r>
    </w:p>
    <w:p w14:paraId="5532FE24" w14:textId="59754C34" w:rsidR="00B04EE7" w:rsidRPr="00473794" w:rsidRDefault="00826834" w:rsidP="0082683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>Tourism Industry Association of BC (TIABC)</w:t>
      </w:r>
      <w:r w:rsidRPr="00473794">
        <w:rPr>
          <w:rFonts w:ascii="Calibri" w:hAnsi="Calibri" w:cs="Calibri"/>
          <w:sz w:val="22"/>
          <w:szCs w:val="22"/>
        </w:rPr>
        <w:br/>
      </w:r>
      <w:hyperlink r:id="rId8" w:history="1">
        <w:r w:rsidRPr="00473794">
          <w:rPr>
            <w:rStyle w:val="Hyperlink"/>
            <w:rFonts w:ascii="Calibri" w:hAnsi="Calibri" w:cs="Calibri"/>
            <w:sz w:val="22"/>
            <w:szCs w:val="22"/>
          </w:rPr>
          <w:t>czerebeski@tiabc.ca</w:t>
        </w:r>
      </w:hyperlink>
      <w:r w:rsidRPr="00473794">
        <w:rPr>
          <w:rFonts w:ascii="Calibri" w:hAnsi="Calibri" w:cs="Calibri"/>
          <w:sz w:val="22"/>
          <w:szCs w:val="22"/>
        </w:rPr>
        <w:t xml:space="preserve"> | tiabc.ca</w:t>
      </w:r>
    </w:p>
    <w:p w14:paraId="2B726AB9" w14:textId="2FFD6C7A" w:rsidR="00A83CAE" w:rsidRPr="00473794" w:rsidRDefault="001A3244" w:rsidP="0082683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73794">
        <w:rPr>
          <w:rFonts w:ascii="Calibri" w:hAnsi="Calibri" w:cs="Calibri"/>
          <w:sz w:val="22"/>
          <w:szCs w:val="22"/>
        </w:rPr>
        <w:t>604-849-1550</w:t>
      </w:r>
    </w:p>
    <w:sectPr w:rsidR="00A83CAE" w:rsidRPr="004737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A339" w14:textId="77777777" w:rsidR="0041490C" w:rsidRDefault="0041490C" w:rsidP="00826834">
      <w:pPr>
        <w:spacing w:after="0" w:line="240" w:lineRule="auto"/>
      </w:pPr>
      <w:r>
        <w:separator/>
      </w:r>
    </w:p>
  </w:endnote>
  <w:endnote w:type="continuationSeparator" w:id="0">
    <w:p w14:paraId="44894E3A" w14:textId="77777777" w:rsidR="0041490C" w:rsidRDefault="0041490C" w:rsidP="0082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BC53" w14:textId="77777777" w:rsidR="0041490C" w:rsidRDefault="0041490C" w:rsidP="00826834">
      <w:pPr>
        <w:spacing w:after="0" w:line="240" w:lineRule="auto"/>
      </w:pPr>
      <w:r>
        <w:separator/>
      </w:r>
    </w:p>
  </w:footnote>
  <w:footnote w:type="continuationSeparator" w:id="0">
    <w:p w14:paraId="528AA59B" w14:textId="77777777" w:rsidR="0041490C" w:rsidRDefault="0041490C" w:rsidP="00826834">
      <w:pPr>
        <w:spacing w:after="0" w:line="240" w:lineRule="auto"/>
      </w:pPr>
      <w:r>
        <w:continuationSeparator/>
      </w:r>
    </w:p>
  </w:footnote>
  <w:footnote w:id="1">
    <w:p w14:paraId="0084FEA0" w14:textId="6AFE2E54" w:rsidR="00826834" w:rsidRPr="00826834" w:rsidRDefault="0082683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26834">
          <w:rPr>
            <w:rStyle w:val="Hyperlink"/>
          </w:rPr>
          <w:t>Bill | Legislative Assembly of BC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1F9"/>
    <w:multiLevelType w:val="multilevel"/>
    <w:tmpl w:val="738C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90F3A"/>
    <w:multiLevelType w:val="multilevel"/>
    <w:tmpl w:val="8A08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95597"/>
    <w:multiLevelType w:val="multilevel"/>
    <w:tmpl w:val="9B08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D4689"/>
    <w:multiLevelType w:val="multilevel"/>
    <w:tmpl w:val="9102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43A15"/>
    <w:multiLevelType w:val="multilevel"/>
    <w:tmpl w:val="037C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5478F"/>
    <w:multiLevelType w:val="multilevel"/>
    <w:tmpl w:val="F3B6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F70C6"/>
    <w:multiLevelType w:val="multilevel"/>
    <w:tmpl w:val="4EFE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C43B1"/>
    <w:multiLevelType w:val="multilevel"/>
    <w:tmpl w:val="1B9C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E03FA"/>
    <w:multiLevelType w:val="multilevel"/>
    <w:tmpl w:val="5CE4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A47C3"/>
    <w:multiLevelType w:val="multilevel"/>
    <w:tmpl w:val="7122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A36FE5"/>
    <w:multiLevelType w:val="multilevel"/>
    <w:tmpl w:val="D43C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63B3F"/>
    <w:multiLevelType w:val="multilevel"/>
    <w:tmpl w:val="2C38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F2AF4"/>
    <w:multiLevelType w:val="multilevel"/>
    <w:tmpl w:val="394E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525E1"/>
    <w:multiLevelType w:val="multilevel"/>
    <w:tmpl w:val="D8FE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80118"/>
    <w:multiLevelType w:val="multilevel"/>
    <w:tmpl w:val="4412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05954"/>
    <w:multiLevelType w:val="multilevel"/>
    <w:tmpl w:val="6D1A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E0B97"/>
    <w:multiLevelType w:val="multilevel"/>
    <w:tmpl w:val="8C00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E80D0B"/>
    <w:multiLevelType w:val="multilevel"/>
    <w:tmpl w:val="0B64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F10A3"/>
    <w:multiLevelType w:val="multilevel"/>
    <w:tmpl w:val="D6C0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568340">
    <w:abstractNumId w:val="15"/>
  </w:num>
  <w:num w:numId="2" w16cid:durableId="1785802863">
    <w:abstractNumId w:val="17"/>
  </w:num>
  <w:num w:numId="3" w16cid:durableId="1021276920">
    <w:abstractNumId w:val="11"/>
  </w:num>
  <w:num w:numId="4" w16cid:durableId="792865162">
    <w:abstractNumId w:val="14"/>
  </w:num>
  <w:num w:numId="5" w16cid:durableId="1812868993">
    <w:abstractNumId w:val="6"/>
  </w:num>
  <w:num w:numId="6" w16cid:durableId="1287925490">
    <w:abstractNumId w:val="3"/>
  </w:num>
  <w:num w:numId="7" w16cid:durableId="306981476">
    <w:abstractNumId w:val="4"/>
  </w:num>
  <w:num w:numId="8" w16cid:durableId="1100221244">
    <w:abstractNumId w:val="13"/>
  </w:num>
  <w:num w:numId="9" w16cid:durableId="633947498">
    <w:abstractNumId w:val="5"/>
  </w:num>
  <w:num w:numId="10" w16cid:durableId="790200266">
    <w:abstractNumId w:val="8"/>
  </w:num>
  <w:num w:numId="11" w16cid:durableId="543252207">
    <w:abstractNumId w:val="7"/>
  </w:num>
  <w:num w:numId="12" w16cid:durableId="965431511">
    <w:abstractNumId w:val="9"/>
  </w:num>
  <w:num w:numId="13" w16cid:durableId="2087144321">
    <w:abstractNumId w:val="2"/>
  </w:num>
  <w:num w:numId="14" w16cid:durableId="328800747">
    <w:abstractNumId w:val="12"/>
  </w:num>
  <w:num w:numId="15" w16cid:durableId="204290654">
    <w:abstractNumId w:val="18"/>
  </w:num>
  <w:num w:numId="16" w16cid:durableId="1152528313">
    <w:abstractNumId w:val="16"/>
  </w:num>
  <w:num w:numId="17" w16cid:durableId="1102843502">
    <w:abstractNumId w:val="1"/>
  </w:num>
  <w:num w:numId="18" w16cid:durableId="1354842271">
    <w:abstractNumId w:val="10"/>
  </w:num>
  <w:num w:numId="19" w16cid:durableId="150825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34"/>
    <w:rsid w:val="00013A56"/>
    <w:rsid w:val="00070044"/>
    <w:rsid w:val="000814F6"/>
    <w:rsid w:val="000E7804"/>
    <w:rsid w:val="001075A1"/>
    <w:rsid w:val="00134F27"/>
    <w:rsid w:val="00172EAB"/>
    <w:rsid w:val="001A1101"/>
    <w:rsid w:val="001A3244"/>
    <w:rsid w:val="001F333F"/>
    <w:rsid w:val="0020336C"/>
    <w:rsid w:val="00235DE9"/>
    <w:rsid w:val="00270F04"/>
    <w:rsid w:val="00295945"/>
    <w:rsid w:val="003B1F87"/>
    <w:rsid w:val="003E1D15"/>
    <w:rsid w:val="003F1274"/>
    <w:rsid w:val="0041490C"/>
    <w:rsid w:val="00443751"/>
    <w:rsid w:val="00473794"/>
    <w:rsid w:val="00513DC7"/>
    <w:rsid w:val="005D33D8"/>
    <w:rsid w:val="00605921"/>
    <w:rsid w:val="006207BF"/>
    <w:rsid w:val="00622D03"/>
    <w:rsid w:val="0062414E"/>
    <w:rsid w:val="00663E83"/>
    <w:rsid w:val="006B2D82"/>
    <w:rsid w:val="006B6598"/>
    <w:rsid w:val="0073614B"/>
    <w:rsid w:val="007B471F"/>
    <w:rsid w:val="007E1503"/>
    <w:rsid w:val="00826834"/>
    <w:rsid w:val="0087048F"/>
    <w:rsid w:val="0089411C"/>
    <w:rsid w:val="008B0568"/>
    <w:rsid w:val="00A21AAD"/>
    <w:rsid w:val="00A239BA"/>
    <w:rsid w:val="00A43FC9"/>
    <w:rsid w:val="00A83CAE"/>
    <w:rsid w:val="00B04EE7"/>
    <w:rsid w:val="00BB6C81"/>
    <w:rsid w:val="00C16394"/>
    <w:rsid w:val="00C6229D"/>
    <w:rsid w:val="00C914F0"/>
    <w:rsid w:val="00CF3DCD"/>
    <w:rsid w:val="00D31571"/>
    <w:rsid w:val="00D75846"/>
    <w:rsid w:val="00D842F8"/>
    <w:rsid w:val="00DE5BED"/>
    <w:rsid w:val="00DF59E9"/>
    <w:rsid w:val="00E009C2"/>
    <w:rsid w:val="00EB404A"/>
    <w:rsid w:val="00EC6C20"/>
    <w:rsid w:val="00F618DB"/>
    <w:rsid w:val="00F66852"/>
    <w:rsid w:val="00F814B5"/>
    <w:rsid w:val="00F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03C4"/>
  <w15:chartTrackingRefBased/>
  <w15:docId w15:val="{47C3EC83-C616-4701-9F5E-46032C5F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8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68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83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68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rebeski@tiab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.bc.ca/parliamentary-business/overview/43rd-parliament/1st-session/bills/1st_read/gov11-1.htm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Zerebeski</dc:creator>
  <cp:keywords/>
  <dc:description/>
  <cp:lastModifiedBy>Walt Judas</cp:lastModifiedBy>
  <cp:revision>2</cp:revision>
  <dcterms:created xsi:type="dcterms:W3CDTF">2025-08-20T22:39:00Z</dcterms:created>
  <dcterms:modified xsi:type="dcterms:W3CDTF">2025-08-20T22:39:00Z</dcterms:modified>
</cp:coreProperties>
</file>