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7732" w14:textId="19E14F08" w:rsidR="0085325D" w:rsidRPr="0085325D" w:rsidRDefault="0085325D" w:rsidP="0085325D">
      <w:pPr>
        <w:spacing w:before="100" w:beforeAutospacing="1" w:after="100" w:afterAutospacing="1" w:line="240" w:lineRule="auto"/>
        <w:outlineLvl w:val="1"/>
        <w:rPr>
          <w:rFonts w:ascii="Calibri" w:eastAsia="Times New Roman" w:hAnsi="Calibri" w:cs="Calibri"/>
          <w:b/>
          <w:bCs/>
          <w:color w:val="000000"/>
          <w:kern w:val="0"/>
          <w:sz w:val="36"/>
          <w:szCs w:val="36"/>
          <w14:ligatures w14:val="none"/>
        </w:rPr>
      </w:pPr>
      <w:r w:rsidRPr="0085325D">
        <w:rPr>
          <w:rFonts w:ascii="Calibri" w:eastAsia="Times New Roman" w:hAnsi="Calibri" w:cs="Calibri"/>
          <w:b/>
          <w:bCs/>
          <w:color w:val="000000"/>
          <w:kern w:val="0"/>
          <w:sz w:val="36"/>
          <w:szCs w:val="36"/>
          <w14:ligatures w14:val="none"/>
        </w:rPr>
        <w:t>Budget 2026: What Does It Mean for the Tourism Sector?</w:t>
      </w:r>
    </w:p>
    <w:p w14:paraId="394372EF" w14:textId="77777777" w:rsidR="0085325D" w:rsidRPr="0085325D" w:rsidRDefault="0085325D" w:rsidP="008532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85325D">
        <w:rPr>
          <w:rFonts w:ascii="Calibri" w:eastAsia="Times New Roman" w:hAnsi="Calibri" w:cs="Calibri"/>
          <w:b/>
          <w:bCs/>
          <w:color w:val="000000"/>
          <w:kern w:val="0"/>
          <w:sz w:val="27"/>
          <w:szCs w:val="27"/>
          <w14:ligatures w14:val="none"/>
        </w:rPr>
        <w:t>Introduction</w:t>
      </w:r>
    </w:p>
    <w:p w14:paraId="6B9D1662"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On February 17th, TIABC CEO Amber Papou joined colleagues from across sectors at the provincial budget lockup in Victoria. Budget day always carries a certain energy. Pages are turned quickly. Numbers are scanned carefully. Everyone is asking the same question. What does this mean for our sector?</w:t>
      </w:r>
    </w:p>
    <w:p w14:paraId="0470AC76"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The key components of the budget focus on strengthening health care and education, enhancing public safety, investing in workforce development, and managing expenditures carefully through contingency planning and cost controls. For tourism, the story sits within this broader fiscal framework. The question becomes how these decisions intersect with growth, competitiveness, and the realities facing operators across British Columbia.</w:t>
      </w:r>
    </w:p>
    <w:p w14:paraId="7194CBE8" w14:textId="77777777" w:rsidR="0085325D" w:rsidRPr="0085325D" w:rsidRDefault="0085325D" w:rsidP="0085325D">
      <w:pPr>
        <w:spacing w:before="100" w:beforeAutospacing="1" w:after="100" w:afterAutospacing="1" w:line="240" w:lineRule="auto"/>
        <w:outlineLvl w:val="1"/>
        <w:rPr>
          <w:rFonts w:ascii="Calibri" w:eastAsia="Times New Roman" w:hAnsi="Calibri" w:cs="Calibri"/>
          <w:b/>
          <w:bCs/>
          <w:color w:val="000000"/>
          <w:kern w:val="0"/>
          <w:sz w:val="36"/>
          <w:szCs w:val="36"/>
          <w14:ligatures w14:val="none"/>
        </w:rPr>
      </w:pPr>
      <w:r w:rsidRPr="0085325D">
        <w:rPr>
          <w:rFonts w:ascii="Calibri" w:eastAsia="Times New Roman" w:hAnsi="Calibri" w:cs="Calibri"/>
          <w:b/>
          <w:bCs/>
          <w:color w:val="000000"/>
          <w:kern w:val="0"/>
          <w:sz w:val="36"/>
          <w:szCs w:val="36"/>
          <w14:ligatures w14:val="none"/>
        </w:rPr>
        <w:t>Budget 2026: Tourism Highlights</w:t>
      </w:r>
    </w:p>
    <w:p w14:paraId="745F8774" w14:textId="77777777" w:rsidR="0085325D" w:rsidRPr="0085325D" w:rsidRDefault="0085325D" w:rsidP="008532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85325D">
        <w:rPr>
          <w:rFonts w:ascii="Calibri" w:eastAsia="Times New Roman" w:hAnsi="Calibri" w:cs="Calibri"/>
          <w:b/>
          <w:bCs/>
          <w:color w:val="000000"/>
          <w:kern w:val="0"/>
          <w:sz w:val="27"/>
          <w:szCs w:val="27"/>
          <w14:ligatures w14:val="none"/>
        </w:rPr>
        <w:t>Ministry Funding Trend</w:t>
      </w:r>
    </w:p>
    <w:p w14:paraId="0FDC56DE"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The Ministry of Tourism, Arts, Culture and Sport shows a gradual decline in operating funding:</w:t>
      </w:r>
    </w:p>
    <w:p w14:paraId="698B81B7" w14:textId="77777777" w:rsidR="0085325D" w:rsidRPr="0085325D" w:rsidRDefault="0085325D" w:rsidP="0085325D">
      <w:pPr>
        <w:pStyle w:val="ListParagraph"/>
        <w:numPr>
          <w:ilvl w:val="0"/>
          <w:numId w:val="4"/>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$190.8M in 2025 to 2026</w:t>
      </w:r>
    </w:p>
    <w:p w14:paraId="7279D219" w14:textId="77777777" w:rsidR="0085325D" w:rsidRPr="0085325D" w:rsidRDefault="0085325D" w:rsidP="0085325D">
      <w:pPr>
        <w:pStyle w:val="ListParagraph"/>
        <w:numPr>
          <w:ilvl w:val="0"/>
          <w:numId w:val="4"/>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$189.2M in 2026 to 2027</w:t>
      </w:r>
    </w:p>
    <w:p w14:paraId="12FD4184" w14:textId="5AC27E72" w:rsidR="0085325D" w:rsidRPr="0085325D" w:rsidRDefault="0085325D" w:rsidP="0085325D">
      <w:pPr>
        <w:pStyle w:val="ListParagraph"/>
        <w:numPr>
          <w:ilvl w:val="0"/>
          <w:numId w:val="4"/>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$183.5M in 2027 to 2028 and 2028 to 2029</w:t>
      </w:r>
    </w:p>
    <w:p w14:paraId="18C727A4"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The Tourism Sector Strategy line remains relatively flat in the near term and then declines slightly over the fiscal plan. Transfers to Crown corporations and agencies within the tourism ecosystem also trend downward.</w:t>
      </w:r>
    </w:p>
    <w:p w14:paraId="2B488B62"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Funding remains in place, but the fiscal environment is tightening.</w:t>
      </w:r>
    </w:p>
    <w:p w14:paraId="1917E90C" w14:textId="77777777" w:rsidR="0085325D" w:rsidRPr="0085325D" w:rsidRDefault="0085325D" w:rsidP="008532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85325D">
        <w:rPr>
          <w:rFonts w:ascii="Calibri" w:eastAsia="Times New Roman" w:hAnsi="Calibri" w:cs="Calibri"/>
          <w:b/>
          <w:bCs/>
          <w:color w:val="000000"/>
          <w:kern w:val="0"/>
          <w:sz w:val="27"/>
          <w:szCs w:val="27"/>
          <w14:ligatures w14:val="none"/>
        </w:rPr>
        <w:t>Destination BC Funding</w:t>
      </w:r>
    </w:p>
    <w:p w14:paraId="45543EE9"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Destination BC’s core funding for 2026 to 2027 remains the same as 2025 to 2026. It is important to note that the 2025 to 2026 level was already $1M lower than 2024 to 2025. In plain terms, funding is stable year over year, but it has not returned to previous levels.</w:t>
      </w:r>
    </w:p>
    <w:p w14:paraId="4BFE4A69"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Core provincial marketing and promotion efforts continue, but in a competitive global environment, flat funding effectively means doing more with the same resources.</w:t>
      </w:r>
    </w:p>
    <w:p w14:paraId="757968D8" w14:textId="77777777" w:rsidR="0085325D" w:rsidRPr="0085325D" w:rsidRDefault="0085325D" w:rsidP="008532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85325D">
        <w:rPr>
          <w:rFonts w:ascii="Calibri" w:eastAsia="Times New Roman" w:hAnsi="Calibri" w:cs="Calibri"/>
          <w:b/>
          <w:bCs/>
          <w:color w:val="000000"/>
          <w:kern w:val="0"/>
          <w:sz w:val="27"/>
          <w:szCs w:val="27"/>
          <w14:ligatures w14:val="none"/>
        </w:rPr>
        <w:t>Permitting Modernization</w:t>
      </w:r>
    </w:p>
    <w:p w14:paraId="4DB82A58"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lastRenderedPageBreak/>
        <w:t>The most direct reference to tourism in Budget 2026 is the commitment of more than $40M over three years to streamline permitting across natural resources and tourism.</w:t>
      </w:r>
    </w:p>
    <w:p w14:paraId="2D3D3FD2"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The objective is to reduce barriers, eliminate duplication, and improve approval timelines. For tourism operators navigating tenures, land use decisions, and infrastructure approvals, this is one of the most meaningful measures in the budget.</w:t>
      </w:r>
    </w:p>
    <w:p w14:paraId="21C62A91" w14:textId="77777777" w:rsidR="0085325D" w:rsidRPr="0085325D" w:rsidRDefault="0085325D" w:rsidP="008532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85325D">
        <w:rPr>
          <w:rFonts w:ascii="Calibri" w:eastAsia="Times New Roman" w:hAnsi="Calibri" w:cs="Calibri"/>
          <w:b/>
          <w:bCs/>
          <w:color w:val="000000"/>
          <w:kern w:val="0"/>
          <w:sz w:val="27"/>
          <w:szCs w:val="27"/>
          <w14:ligatures w14:val="none"/>
        </w:rPr>
        <w:t>Tourism Growth Targets</w:t>
      </w:r>
    </w:p>
    <w:p w14:paraId="4A5BB6E5"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The Ministry’s service plan sets an industry revenue forecast of $24.2B for 2025 to 2026, with growth targets of 5% in 2026 to 2027, 5% in 2027 to 2028, and 6% in 2028 to 2029.</w:t>
      </w:r>
    </w:p>
    <w:p w14:paraId="3B844E33"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The expectation is continued sector growth despite a cautious economic outlook.</w:t>
      </w:r>
    </w:p>
    <w:p w14:paraId="5DB8E0A7" w14:textId="77777777" w:rsidR="0085325D" w:rsidRPr="0085325D" w:rsidRDefault="0085325D" w:rsidP="008532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85325D">
        <w:rPr>
          <w:rFonts w:ascii="Calibri" w:eastAsia="Times New Roman" w:hAnsi="Calibri" w:cs="Calibri"/>
          <w:b/>
          <w:bCs/>
          <w:color w:val="000000"/>
          <w:kern w:val="0"/>
          <w:sz w:val="27"/>
          <w:szCs w:val="27"/>
          <w14:ligatures w14:val="none"/>
        </w:rPr>
        <w:t>Tourism Demand Context</w:t>
      </w:r>
    </w:p>
    <w:p w14:paraId="188F569D"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 xml:space="preserve">International visitation remains relatively stable. Year to date to November 2025, total international travellers entering British Columbia increased by 0.4%. </w:t>
      </w:r>
      <w:proofErr w:type="gramStart"/>
      <w:r w:rsidRPr="0085325D">
        <w:rPr>
          <w:rFonts w:ascii="Calibri" w:eastAsia="Times New Roman" w:hAnsi="Calibri" w:cs="Calibri"/>
          <w:color w:val="000000"/>
          <w:kern w:val="0"/>
          <w14:ligatures w14:val="none"/>
        </w:rPr>
        <w:t>Non United</w:t>
      </w:r>
      <w:proofErr w:type="gramEnd"/>
      <w:r w:rsidRPr="0085325D">
        <w:rPr>
          <w:rFonts w:ascii="Calibri" w:eastAsia="Times New Roman" w:hAnsi="Calibri" w:cs="Calibri"/>
          <w:color w:val="000000"/>
          <w:kern w:val="0"/>
          <w14:ligatures w14:val="none"/>
        </w:rPr>
        <w:t xml:space="preserve"> States visitation rose by 4%, while United States visitation declined slightly by 0.6%.</w:t>
      </w:r>
    </w:p>
    <w:p w14:paraId="4DFA86BF"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Commercial building permits increased by 9.8%, driven in part by hotel and restaurant construction, signalling continued private sector investment.</w:t>
      </w:r>
    </w:p>
    <w:p w14:paraId="1F1032B1" w14:textId="77777777" w:rsidR="0085325D" w:rsidRPr="0085325D" w:rsidRDefault="0085325D" w:rsidP="008532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85325D">
        <w:rPr>
          <w:rFonts w:ascii="Calibri" w:eastAsia="Times New Roman" w:hAnsi="Calibri" w:cs="Calibri"/>
          <w:b/>
          <w:bCs/>
          <w:color w:val="000000"/>
          <w:kern w:val="0"/>
          <w:sz w:val="27"/>
          <w:szCs w:val="27"/>
          <w14:ligatures w14:val="none"/>
        </w:rPr>
        <w:t>Events and Capital Projects</w:t>
      </w:r>
    </w:p>
    <w:p w14:paraId="4B7579F4"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The budget includes $109M for stadium improvements related to hosting the 2026 FIFA World Cup, reinforcing British Columbia’s presence on the global stage.</w:t>
      </w:r>
    </w:p>
    <w:p w14:paraId="74D474AE"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Two capital projects directly support tourism infrastructure:</w:t>
      </w:r>
    </w:p>
    <w:p w14:paraId="2E572AD7" w14:textId="77777777" w:rsidR="0085325D" w:rsidRPr="0085325D" w:rsidRDefault="0085325D" w:rsidP="0085325D">
      <w:pPr>
        <w:pStyle w:val="ListParagraph"/>
        <w:numPr>
          <w:ilvl w:val="0"/>
          <w:numId w:val="3"/>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Belleville Terminal Redevelopment in Victoria at $416M, creating a modernized international ferry terminal and strengthening visitor access.</w:t>
      </w:r>
    </w:p>
    <w:p w14:paraId="158D3EC2" w14:textId="61134DA6" w:rsidR="0085325D" w:rsidRPr="0085325D" w:rsidRDefault="0085325D" w:rsidP="0085325D">
      <w:pPr>
        <w:pStyle w:val="ListParagraph"/>
        <w:numPr>
          <w:ilvl w:val="0"/>
          <w:numId w:val="3"/>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Okanagan College Centre for Food, Wine and Tourism at $58M, supporting workforce development and strengthening the province’s culinary and wine tourism advantage.</w:t>
      </w:r>
    </w:p>
    <w:p w14:paraId="66AD6294" w14:textId="77777777" w:rsidR="0085325D" w:rsidRPr="0085325D" w:rsidRDefault="0085325D" w:rsidP="008532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85325D">
        <w:rPr>
          <w:rFonts w:ascii="Calibri" w:eastAsia="Times New Roman" w:hAnsi="Calibri" w:cs="Calibri"/>
          <w:b/>
          <w:bCs/>
          <w:color w:val="000000"/>
          <w:kern w:val="0"/>
          <w:sz w:val="27"/>
          <w:szCs w:val="27"/>
          <w14:ligatures w14:val="none"/>
        </w:rPr>
        <w:t>Film and Digital Media</w:t>
      </w:r>
    </w:p>
    <w:p w14:paraId="24ABBA42"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 xml:space="preserve">Refundable tax credits for film, television, and interactive digital media production remain in place. Programs such as Film Incentive BC and the Production Services Tax Credit continue to drive production activity that supports hotels, restaurants, events, and </w:t>
      </w:r>
      <w:proofErr w:type="gramStart"/>
      <w:r w:rsidRPr="0085325D">
        <w:rPr>
          <w:rFonts w:ascii="Calibri" w:eastAsia="Times New Roman" w:hAnsi="Calibri" w:cs="Calibri"/>
          <w:color w:val="000000"/>
          <w:kern w:val="0"/>
          <w14:ligatures w14:val="none"/>
        </w:rPr>
        <w:t>screen based</w:t>
      </w:r>
      <w:proofErr w:type="gramEnd"/>
      <w:r w:rsidRPr="0085325D">
        <w:rPr>
          <w:rFonts w:ascii="Calibri" w:eastAsia="Times New Roman" w:hAnsi="Calibri" w:cs="Calibri"/>
          <w:color w:val="000000"/>
          <w:kern w:val="0"/>
          <w14:ligatures w14:val="none"/>
        </w:rPr>
        <w:t xml:space="preserve"> tourism.</w:t>
      </w:r>
    </w:p>
    <w:p w14:paraId="6B153E6E" w14:textId="77777777" w:rsidR="0085325D" w:rsidRPr="0085325D" w:rsidRDefault="0085325D" w:rsidP="008532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85325D">
        <w:rPr>
          <w:rFonts w:ascii="Calibri" w:eastAsia="Times New Roman" w:hAnsi="Calibri" w:cs="Calibri"/>
          <w:b/>
          <w:bCs/>
          <w:color w:val="000000"/>
          <w:kern w:val="0"/>
          <w:sz w:val="27"/>
          <w:szCs w:val="27"/>
          <w14:ligatures w14:val="none"/>
        </w:rPr>
        <w:t>Grants and Direct Funding</w:t>
      </w:r>
    </w:p>
    <w:p w14:paraId="2908F49A"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lastRenderedPageBreak/>
        <w:t>There are no new broad based tourism grant programs or sector specific operating funding increases announced in this budget beyond existing structures.</w:t>
      </w:r>
    </w:p>
    <w:p w14:paraId="579C8E7D" w14:textId="1FD1BC84" w:rsidR="0085325D" w:rsidRPr="0085325D" w:rsidRDefault="0085325D" w:rsidP="0085325D">
      <w:pPr>
        <w:spacing w:before="100" w:beforeAutospacing="1" w:after="100" w:afterAutospacing="1" w:line="240" w:lineRule="auto"/>
        <w:outlineLvl w:val="1"/>
        <w:rPr>
          <w:rFonts w:ascii="Calibri" w:eastAsia="Times New Roman" w:hAnsi="Calibri" w:cs="Calibri"/>
          <w:b/>
          <w:bCs/>
          <w:color w:val="000000"/>
          <w:kern w:val="0"/>
          <w:sz w:val="36"/>
          <w:szCs w:val="36"/>
          <w14:ligatures w14:val="none"/>
        </w:rPr>
      </w:pPr>
      <w:r w:rsidRPr="0085325D">
        <w:rPr>
          <w:rFonts w:ascii="Calibri" w:eastAsia="Times New Roman" w:hAnsi="Calibri" w:cs="Calibri"/>
          <w:b/>
          <w:bCs/>
          <w:color w:val="000000"/>
          <w:kern w:val="0"/>
          <w:sz w:val="36"/>
          <w:szCs w:val="36"/>
          <w14:ligatures w14:val="none"/>
        </w:rPr>
        <w:t>So, What Does This Mean for the Tourism Sector?</w:t>
      </w:r>
    </w:p>
    <w:p w14:paraId="2C132362" w14:textId="77777777" w:rsidR="0085325D" w:rsidRPr="0085325D" w:rsidRDefault="0085325D" w:rsidP="008532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85325D">
        <w:rPr>
          <w:rFonts w:ascii="Calibri" w:eastAsia="Times New Roman" w:hAnsi="Calibri" w:cs="Calibri"/>
          <w:b/>
          <w:bCs/>
          <w:color w:val="000000"/>
          <w:kern w:val="0"/>
          <w:sz w:val="27"/>
          <w:szCs w:val="27"/>
          <w14:ligatures w14:val="none"/>
        </w:rPr>
        <w:t>Potential Positive Impacts</w:t>
      </w:r>
    </w:p>
    <w:p w14:paraId="39ACB80C" w14:textId="77777777" w:rsidR="0085325D" w:rsidRPr="0085325D" w:rsidRDefault="0085325D" w:rsidP="0085325D">
      <w:pPr>
        <w:pStyle w:val="ListParagraph"/>
        <w:numPr>
          <w:ilvl w:val="0"/>
          <w:numId w:val="2"/>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Faster and clearer approvals for tourism projects if the $40M permitting investment delivers measurable improvements.</w:t>
      </w:r>
    </w:p>
    <w:p w14:paraId="54D5C4D8" w14:textId="77777777" w:rsidR="0085325D" w:rsidRPr="0085325D" w:rsidRDefault="0085325D" w:rsidP="0085325D">
      <w:pPr>
        <w:pStyle w:val="ListParagraph"/>
        <w:numPr>
          <w:ilvl w:val="0"/>
          <w:numId w:val="2"/>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Improved perceptions of safety in commercial districts through targeted investments addressing chronic property crime and repeat violent offending.</w:t>
      </w:r>
    </w:p>
    <w:p w14:paraId="57DA9617" w14:textId="77777777" w:rsidR="0085325D" w:rsidRPr="0085325D" w:rsidRDefault="0085325D" w:rsidP="0085325D">
      <w:pPr>
        <w:pStyle w:val="ListParagraph"/>
        <w:numPr>
          <w:ilvl w:val="0"/>
          <w:numId w:val="2"/>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Continued capital investment in transit and infrastructure that supports visitor mobility and access.</w:t>
      </w:r>
    </w:p>
    <w:p w14:paraId="6789781C" w14:textId="77777777" w:rsidR="0085325D" w:rsidRPr="0085325D" w:rsidRDefault="0085325D" w:rsidP="0085325D">
      <w:pPr>
        <w:pStyle w:val="ListParagraph"/>
        <w:numPr>
          <w:ilvl w:val="0"/>
          <w:numId w:val="2"/>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Expanded skilled trades training that supports construction, maintenance, and potential worker housing supply.</w:t>
      </w:r>
    </w:p>
    <w:p w14:paraId="75413580" w14:textId="24F8600C" w:rsidR="0085325D" w:rsidRPr="0085325D" w:rsidRDefault="0085325D" w:rsidP="0085325D">
      <w:pPr>
        <w:pStyle w:val="ListParagraph"/>
        <w:numPr>
          <w:ilvl w:val="0"/>
          <w:numId w:val="2"/>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Tourism adjacent workforce development through the Centre for Food, Wine and Tourism.</w:t>
      </w:r>
    </w:p>
    <w:p w14:paraId="61AE539A" w14:textId="77777777" w:rsidR="0085325D" w:rsidRPr="0085325D" w:rsidRDefault="0085325D" w:rsidP="0085325D">
      <w:pPr>
        <w:spacing w:before="100" w:beforeAutospacing="1" w:after="100" w:afterAutospacing="1" w:line="240" w:lineRule="auto"/>
        <w:outlineLvl w:val="2"/>
        <w:rPr>
          <w:rFonts w:ascii="Calibri" w:eastAsia="Times New Roman" w:hAnsi="Calibri" w:cs="Calibri"/>
          <w:b/>
          <w:bCs/>
          <w:color w:val="000000"/>
          <w:kern w:val="0"/>
          <w:sz w:val="27"/>
          <w:szCs w:val="27"/>
          <w14:ligatures w14:val="none"/>
        </w:rPr>
      </w:pPr>
      <w:r w:rsidRPr="0085325D">
        <w:rPr>
          <w:rFonts w:ascii="Calibri" w:eastAsia="Times New Roman" w:hAnsi="Calibri" w:cs="Calibri"/>
          <w:b/>
          <w:bCs/>
          <w:color w:val="000000"/>
          <w:kern w:val="0"/>
          <w:sz w:val="27"/>
          <w:szCs w:val="27"/>
          <w14:ligatures w14:val="none"/>
        </w:rPr>
        <w:t>Potential Risks and Watchpoints</w:t>
      </w:r>
    </w:p>
    <w:p w14:paraId="509221B9" w14:textId="77777777" w:rsidR="0085325D" w:rsidRPr="0085325D" w:rsidRDefault="0085325D" w:rsidP="0085325D">
      <w:pPr>
        <w:pStyle w:val="ListParagraph"/>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Gradual reductions in Ministry operating totals may constrain tourism specific policy, programming, or partnership capacity over time.</w:t>
      </w:r>
    </w:p>
    <w:p w14:paraId="43B6D990" w14:textId="77777777" w:rsidR="0085325D" w:rsidRPr="0085325D" w:rsidRDefault="0085325D" w:rsidP="0085325D">
      <w:pPr>
        <w:pStyle w:val="ListParagraph"/>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Expansion of PST to certain professional services may increase operating and development costs for tourism businesses.</w:t>
      </w:r>
    </w:p>
    <w:p w14:paraId="1C22A8C7" w14:textId="77777777" w:rsidR="0085325D" w:rsidRPr="0085325D" w:rsidRDefault="0085325D" w:rsidP="0085325D">
      <w:pPr>
        <w:pStyle w:val="ListParagraph"/>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Household affordability pressures could moderate domestic travel demand.</w:t>
      </w:r>
    </w:p>
    <w:p w14:paraId="78D1ECFD" w14:textId="77777777" w:rsidR="0085325D" w:rsidRPr="0085325D" w:rsidRDefault="0085325D" w:rsidP="0085325D">
      <w:pPr>
        <w:pStyle w:val="ListParagraph"/>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Public sector workforce reductions may create service level risks if permitting or visitor facing functions are affected.</w:t>
      </w:r>
    </w:p>
    <w:p w14:paraId="681B27F9" w14:textId="77777777" w:rsidR="0085325D" w:rsidRPr="0085325D" w:rsidRDefault="0085325D" w:rsidP="0085325D">
      <w:pPr>
        <w:pStyle w:val="ListParagraph"/>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Accelerated resource project approvals could create land use tensions in destinations where tourism and resource development overlap.</w:t>
      </w:r>
    </w:p>
    <w:p w14:paraId="77CA2E8E" w14:textId="6CBB4A38" w:rsidR="0085325D" w:rsidRPr="0085325D" w:rsidRDefault="0085325D" w:rsidP="0085325D">
      <w:pPr>
        <w:pStyle w:val="ListParagraph"/>
        <w:numPr>
          <w:ilvl w:val="0"/>
          <w:numId w:val="1"/>
        </w:num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Elevated deficits and rising debt servicing costs increase the likelihood of continued fiscal restraint and future policy adjustments.</w:t>
      </w:r>
    </w:p>
    <w:p w14:paraId="22690835" w14:textId="101EF1D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For tourism, the 2026 Budget focus is less about new spending and more about regulatory efficiency, infrastructure support, and maintaining core marketing capacity.</w:t>
      </w:r>
    </w:p>
    <w:p w14:paraId="326C8E3B" w14:textId="77777777" w:rsidR="0085325D" w:rsidRPr="0085325D" w:rsidRDefault="0085325D" w:rsidP="0085325D">
      <w:pPr>
        <w:spacing w:before="100" w:beforeAutospacing="1" w:after="100" w:afterAutospacing="1" w:line="240" w:lineRule="auto"/>
        <w:rPr>
          <w:rFonts w:ascii="Calibri" w:eastAsia="Times New Roman" w:hAnsi="Calibri" w:cs="Calibri"/>
          <w:color w:val="000000"/>
          <w:kern w:val="0"/>
          <w14:ligatures w14:val="none"/>
        </w:rPr>
      </w:pPr>
      <w:r w:rsidRPr="0085325D">
        <w:rPr>
          <w:rFonts w:ascii="Calibri" w:eastAsia="Times New Roman" w:hAnsi="Calibri" w:cs="Calibri"/>
          <w:color w:val="000000"/>
          <w:kern w:val="0"/>
          <w14:ligatures w14:val="none"/>
        </w:rPr>
        <w:t>TIABC will continue to monitor how these measures are implemented, assess their impact on operators and destinations, and engage government proactively where adjustments are needed. Our priority remains clear. Ensure the tourism sector is supported, competitive, and positioned for sustainable growth across British Columbia.</w:t>
      </w:r>
    </w:p>
    <w:p w14:paraId="246F048E" w14:textId="77777777" w:rsidR="00F96F68" w:rsidRPr="0085325D" w:rsidRDefault="00F96F68">
      <w:pPr>
        <w:rPr>
          <w:rFonts w:ascii="Calibri" w:hAnsi="Calibri" w:cs="Calibri"/>
        </w:rPr>
      </w:pPr>
    </w:p>
    <w:sectPr w:rsidR="00F96F68" w:rsidRPr="008532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B5967"/>
    <w:multiLevelType w:val="hybridMultilevel"/>
    <w:tmpl w:val="36A8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A6F65"/>
    <w:multiLevelType w:val="hybridMultilevel"/>
    <w:tmpl w:val="7DFC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934FC"/>
    <w:multiLevelType w:val="hybridMultilevel"/>
    <w:tmpl w:val="F142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94FA2"/>
    <w:multiLevelType w:val="hybridMultilevel"/>
    <w:tmpl w:val="8124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088360">
    <w:abstractNumId w:val="0"/>
  </w:num>
  <w:num w:numId="2" w16cid:durableId="1423792875">
    <w:abstractNumId w:val="2"/>
  </w:num>
  <w:num w:numId="3" w16cid:durableId="939683826">
    <w:abstractNumId w:val="3"/>
  </w:num>
  <w:num w:numId="4" w16cid:durableId="77479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5D"/>
    <w:rsid w:val="0005263F"/>
    <w:rsid w:val="001577CF"/>
    <w:rsid w:val="001E68CF"/>
    <w:rsid w:val="0057460D"/>
    <w:rsid w:val="007A71ED"/>
    <w:rsid w:val="0085325D"/>
    <w:rsid w:val="00860966"/>
    <w:rsid w:val="00941E2A"/>
    <w:rsid w:val="00971CE8"/>
    <w:rsid w:val="00AA66B0"/>
    <w:rsid w:val="00AB7DAA"/>
    <w:rsid w:val="00F51A84"/>
    <w:rsid w:val="00F96F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FE75"/>
  <w15:chartTrackingRefBased/>
  <w15:docId w15:val="{F000C79C-7EF3-F84A-9200-5C7A2246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3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3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3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3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25D"/>
    <w:rPr>
      <w:rFonts w:eastAsiaTheme="majorEastAsia" w:cstheme="majorBidi"/>
      <w:color w:val="272727" w:themeColor="text1" w:themeTint="D8"/>
    </w:rPr>
  </w:style>
  <w:style w:type="paragraph" w:styleId="Title">
    <w:name w:val="Title"/>
    <w:basedOn w:val="Normal"/>
    <w:next w:val="Normal"/>
    <w:link w:val="TitleChar"/>
    <w:uiPriority w:val="10"/>
    <w:qFormat/>
    <w:rsid w:val="00853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25D"/>
    <w:pPr>
      <w:spacing w:before="160"/>
      <w:jc w:val="center"/>
    </w:pPr>
    <w:rPr>
      <w:i/>
      <w:iCs/>
      <w:color w:val="404040" w:themeColor="text1" w:themeTint="BF"/>
    </w:rPr>
  </w:style>
  <w:style w:type="character" w:customStyle="1" w:styleId="QuoteChar">
    <w:name w:val="Quote Char"/>
    <w:basedOn w:val="DefaultParagraphFont"/>
    <w:link w:val="Quote"/>
    <w:uiPriority w:val="29"/>
    <w:rsid w:val="0085325D"/>
    <w:rPr>
      <w:i/>
      <w:iCs/>
      <w:color w:val="404040" w:themeColor="text1" w:themeTint="BF"/>
    </w:rPr>
  </w:style>
  <w:style w:type="paragraph" w:styleId="ListParagraph">
    <w:name w:val="List Paragraph"/>
    <w:basedOn w:val="Normal"/>
    <w:uiPriority w:val="34"/>
    <w:qFormat/>
    <w:rsid w:val="0085325D"/>
    <w:pPr>
      <w:ind w:left="720"/>
      <w:contextualSpacing/>
    </w:pPr>
  </w:style>
  <w:style w:type="character" w:styleId="IntenseEmphasis">
    <w:name w:val="Intense Emphasis"/>
    <w:basedOn w:val="DefaultParagraphFont"/>
    <w:uiPriority w:val="21"/>
    <w:qFormat/>
    <w:rsid w:val="0085325D"/>
    <w:rPr>
      <w:i/>
      <w:iCs/>
      <w:color w:val="0F4761" w:themeColor="accent1" w:themeShade="BF"/>
    </w:rPr>
  </w:style>
  <w:style w:type="paragraph" w:styleId="IntenseQuote">
    <w:name w:val="Intense Quote"/>
    <w:basedOn w:val="Normal"/>
    <w:next w:val="Normal"/>
    <w:link w:val="IntenseQuoteChar"/>
    <w:uiPriority w:val="30"/>
    <w:qFormat/>
    <w:rsid w:val="00853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25D"/>
    <w:rPr>
      <w:i/>
      <w:iCs/>
      <w:color w:val="0F4761" w:themeColor="accent1" w:themeShade="BF"/>
    </w:rPr>
  </w:style>
  <w:style w:type="character" w:styleId="IntenseReference">
    <w:name w:val="Intense Reference"/>
    <w:basedOn w:val="DefaultParagraphFont"/>
    <w:uiPriority w:val="32"/>
    <w:qFormat/>
    <w:rsid w:val="0085325D"/>
    <w:rPr>
      <w:b/>
      <w:bCs/>
      <w:smallCaps/>
      <w:color w:val="0F4761" w:themeColor="accent1" w:themeShade="BF"/>
      <w:spacing w:val="5"/>
    </w:rPr>
  </w:style>
  <w:style w:type="paragraph" w:styleId="NormalWeb">
    <w:name w:val="Normal (Web)"/>
    <w:basedOn w:val="Normal"/>
    <w:uiPriority w:val="99"/>
    <w:semiHidden/>
    <w:unhideWhenUsed/>
    <w:rsid w:val="0085325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Papou</dc:creator>
  <cp:keywords/>
  <dc:description/>
  <cp:lastModifiedBy>Deborah Kulchiski</cp:lastModifiedBy>
  <cp:revision>2</cp:revision>
  <dcterms:created xsi:type="dcterms:W3CDTF">2026-02-19T21:43:00Z</dcterms:created>
  <dcterms:modified xsi:type="dcterms:W3CDTF">2026-02-19T21:43:00Z</dcterms:modified>
</cp:coreProperties>
</file>