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28"/>
        <w:gridCol w:w="2235"/>
        <w:gridCol w:w="2844"/>
        <w:gridCol w:w="1917"/>
        <w:gridCol w:w="1917"/>
        <w:gridCol w:w="2009"/>
      </w:tblGrid>
      <w:tr w:rsidR="00D73945" w:rsidRPr="006F7D9F" w14:paraId="582D1C76" w14:textId="7CD0D2BD" w:rsidTr="00F04398">
        <w:trPr>
          <w:tblHeader/>
        </w:trPr>
        <w:tc>
          <w:tcPr>
            <w:tcW w:w="2028" w:type="dxa"/>
          </w:tcPr>
          <w:p w14:paraId="17957E74" w14:textId="2C608202" w:rsidR="00D73945" w:rsidRPr="006F7D9F" w:rsidRDefault="00D73945" w:rsidP="006F7D9F">
            <w:pPr>
              <w:jc w:val="center"/>
              <w:rPr>
                <w:b/>
                <w:bCs/>
                <w:color w:val="FF0000"/>
              </w:rPr>
            </w:pPr>
            <w:bookmarkStart w:id="0" w:name="_GoBack"/>
            <w:bookmarkEnd w:id="0"/>
            <w:r w:rsidRPr="006F7D9F">
              <w:rPr>
                <w:b/>
                <w:bCs/>
                <w:color w:val="FF0000"/>
              </w:rPr>
              <w:t>Budget Items</w:t>
            </w:r>
          </w:p>
          <w:p w14:paraId="5D20E5E1" w14:textId="77777777" w:rsidR="00D73945" w:rsidRPr="006F7D9F" w:rsidRDefault="00D73945" w:rsidP="006F7D9F">
            <w:pPr>
              <w:jc w:val="center"/>
              <w:rPr>
                <w:b/>
                <w:bCs/>
                <w:color w:val="FF0000"/>
              </w:rPr>
            </w:pPr>
          </w:p>
        </w:tc>
        <w:tc>
          <w:tcPr>
            <w:tcW w:w="2235" w:type="dxa"/>
          </w:tcPr>
          <w:p w14:paraId="521FDC5A" w14:textId="424B96CF" w:rsidR="00D73945" w:rsidRPr="006F7D9F" w:rsidRDefault="00D73945" w:rsidP="006F7D9F">
            <w:pPr>
              <w:jc w:val="center"/>
              <w:rPr>
                <w:b/>
                <w:bCs/>
                <w:color w:val="FF0000"/>
              </w:rPr>
            </w:pPr>
            <w:r w:rsidRPr="006F7D9F">
              <w:rPr>
                <w:b/>
                <w:bCs/>
                <w:color w:val="FF0000"/>
              </w:rPr>
              <w:t>Description</w:t>
            </w:r>
          </w:p>
        </w:tc>
        <w:tc>
          <w:tcPr>
            <w:tcW w:w="2844" w:type="dxa"/>
          </w:tcPr>
          <w:p w14:paraId="7F576E3D" w14:textId="08F2EAC5" w:rsidR="00D73945" w:rsidRPr="006F7D9F" w:rsidRDefault="00D73945" w:rsidP="006F7D9F">
            <w:pPr>
              <w:jc w:val="center"/>
              <w:rPr>
                <w:b/>
                <w:bCs/>
                <w:color w:val="FF0000"/>
              </w:rPr>
            </w:pPr>
            <w:r>
              <w:rPr>
                <w:b/>
                <w:bCs/>
                <w:color w:val="FF0000"/>
              </w:rPr>
              <w:t>Request/Governor’s Budget</w:t>
            </w:r>
          </w:p>
        </w:tc>
        <w:tc>
          <w:tcPr>
            <w:tcW w:w="1917" w:type="dxa"/>
          </w:tcPr>
          <w:p w14:paraId="1EFF808A" w14:textId="1556E15A" w:rsidR="00D73945" w:rsidRDefault="00D73945" w:rsidP="006F7D9F">
            <w:pPr>
              <w:jc w:val="center"/>
              <w:rPr>
                <w:b/>
                <w:bCs/>
                <w:color w:val="FF0000"/>
              </w:rPr>
            </w:pPr>
            <w:r>
              <w:rPr>
                <w:b/>
                <w:bCs/>
                <w:color w:val="FF0000"/>
              </w:rPr>
              <w:t>Senate Budget</w:t>
            </w:r>
          </w:p>
        </w:tc>
        <w:tc>
          <w:tcPr>
            <w:tcW w:w="1917" w:type="dxa"/>
          </w:tcPr>
          <w:p w14:paraId="5B816972" w14:textId="2B0FCA00" w:rsidR="00D73945" w:rsidRDefault="00D73945" w:rsidP="006F7D9F">
            <w:pPr>
              <w:jc w:val="center"/>
              <w:rPr>
                <w:b/>
                <w:bCs/>
                <w:color w:val="FF0000"/>
              </w:rPr>
            </w:pPr>
            <w:r>
              <w:rPr>
                <w:b/>
                <w:bCs/>
                <w:color w:val="FF0000"/>
              </w:rPr>
              <w:t>House Budget</w:t>
            </w:r>
          </w:p>
        </w:tc>
        <w:tc>
          <w:tcPr>
            <w:tcW w:w="2009" w:type="dxa"/>
          </w:tcPr>
          <w:p w14:paraId="72319FDB" w14:textId="67EDB1EB" w:rsidR="00D73945" w:rsidRDefault="00D73945" w:rsidP="006F7D9F">
            <w:pPr>
              <w:jc w:val="center"/>
              <w:rPr>
                <w:b/>
                <w:bCs/>
                <w:color w:val="FF0000"/>
              </w:rPr>
            </w:pPr>
            <w:r>
              <w:rPr>
                <w:b/>
                <w:bCs/>
                <w:color w:val="FF0000"/>
              </w:rPr>
              <w:t>Final Budget</w:t>
            </w:r>
          </w:p>
        </w:tc>
      </w:tr>
      <w:tr w:rsidR="00D73945" w14:paraId="1918CF24" w14:textId="74CE96DB" w:rsidTr="00F04398">
        <w:tc>
          <w:tcPr>
            <w:tcW w:w="2028" w:type="dxa"/>
          </w:tcPr>
          <w:p w14:paraId="55A9C6D6" w14:textId="77777777" w:rsidR="00D73945" w:rsidRDefault="00D73945" w:rsidP="00BE3C00">
            <w:r>
              <w:t>Kinship Care Support Program</w:t>
            </w:r>
          </w:p>
          <w:p w14:paraId="6D3DF620" w14:textId="77777777" w:rsidR="00D73945" w:rsidRDefault="00D73945" w:rsidP="00BE3C00"/>
        </w:tc>
        <w:tc>
          <w:tcPr>
            <w:tcW w:w="2235" w:type="dxa"/>
          </w:tcPr>
          <w:p w14:paraId="7D182986" w14:textId="77777777" w:rsidR="00D73945" w:rsidRDefault="00D73945" w:rsidP="00BE3C00">
            <w:r>
              <w:t xml:space="preserve">Increase the amount in the Kinship Care Support Program, a program that provides emergency financial assistance to low-income Kinship Caregivers caring for children outside of the child welfare system (aka informal kinship caregivers). </w:t>
            </w:r>
          </w:p>
          <w:p w14:paraId="22FDFC48" w14:textId="77777777" w:rsidR="00D73945" w:rsidRDefault="00D73945" w:rsidP="00BE3C00"/>
        </w:tc>
        <w:tc>
          <w:tcPr>
            <w:tcW w:w="2844" w:type="dxa"/>
          </w:tcPr>
          <w:p w14:paraId="1306577B" w14:textId="77777777" w:rsidR="00D73945" w:rsidRDefault="00D73945" w:rsidP="00BE3C00">
            <w:r>
              <w:t>Not included in the Governor’s budget.</w:t>
            </w:r>
          </w:p>
          <w:p w14:paraId="7556C10D" w14:textId="77777777" w:rsidR="00D73945" w:rsidRDefault="00D73945" w:rsidP="00BE3C00"/>
          <w:p w14:paraId="1C3918D8" w14:textId="77777777" w:rsidR="00D73945" w:rsidRDefault="00D73945" w:rsidP="00BE3C00">
            <w:r>
              <w:t>The request is:</w:t>
            </w:r>
          </w:p>
          <w:p w14:paraId="557AD987" w14:textId="77777777" w:rsidR="00D73945" w:rsidRDefault="00D73945" w:rsidP="00BE3C00">
            <w:r>
              <w:t>$1.344m/year</w:t>
            </w:r>
          </w:p>
          <w:p w14:paraId="64F7FFAF" w14:textId="77777777" w:rsidR="00D73945" w:rsidRDefault="00D73945" w:rsidP="00BE3C00">
            <w:r>
              <w:t>(in addition to the current $1.344/</w:t>
            </w:r>
            <w:proofErr w:type="spellStart"/>
            <w:r>
              <w:t>yr</w:t>
            </w:r>
            <w:proofErr w:type="spellEnd"/>
            <w:r>
              <w:t>)</w:t>
            </w:r>
          </w:p>
        </w:tc>
        <w:tc>
          <w:tcPr>
            <w:tcW w:w="1917" w:type="dxa"/>
          </w:tcPr>
          <w:p w14:paraId="1F574B65" w14:textId="77777777" w:rsidR="00D73945" w:rsidRDefault="00D73945" w:rsidP="00BE3C00">
            <w:r>
              <w:t>$600,000</w:t>
            </w:r>
          </w:p>
          <w:p w14:paraId="644FBDA0" w14:textId="6C6EFED2" w:rsidR="00D73945" w:rsidRDefault="00D73945" w:rsidP="00BE3C00">
            <w:r>
              <w:t>Ongoing funding</w:t>
            </w:r>
          </w:p>
        </w:tc>
        <w:tc>
          <w:tcPr>
            <w:tcW w:w="1917" w:type="dxa"/>
          </w:tcPr>
          <w:p w14:paraId="26C36790" w14:textId="77777777" w:rsidR="00D73945" w:rsidRDefault="00D73945" w:rsidP="00BE3C00">
            <w:r>
              <w:t>$800,000</w:t>
            </w:r>
          </w:p>
          <w:p w14:paraId="231ED437" w14:textId="6A98E618" w:rsidR="00D73945" w:rsidRDefault="00D73945" w:rsidP="00BE3C00">
            <w:r>
              <w:t>One-time</w:t>
            </w:r>
          </w:p>
        </w:tc>
        <w:tc>
          <w:tcPr>
            <w:tcW w:w="2009" w:type="dxa"/>
          </w:tcPr>
          <w:p w14:paraId="2A2BE87D" w14:textId="77777777" w:rsidR="00D73945" w:rsidRDefault="00D73945" w:rsidP="00BE3C00">
            <w:r>
              <w:t>$600,000</w:t>
            </w:r>
          </w:p>
          <w:p w14:paraId="347E4AF7" w14:textId="2A941F3A" w:rsidR="00D73945" w:rsidRDefault="00D73945" w:rsidP="00BE3C00">
            <w:r>
              <w:t>Ongoing funding</w:t>
            </w:r>
          </w:p>
        </w:tc>
      </w:tr>
      <w:tr w:rsidR="00F04398" w14:paraId="76B06D9C" w14:textId="77777777" w:rsidTr="00F04398">
        <w:tc>
          <w:tcPr>
            <w:tcW w:w="2028" w:type="dxa"/>
          </w:tcPr>
          <w:p w14:paraId="7BD02F4A" w14:textId="5E7867E5" w:rsidR="00F04398" w:rsidRDefault="00F04398" w:rsidP="00BE3C00">
            <w:r>
              <w:t xml:space="preserve">Extended Foster Care (SB </w:t>
            </w:r>
            <w:r w:rsidR="006713FD">
              <w:t>5908)</w:t>
            </w:r>
          </w:p>
        </w:tc>
        <w:tc>
          <w:tcPr>
            <w:tcW w:w="2235" w:type="dxa"/>
          </w:tcPr>
          <w:p w14:paraId="7CB325F6" w14:textId="49568913" w:rsidR="00F04398" w:rsidRDefault="006713FD" w:rsidP="00BE3C00">
            <w:r>
              <w:t>Funding to implement the legislation.</w:t>
            </w:r>
          </w:p>
        </w:tc>
        <w:tc>
          <w:tcPr>
            <w:tcW w:w="2844" w:type="dxa"/>
          </w:tcPr>
          <w:p w14:paraId="1C2E98A4" w14:textId="14CF03C8" w:rsidR="00F04398" w:rsidRDefault="00E526EE" w:rsidP="00BE3C00">
            <w:r>
              <w:t>Not included</w:t>
            </w:r>
          </w:p>
          <w:p w14:paraId="391CB28A" w14:textId="06C44CD5" w:rsidR="00E526EE" w:rsidRDefault="00E526EE" w:rsidP="00BE3C00">
            <w:r>
              <w:t>Note:  The Governor’s budget included funds to increase the foster care basic rate.</w:t>
            </w:r>
          </w:p>
          <w:p w14:paraId="7274C547" w14:textId="77777777" w:rsidR="006E15A1" w:rsidRDefault="006E15A1" w:rsidP="00BE3C00"/>
          <w:p w14:paraId="7F74B67C" w14:textId="77777777" w:rsidR="006E15A1" w:rsidRDefault="006E15A1" w:rsidP="00BE3C00"/>
          <w:p w14:paraId="7FC446C6" w14:textId="77777777" w:rsidR="006E15A1" w:rsidRDefault="006E15A1" w:rsidP="00BE3C00"/>
        </w:tc>
        <w:tc>
          <w:tcPr>
            <w:tcW w:w="1917" w:type="dxa"/>
          </w:tcPr>
          <w:p w14:paraId="694EF4A7" w14:textId="77777777" w:rsidR="00F04398" w:rsidRDefault="000245E3" w:rsidP="00BE3C00">
            <w:r>
              <w:t>$1.131M</w:t>
            </w:r>
          </w:p>
          <w:p w14:paraId="150C94C5" w14:textId="3016B969" w:rsidR="000245E3" w:rsidRDefault="000245E3" w:rsidP="00BF3025">
            <w:r>
              <w:t xml:space="preserve">Note: </w:t>
            </w:r>
            <w:r w:rsidR="00BF3025">
              <w:t>This amount does not include the SIL rate increase. The rate increase in the final budget goes into effect July 1, 2025 – assuming it is funded in the ’25-’27 budget.</w:t>
            </w:r>
          </w:p>
          <w:p w14:paraId="27DC163D" w14:textId="0E239274" w:rsidR="000245E3" w:rsidRDefault="000245E3" w:rsidP="00BE3C00"/>
        </w:tc>
        <w:tc>
          <w:tcPr>
            <w:tcW w:w="1917" w:type="dxa"/>
          </w:tcPr>
          <w:p w14:paraId="4CF4F1D7" w14:textId="77777777" w:rsidR="00F04398" w:rsidRDefault="00BF3025" w:rsidP="00BE3C00">
            <w:r>
              <w:t>Not included</w:t>
            </w:r>
          </w:p>
          <w:p w14:paraId="414DE2D3" w14:textId="124E4D00" w:rsidR="00BF3025" w:rsidRDefault="00BF3025" w:rsidP="00BE3C00">
            <w:r>
              <w:t>Note:  The House budget included the rate increase that would go into effect July 1, 2024.</w:t>
            </w:r>
          </w:p>
        </w:tc>
        <w:tc>
          <w:tcPr>
            <w:tcW w:w="2009" w:type="dxa"/>
          </w:tcPr>
          <w:p w14:paraId="142EF5D9" w14:textId="77777777" w:rsidR="00F04398" w:rsidRDefault="00F04398" w:rsidP="00BE3C00">
            <w:r>
              <w:t>$1.131</w:t>
            </w:r>
            <w:r w:rsidR="000245E3">
              <w:t>M</w:t>
            </w:r>
          </w:p>
          <w:p w14:paraId="335EFAEA" w14:textId="1EB08A34" w:rsidR="000245E3" w:rsidRDefault="000245E3" w:rsidP="00BE3C00">
            <w:r>
              <w:t>Note: Thi</w:t>
            </w:r>
            <w:r w:rsidR="00BF3025">
              <w:t>s amount</w:t>
            </w:r>
            <w:r>
              <w:t xml:space="preserve"> does not include the SIL rate increase</w:t>
            </w:r>
            <w:r w:rsidR="00BF3025">
              <w:t>. The rate increase in the final budget</w:t>
            </w:r>
            <w:r>
              <w:t xml:space="preserve"> go</w:t>
            </w:r>
            <w:r w:rsidR="00BF3025">
              <w:t>es</w:t>
            </w:r>
            <w:r>
              <w:t xml:space="preserve"> into effect July 1, 2025 – assuming it is funded in the ’25-’27 budget.</w:t>
            </w:r>
          </w:p>
          <w:p w14:paraId="64038920" w14:textId="20B928E5" w:rsidR="000245E3" w:rsidRDefault="000245E3" w:rsidP="00BE3C00"/>
        </w:tc>
      </w:tr>
      <w:tr w:rsidR="00D73945" w14:paraId="1944AB92" w14:textId="6C0EC5DC" w:rsidTr="00F04398">
        <w:tc>
          <w:tcPr>
            <w:tcW w:w="2028" w:type="dxa"/>
          </w:tcPr>
          <w:p w14:paraId="2E327E9D" w14:textId="4FE40FFD" w:rsidR="006E15A1" w:rsidRDefault="006E15A1" w:rsidP="00BE3C00">
            <w:r>
              <w:lastRenderedPageBreak/>
              <w:t>Social Services Workers at Shelter Care (OPD)</w:t>
            </w:r>
          </w:p>
          <w:p w14:paraId="6B72DB01" w14:textId="77777777" w:rsidR="006E15A1" w:rsidRDefault="006E15A1" w:rsidP="00BE3C00"/>
          <w:p w14:paraId="423CCEFE" w14:textId="6230211A" w:rsidR="00D73945" w:rsidRDefault="00D73945" w:rsidP="00BE3C00">
            <w:r>
              <w:t>Shelter Care Early Engagement Project</w:t>
            </w:r>
          </w:p>
          <w:p w14:paraId="67CF6780" w14:textId="7B464548" w:rsidR="00F04398" w:rsidRDefault="00F04398" w:rsidP="00BE3C00"/>
        </w:tc>
        <w:tc>
          <w:tcPr>
            <w:tcW w:w="2235" w:type="dxa"/>
          </w:tcPr>
          <w:p w14:paraId="73D55FD1" w14:textId="77777777" w:rsidR="00D73945" w:rsidRDefault="00D73945" w:rsidP="00BE3C00">
            <w:r>
              <w:t>The Office of Public Defense would be allocated funding to oversee a program in 5 counties whereby a social services worker would be assigned to a case, along with the attorney, at the initial shelter care hearing. The goal is to have fewer or shorter out of home placements.</w:t>
            </w:r>
          </w:p>
          <w:p w14:paraId="1AC28806" w14:textId="77777777" w:rsidR="00E526EE" w:rsidRDefault="00E526EE" w:rsidP="00BE3C00"/>
        </w:tc>
        <w:tc>
          <w:tcPr>
            <w:tcW w:w="2844" w:type="dxa"/>
          </w:tcPr>
          <w:p w14:paraId="7910EC42" w14:textId="77777777" w:rsidR="00D73945" w:rsidRDefault="00D73945" w:rsidP="00BE3C00">
            <w:r>
              <w:t>$883,219</w:t>
            </w:r>
          </w:p>
        </w:tc>
        <w:tc>
          <w:tcPr>
            <w:tcW w:w="1917" w:type="dxa"/>
          </w:tcPr>
          <w:p w14:paraId="14986F6E" w14:textId="4B061995" w:rsidR="00D73945" w:rsidRDefault="00D73945" w:rsidP="00BE3C00">
            <w:r>
              <w:t>Not included</w:t>
            </w:r>
          </w:p>
        </w:tc>
        <w:tc>
          <w:tcPr>
            <w:tcW w:w="1917" w:type="dxa"/>
          </w:tcPr>
          <w:p w14:paraId="1123E510" w14:textId="6046B564" w:rsidR="00D73945" w:rsidRDefault="00D73945" w:rsidP="00BE3C00">
            <w:r>
              <w:t>$400,000</w:t>
            </w:r>
          </w:p>
        </w:tc>
        <w:tc>
          <w:tcPr>
            <w:tcW w:w="2009" w:type="dxa"/>
          </w:tcPr>
          <w:p w14:paraId="20FD886A" w14:textId="77777777" w:rsidR="00D73945" w:rsidRDefault="00D73945" w:rsidP="00BE3C00">
            <w:r>
              <w:t>$400,000</w:t>
            </w:r>
          </w:p>
          <w:p w14:paraId="42917708" w14:textId="77777777" w:rsidR="006E15A1" w:rsidRDefault="006E15A1" w:rsidP="00BE3C00"/>
          <w:p w14:paraId="0DC98ADA" w14:textId="4D9A6E30" w:rsidR="006E15A1" w:rsidRDefault="006E15A1" w:rsidP="00BE3C00">
            <w:r>
              <w:t>(</w:t>
            </w:r>
            <w:r w:rsidR="00E526EE">
              <w:t xml:space="preserve">Narrowed to </w:t>
            </w:r>
            <w:r>
              <w:t>2 counties)</w:t>
            </w:r>
          </w:p>
        </w:tc>
      </w:tr>
      <w:tr w:rsidR="00D73945" w14:paraId="76602D1A" w14:textId="07E07F53" w:rsidTr="00F04398">
        <w:tc>
          <w:tcPr>
            <w:tcW w:w="2028" w:type="dxa"/>
          </w:tcPr>
          <w:p w14:paraId="7A76C2CC" w14:textId="77777777" w:rsidR="00D73945" w:rsidRDefault="00D73945" w:rsidP="00BE3C00">
            <w:r>
              <w:t>Conditional Scholarship Evaluation</w:t>
            </w:r>
          </w:p>
        </w:tc>
        <w:tc>
          <w:tcPr>
            <w:tcW w:w="2235" w:type="dxa"/>
          </w:tcPr>
          <w:p w14:paraId="391C063E" w14:textId="77777777" w:rsidR="00D73945" w:rsidRDefault="00D73945" w:rsidP="00BE3C00">
            <w:pPr>
              <w:rPr>
                <w:rFonts w:cstheme="minorHAnsi"/>
              </w:rPr>
            </w:pPr>
            <w:r>
              <w:rPr>
                <w:rFonts w:cstheme="minorHAnsi"/>
              </w:rPr>
              <w:t xml:space="preserve">Conduct a longitudinal study with a cohort of clinicians who have received a conditional scholarship and as a result have an obligation to share workforce data. This approach will address the overall effectiveness of the </w:t>
            </w:r>
            <w:r>
              <w:rPr>
                <w:rFonts w:cstheme="minorHAnsi"/>
              </w:rPr>
              <w:lastRenderedPageBreak/>
              <w:t>conditional grant program, while providing valuable insights on how to improve clinical training, how to better support underserved communities, and how to track progress regarding diversifying Washington’s public behavioral workforce.</w:t>
            </w:r>
          </w:p>
          <w:p w14:paraId="0328555D" w14:textId="77777777" w:rsidR="00D73945" w:rsidRDefault="00D73945" w:rsidP="00BE3C00"/>
        </w:tc>
        <w:tc>
          <w:tcPr>
            <w:tcW w:w="2844" w:type="dxa"/>
          </w:tcPr>
          <w:p w14:paraId="2C1716AF" w14:textId="77777777" w:rsidR="00D73945" w:rsidRDefault="00D73945" w:rsidP="00BE3C00">
            <w:r>
              <w:lastRenderedPageBreak/>
              <w:t>Not included in the Governor’s budget.</w:t>
            </w:r>
          </w:p>
          <w:p w14:paraId="0CCDF1CC" w14:textId="77777777" w:rsidR="00D73945" w:rsidRDefault="00D73945" w:rsidP="00BE3C00"/>
          <w:p w14:paraId="53C1D7C1" w14:textId="77777777" w:rsidR="00D73945" w:rsidRDefault="00D73945" w:rsidP="00BE3C00">
            <w:r>
              <w:t>Request- $250k</w:t>
            </w:r>
          </w:p>
          <w:p w14:paraId="4E7EED3D" w14:textId="77777777" w:rsidR="00D73945" w:rsidRDefault="00D73945" w:rsidP="00BE3C00"/>
        </w:tc>
        <w:tc>
          <w:tcPr>
            <w:tcW w:w="1917" w:type="dxa"/>
          </w:tcPr>
          <w:p w14:paraId="50A7309C" w14:textId="53BDA64D" w:rsidR="00D73945" w:rsidRDefault="00D73945" w:rsidP="00BE3C00">
            <w:r>
              <w:t>Not included</w:t>
            </w:r>
          </w:p>
        </w:tc>
        <w:tc>
          <w:tcPr>
            <w:tcW w:w="1917" w:type="dxa"/>
          </w:tcPr>
          <w:p w14:paraId="011BE16F" w14:textId="3D64C719" w:rsidR="00D73945" w:rsidRDefault="00D73945" w:rsidP="00BE3C00">
            <w:r>
              <w:t>$250,000</w:t>
            </w:r>
          </w:p>
        </w:tc>
        <w:tc>
          <w:tcPr>
            <w:tcW w:w="2009" w:type="dxa"/>
          </w:tcPr>
          <w:p w14:paraId="4A815A7C" w14:textId="225C6724" w:rsidR="00D73945" w:rsidRDefault="00D73945" w:rsidP="00BE3C00">
            <w:r>
              <w:t>$250,000</w:t>
            </w:r>
          </w:p>
        </w:tc>
      </w:tr>
      <w:tr w:rsidR="00D73945" w14:paraId="69AAB436" w14:textId="5F791DE3" w:rsidTr="00F04398">
        <w:tc>
          <w:tcPr>
            <w:tcW w:w="2028" w:type="dxa"/>
          </w:tcPr>
          <w:p w14:paraId="62AF2685" w14:textId="77777777" w:rsidR="00D73945" w:rsidRDefault="00D73945" w:rsidP="00BE3C00">
            <w:r>
              <w:t>Children and Youth BH Workgroup Priorities</w:t>
            </w:r>
          </w:p>
        </w:tc>
        <w:tc>
          <w:tcPr>
            <w:tcW w:w="2235" w:type="dxa"/>
          </w:tcPr>
          <w:p w14:paraId="7465A1B1" w14:textId="77777777" w:rsidR="00D73945" w:rsidRDefault="00D73945" w:rsidP="00BE3C00">
            <w:r>
              <w:t xml:space="preserve">The Children and Youth BH Workgroup has 11 priorities and a number of support items.  While some of the priorities will be captured in bills, the majority are budget only.  </w:t>
            </w:r>
          </w:p>
          <w:p w14:paraId="79F8FA49" w14:textId="77777777" w:rsidR="00D73945" w:rsidRDefault="00D73945" w:rsidP="00BE3C00"/>
        </w:tc>
        <w:tc>
          <w:tcPr>
            <w:tcW w:w="2844" w:type="dxa"/>
          </w:tcPr>
          <w:p w14:paraId="044F1A25" w14:textId="77777777" w:rsidR="00D73945" w:rsidRDefault="00D73945" w:rsidP="00BE3C00">
            <w:r>
              <w:t>Some are included in the Governor’s budget; however, a number of the priorities are not.</w:t>
            </w:r>
          </w:p>
        </w:tc>
        <w:tc>
          <w:tcPr>
            <w:tcW w:w="1917" w:type="dxa"/>
          </w:tcPr>
          <w:p w14:paraId="68DF5DAA" w14:textId="478B678B" w:rsidR="00D73945" w:rsidRDefault="00D73945" w:rsidP="00BE3C00">
            <w:r>
              <w:t>Included in a separate chart</w:t>
            </w:r>
          </w:p>
        </w:tc>
        <w:tc>
          <w:tcPr>
            <w:tcW w:w="1917" w:type="dxa"/>
          </w:tcPr>
          <w:p w14:paraId="21751F87" w14:textId="6435824A" w:rsidR="00D73945" w:rsidRDefault="00D73945" w:rsidP="00BE3C00">
            <w:r>
              <w:t>Included in a separate chart</w:t>
            </w:r>
          </w:p>
        </w:tc>
        <w:tc>
          <w:tcPr>
            <w:tcW w:w="2009" w:type="dxa"/>
          </w:tcPr>
          <w:p w14:paraId="447C7B4F" w14:textId="1FC7C68A" w:rsidR="00D73945" w:rsidRDefault="00D73945" w:rsidP="00BE3C00">
            <w:r>
              <w:t>Included in a separate chart</w:t>
            </w:r>
          </w:p>
        </w:tc>
      </w:tr>
      <w:tr w:rsidR="00D73945" w14:paraId="0262B0CB" w14:textId="76936A7A" w:rsidTr="00F04398">
        <w:tc>
          <w:tcPr>
            <w:tcW w:w="2028" w:type="dxa"/>
          </w:tcPr>
          <w:p w14:paraId="54D0735A" w14:textId="77777777" w:rsidR="00D73945" w:rsidRDefault="00D73945" w:rsidP="00BE3C00">
            <w:r>
              <w:t xml:space="preserve">Family Preservation </w:t>
            </w:r>
            <w:r>
              <w:lastRenderedPageBreak/>
              <w:t xml:space="preserve">Services (FPS) Rate Increase </w:t>
            </w:r>
          </w:p>
        </w:tc>
        <w:tc>
          <w:tcPr>
            <w:tcW w:w="2235" w:type="dxa"/>
          </w:tcPr>
          <w:p w14:paraId="5BE62793" w14:textId="77777777" w:rsidR="00D73945" w:rsidRDefault="00D73945" w:rsidP="00BE3C00">
            <w:r>
              <w:lastRenderedPageBreak/>
              <w:t xml:space="preserve">Increase the rate in order to maintain </w:t>
            </w:r>
            <w:r>
              <w:lastRenderedPageBreak/>
              <w:t>FPS capacity at the current level.</w:t>
            </w:r>
          </w:p>
        </w:tc>
        <w:tc>
          <w:tcPr>
            <w:tcW w:w="2844" w:type="dxa"/>
          </w:tcPr>
          <w:p w14:paraId="669BD272" w14:textId="77777777" w:rsidR="00D73945" w:rsidRDefault="00D73945" w:rsidP="00BE3C00">
            <w:r>
              <w:lastRenderedPageBreak/>
              <w:t>Not include in the Governor’s budget.</w:t>
            </w:r>
          </w:p>
          <w:p w14:paraId="02E545FF" w14:textId="77777777" w:rsidR="00D73945" w:rsidRDefault="00D73945" w:rsidP="00BE3C00"/>
          <w:p w14:paraId="30BAEE4D" w14:textId="77777777" w:rsidR="00D73945" w:rsidRDefault="00D73945" w:rsidP="00BE3C00">
            <w:r>
              <w:t>The request is:</w:t>
            </w:r>
          </w:p>
          <w:p w14:paraId="0E54CF54" w14:textId="77777777" w:rsidR="00D73945" w:rsidRDefault="00D73945" w:rsidP="00BE3C00">
            <w:r>
              <w:t>$2.9m</w:t>
            </w:r>
          </w:p>
          <w:p w14:paraId="66A27B57" w14:textId="77777777" w:rsidR="00D73945" w:rsidRDefault="00D73945" w:rsidP="00BE3C00"/>
        </w:tc>
        <w:tc>
          <w:tcPr>
            <w:tcW w:w="1917" w:type="dxa"/>
          </w:tcPr>
          <w:p w14:paraId="4FFF8AFA" w14:textId="3209AEA7" w:rsidR="00D73945" w:rsidRDefault="00D73945" w:rsidP="00BE3C00">
            <w:r>
              <w:lastRenderedPageBreak/>
              <w:t>Not included</w:t>
            </w:r>
          </w:p>
        </w:tc>
        <w:tc>
          <w:tcPr>
            <w:tcW w:w="1917" w:type="dxa"/>
          </w:tcPr>
          <w:p w14:paraId="3B866BE9" w14:textId="66C96178" w:rsidR="00D73945" w:rsidRDefault="00D73945" w:rsidP="00BE3C00">
            <w:r>
              <w:t>$1.75M</w:t>
            </w:r>
          </w:p>
        </w:tc>
        <w:tc>
          <w:tcPr>
            <w:tcW w:w="2009" w:type="dxa"/>
          </w:tcPr>
          <w:p w14:paraId="1068AFED" w14:textId="10EA5A24" w:rsidR="00D73945" w:rsidRDefault="00D73945" w:rsidP="00BE3C00">
            <w:r>
              <w:t>$1.75M</w:t>
            </w:r>
          </w:p>
        </w:tc>
      </w:tr>
      <w:tr w:rsidR="00D73945" w14:paraId="0AF9C528" w14:textId="2810A83D" w:rsidTr="00F04398">
        <w:tc>
          <w:tcPr>
            <w:tcW w:w="2028" w:type="dxa"/>
          </w:tcPr>
          <w:p w14:paraId="0B61AA4D" w14:textId="77777777" w:rsidR="00D73945" w:rsidRDefault="00D73945" w:rsidP="00BE3C00">
            <w:r>
              <w:t>Rising Strong</w:t>
            </w:r>
          </w:p>
        </w:tc>
        <w:tc>
          <w:tcPr>
            <w:tcW w:w="2235" w:type="dxa"/>
          </w:tcPr>
          <w:p w14:paraId="3CCF12B5" w14:textId="77777777" w:rsidR="00D73945" w:rsidRDefault="00D73945" w:rsidP="00BE3C00">
            <w:r>
              <w:t>Bridge funding is needed for Rising Strong-Spokane to ensure that their operating needs are met while awaiting the results of the study (and action taken on the study) that will determine the rate needed to operate this program model (that serves parents with SUD who are involved in the child welfare system).</w:t>
            </w:r>
          </w:p>
          <w:p w14:paraId="6F0D6F36" w14:textId="77777777" w:rsidR="00D73945" w:rsidRDefault="00D73945" w:rsidP="00BE3C00"/>
        </w:tc>
        <w:tc>
          <w:tcPr>
            <w:tcW w:w="2844" w:type="dxa"/>
          </w:tcPr>
          <w:p w14:paraId="2578163C" w14:textId="77777777" w:rsidR="00D73945" w:rsidRDefault="00D73945" w:rsidP="00BE3C00">
            <w:r>
              <w:t>The Governor’s budget includes $1.4m.</w:t>
            </w:r>
          </w:p>
        </w:tc>
        <w:tc>
          <w:tcPr>
            <w:tcW w:w="1917" w:type="dxa"/>
          </w:tcPr>
          <w:p w14:paraId="6921AF26" w14:textId="39B358DE" w:rsidR="00D73945" w:rsidRDefault="00D73945" w:rsidP="00BE3C00">
            <w:r>
              <w:t>$1.4M</w:t>
            </w:r>
          </w:p>
        </w:tc>
        <w:tc>
          <w:tcPr>
            <w:tcW w:w="1917" w:type="dxa"/>
          </w:tcPr>
          <w:p w14:paraId="20C3DD13" w14:textId="27BC0EAC" w:rsidR="00D73945" w:rsidRDefault="00D73945" w:rsidP="00BE3C00">
            <w:r>
              <w:t>$1.4M</w:t>
            </w:r>
          </w:p>
        </w:tc>
        <w:tc>
          <w:tcPr>
            <w:tcW w:w="2009" w:type="dxa"/>
          </w:tcPr>
          <w:p w14:paraId="2212E81B" w14:textId="4E3A8963" w:rsidR="00D73945" w:rsidRDefault="00D73945" w:rsidP="00BE3C00">
            <w:r>
              <w:t>$1.4M</w:t>
            </w:r>
          </w:p>
        </w:tc>
      </w:tr>
      <w:tr w:rsidR="00D73945" w14:paraId="4351B4AD" w14:textId="4A5F1346" w:rsidTr="00F04398">
        <w:tc>
          <w:tcPr>
            <w:tcW w:w="2028" w:type="dxa"/>
          </w:tcPr>
          <w:p w14:paraId="2B0D3C57" w14:textId="77777777" w:rsidR="00D73945" w:rsidRDefault="00D73945" w:rsidP="00BE3C00">
            <w:r>
              <w:t>Family Reconciliation Services (FRS) Rate Increase</w:t>
            </w:r>
          </w:p>
        </w:tc>
        <w:tc>
          <w:tcPr>
            <w:tcW w:w="2235" w:type="dxa"/>
          </w:tcPr>
          <w:p w14:paraId="35D0A0E9" w14:textId="77777777" w:rsidR="00D73945" w:rsidRDefault="00D73945" w:rsidP="00BE3C00">
            <w:r>
              <w:t xml:space="preserve">Phase in community-based FRS around the state, contracting with providers to do assessments, direct services, connecting </w:t>
            </w:r>
            <w:r>
              <w:lastRenderedPageBreak/>
              <w:t>families to other services, etc.</w:t>
            </w:r>
          </w:p>
          <w:p w14:paraId="1FB9D32D" w14:textId="77777777" w:rsidR="00D73945" w:rsidRDefault="00D73945" w:rsidP="00BE3C00"/>
        </w:tc>
        <w:tc>
          <w:tcPr>
            <w:tcW w:w="2844" w:type="dxa"/>
          </w:tcPr>
          <w:p w14:paraId="34412C6A" w14:textId="77777777" w:rsidR="00D73945" w:rsidRDefault="00D73945" w:rsidP="00BE3C00">
            <w:r>
              <w:lastRenderedPageBreak/>
              <w:t>Not included in the Governor’s budget; however, the DCYF decision package requested $7.084m</w:t>
            </w:r>
          </w:p>
        </w:tc>
        <w:tc>
          <w:tcPr>
            <w:tcW w:w="1917" w:type="dxa"/>
          </w:tcPr>
          <w:p w14:paraId="2EC17F34" w14:textId="748BA3E3" w:rsidR="00D73945" w:rsidRDefault="00D73945" w:rsidP="00BE3C00">
            <w:r>
              <w:t>Not included</w:t>
            </w:r>
          </w:p>
        </w:tc>
        <w:tc>
          <w:tcPr>
            <w:tcW w:w="1917" w:type="dxa"/>
          </w:tcPr>
          <w:p w14:paraId="799C8C51" w14:textId="2C1B3FA4" w:rsidR="00D73945" w:rsidRDefault="00D73945" w:rsidP="00BE3C00">
            <w:r>
              <w:t>Not included</w:t>
            </w:r>
          </w:p>
        </w:tc>
        <w:tc>
          <w:tcPr>
            <w:tcW w:w="2009" w:type="dxa"/>
          </w:tcPr>
          <w:p w14:paraId="3C733880" w14:textId="5E55CF21" w:rsidR="00D73945" w:rsidRDefault="00D73945" w:rsidP="00BE3C00">
            <w:r>
              <w:t>Not included</w:t>
            </w:r>
          </w:p>
        </w:tc>
      </w:tr>
      <w:tr w:rsidR="00D73945" w14:paraId="73F4E61F" w14:textId="2B4B58B3" w:rsidTr="00F04398">
        <w:tc>
          <w:tcPr>
            <w:tcW w:w="2028" w:type="dxa"/>
          </w:tcPr>
          <w:p w14:paraId="308D2658" w14:textId="77777777" w:rsidR="00D73945" w:rsidRDefault="00D73945" w:rsidP="00BE3C00">
            <w:r>
              <w:t>SUD Residential Treatment Bed Rate</w:t>
            </w:r>
          </w:p>
        </w:tc>
        <w:tc>
          <w:tcPr>
            <w:tcW w:w="2235" w:type="dxa"/>
          </w:tcPr>
          <w:p w14:paraId="3204BB1D" w14:textId="77777777" w:rsidR="00D73945" w:rsidRDefault="00D73945" w:rsidP="00BE3C00">
            <w:r>
              <w:t>Increase the room and board rate for residential treatment providers and fund an independent study of residential SUD room and board expenses to set a target rate for ’25-’27.</w:t>
            </w:r>
          </w:p>
        </w:tc>
        <w:tc>
          <w:tcPr>
            <w:tcW w:w="2844" w:type="dxa"/>
          </w:tcPr>
          <w:p w14:paraId="3D502D22" w14:textId="77777777" w:rsidR="00D73945" w:rsidRDefault="00D73945" w:rsidP="00BE3C00">
            <w:r>
              <w:t>Not included in the Governor’s budget.</w:t>
            </w:r>
          </w:p>
          <w:p w14:paraId="47E0511C" w14:textId="77777777" w:rsidR="00D73945" w:rsidRDefault="00D73945" w:rsidP="00BE3C00"/>
          <w:p w14:paraId="03947E43" w14:textId="77777777" w:rsidR="00D73945" w:rsidRDefault="00D73945" w:rsidP="00BE3C00">
            <w:r>
              <w:t>The request is:</w:t>
            </w:r>
          </w:p>
          <w:p w14:paraId="72BC70B5" w14:textId="77777777" w:rsidR="00D73945" w:rsidRDefault="00D73945" w:rsidP="00BE3C00">
            <w:r>
              <w:t>Rate - $30m (will raise the rate from $14.20/day to $55/day.</w:t>
            </w:r>
          </w:p>
          <w:p w14:paraId="423CBB93" w14:textId="77777777" w:rsidR="00D73945" w:rsidRDefault="00D73945" w:rsidP="00BE3C00"/>
          <w:p w14:paraId="2EF4DEEE" w14:textId="77777777" w:rsidR="00D73945" w:rsidRDefault="00D73945" w:rsidP="00BE3C00">
            <w:r>
              <w:t>Study – TBD</w:t>
            </w:r>
          </w:p>
          <w:p w14:paraId="031912DA" w14:textId="77777777" w:rsidR="00D73945" w:rsidRDefault="00D73945" w:rsidP="00BE3C00"/>
        </w:tc>
        <w:tc>
          <w:tcPr>
            <w:tcW w:w="1917" w:type="dxa"/>
          </w:tcPr>
          <w:p w14:paraId="537C64EF" w14:textId="2C6539F1" w:rsidR="00D73945" w:rsidRDefault="00D73945" w:rsidP="00BE3C00">
            <w:r>
              <w:t>Not included</w:t>
            </w:r>
          </w:p>
        </w:tc>
        <w:tc>
          <w:tcPr>
            <w:tcW w:w="1917" w:type="dxa"/>
          </w:tcPr>
          <w:p w14:paraId="2E9F7930" w14:textId="426C9157" w:rsidR="00D73945" w:rsidRDefault="00D73945" w:rsidP="00BE3C00">
            <w:r>
              <w:t>Not included</w:t>
            </w:r>
          </w:p>
        </w:tc>
        <w:tc>
          <w:tcPr>
            <w:tcW w:w="2009" w:type="dxa"/>
          </w:tcPr>
          <w:p w14:paraId="04968879" w14:textId="4EDB39AD" w:rsidR="00D73945" w:rsidRDefault="00D73945" w:rsidP="00BE3C00">
            <w:r>
              <w:t>Not included</w:t>
            </w:r>
          </w:p>
        </w:tc>
      </w:tr>
      <w:tr w:rsidR="00C334D4" w14:paraId="78F7A6C3" w14:textId="06EB2717" w:rsidTr="00F04398">
        <w:tc>
          <w:tcPr>
            <w:tcW w:w="2028" w:type="dxa"/>
          </w:tcPr>
          <w:p w14:paraId="1D1091C9" w14:textId="2DBB082B" w:rsidR="00C334D4" w:rsidRPr="006E15A1" w:rsidRDefault="00C334D4" w:rsidP="00C334D4">
            <w:r w:rsidRPr="006E15A1">
              <w:t>Prevention Services/Investing in Families</w:t>
            </w:r>
          </w:p>
        </w:tc>
        <w:tc>
          <w:tcPr>
            <w:tcW w:w="2235" w:type="dxa"/>
          </w:tcPr>
          <w:p w14:paraId="7B35352E" w14:textId="77777777" w:rsidR="00C334D4" w:rsidRDefault="00C334D4" w:rsidP="00C334D4">
            <w:r>
              <w:t>Increase services and</w:t>
            </w:r>
          </w:p>
          <w:p w14:paraId="1FB57AB4" w14:textId="43462491" w:rsidR="00C334D4" w:rsidRDefault="00C334D4" w:rsidP="00C334D4">
            <w:r>
              <w:t>supports for parents involved in the child welfare system who are dealing with SUD issues.</w:t>
            </w:r>
          </w:p>
        </w:tc>
        <w:tc>
          <w:tcPr>
            <w:tcW w:w="2844" w:type="dxa"/>
          </w:tcPr>
          <w:p w14:paraId="76ECE41A" w14:textId="1EBE0A65" w:rsidR="00C334D4" w:rsidRDefault="00C334D4" w:rsidP="00C334D4">
            <w:r>
              <w:t>Various.  Included funding for contracted child care and home visiting slots as well as third-party safety planning</w:t>
            </w:r>
          </w:p>
        </w:tc>
        <w:tc>
          <w:tcPr>
            <w:tcW w:w="1917" w:type="dxa"/>
          </w:tcPr>
          <w:p w14:paraId="36707CD0" w14:textId="77AB8940" w:rsidR="00C334D4" w:rsidRDefault="00C334D4" w:rsidP="00C334D4">
            <w:r>
              <w:t>Various.  E2SSB 6109 is funded</w:t>
            </w:r>
          </w:p>
        </w:tc>
        <w:tc>
          <w:tcPr>
            <w:tcW w:w="1917" w:type="dxa"/>
          </w:tcPr>
          <w:p w14:paraId="6EFBC893" w14:textId="77777777" w:rsidR="00C334D4" w:rsidRDefault="00C334D4" w:rsidP="00C334D4">
            <w:r>
              <w:t>Not directly included (Note E2SSB 6109 is vehicle)</w:t>
            </w:r>
          </w:p>
          <w:p w14:paraId="37D8086F" w14:textId="02E411A9" w:rsidR="00C334D4" w:rsidRDefault="00C334D4" w:rsidP="00C334D4"/>
        </w:tc>
        <w:tc>
          <w:tcPr>
            <w:tcW w:w="2009" w:type="dxa"/>
          </w:tcPr>
          <w:p w14:paraId="02862663" w14:textId="77777777" w:rsidR="00C334D4" w:rsidRDefault="00C334D4" w:rsidP="00C334D4">
            <w:r>
              <w:t>E2SSB 6109 and its services are funded, including:</w:t>
            </w:r>
          </w:p>
          <w:p w14:paraId="6F7B5AF6" w14:textId="77777777" w:rsidR="00C334D4" w:rsidRDefault="00C334D4" w:rsidP="00C334D4"/>
          <w:p w14:paraId="6A5D8CA4" w14:textId="3BBBBD27" w:rsidR="00C334D4" w:rsidRDefault="00C334D4" w:rsidP="00C334D4">
            <w:r>
              <w:t>$1.579M contracted child care slots</w:t>
            </w:r>
            <w:r w:rsidR="006E15A1">
              <w:t>;</w:t>
            </w:r>
          </w:p>
          <w:p w14:paraId="21E95CC0" w14:textId="2C5453F7" w:rsidR="00C334D4" w:rsidRDefault="00C334D4" w:rsidP="00C334D4">
            <w:r>
              <w:t>$1.6M contracted home visiting</w:t>
            </w:r>
            <w:r w:rsidR="006E15A1">
              <w:t>;</w:t>
            </w:r>
          </w:p>
          <w:p w14:paraId="1097FE2E" w14:textId="3A25F98E" w:rsidR="00C334D4" w:rsidRDefault="00C334D4" w:rsidP="00C334D4">
            <w:r>
              <w:t>$1.515 third-party safety planning w/ public health nurses</w:t>
            </w:r>
            <w:r w:rsidR="006E15A1">
              <w:t>;</w:t>
            </w:r>
          </w:p>
          <w:p w14:paraId="31FEE8AE" w14:textId="5DE399B8" w:rsidR="00C334D4" w:rsidRDefault="00C334D4" w:rsidP="00C334D4">
            <w:r>
              <w:t>$875K for legal liaisons</w:t>
            </w:r>
            <w:r w:rsidR="006E15A1">
              <w:t>;</w:t>
            </w:r>
          </w:p>
          <w:p w14:paraId="1B311702" w14:textId="7F8D1F93" w:rsidR="00C334D4" w:rsidRDefault="00C334D4" w:rsidP="00C334D4">
            <w:r>
              <w:lastRenderedPageBreak/>
              <w:t>$972K for Intercept</w:t>
            </w:r>
            <w:r w:rsidR="006E15A1">
              <w:t>;</w:t>
            </w:r>
          </w:p>
          <w:p w14:paraId="1D08EEED" w14:textId="640154A5" w:rsidR="00C334D4" w:rsidRDefault="00C334D4" w:rsidP="00C334D4">
            <w:r>
              <w:t xml:space="preserve">$743,000 </w:t>
            </w:r>
            <w:proofErr w:type="spellStart"/>
            <w:r>
              <w:t>Promotoras</w:t>
            </w:r>
            <w:proofErr w:type="spellEnd"/>
            <w:r w:rsidR="006E15A1">
              <w:t>;</w:t>
            </w:r>
          </w:p>
          <w:p w14:paraId="386FDCCB" w14:textId="77777777" w:rsidR="00C334D4" w:rsidRDefault="00C334D4" w:rsidP="00C334D4">
            <w:r>
              <w:t>$479,000 Administrative Office of the Courts</w:t>
            </w:r>
          </w:p>
          <w:p w14:paraId="06476118" w14:textId="7AC2CB8B" w:rsidR="006E15A1" w:rsidRDefault="006E15A1" w:rsidP="00C334D4"/>
        </w:tc>
      </w:tr>
      <w:tr w:rsidR="00C334D4" w14:paraId="24B2FCD0" w14:textId="7B6490FC" w:rsidTr="00F04398">
        <w:tc>
          <w:tcPr>
            <w:tcW w:w="2028" w:type="dxa"/>
          </w:tcPr>
          <w:p w14:paraId="4FC587A4" w14:textId="46A9C3B7" w:rsidR="00C334D4" w:rsidRPr="00F04398" w:rsidRDefault="00F04398" w:rsidP="00C334D4">
            <w:pPr>
              <w:rPr>
                <w:b/>
                <w:bCs/>
              </w:rPr>
            </w:pPr>
            <w:r w:rsidRPr="00F04398">
              <w:lastRenderedPageBreak/>
              <w:t>Public Health Nurse/Child Welfare Partnership Pilot</w:t>
            </w:r>
          </w:p>
        </w:tc>
        <w:tc>
          <w:tcPr>
            <w:tcW w:w="2235" w:type="dxa"/>
          </w:tcPr>
          <w:p w14:paraId="67F181B5" w14:textId="0B45A198" w:rsidR="00C334D4" w:rsidRDefault="001C019B" w:rsidP="00C334D4">
            <w:r>
              <w:t>Establish a pilot at DCYF for public health nurses to support caseworkers in engaging and communicating with child welfare-involved families about the risks of fentanyl and other child health and safety practices, as well as to support families in navigating community-based services.</w:t>
            </w:r>
          </w:p>
        </w:tc>
        <w:tc>
          <w:tcPr>
            <w:tcW w:w="2844" w:type="dxa"/>
          </w:tcPr>
          <w:p w14:paraId="612006D5" w14:textId="11ABC9A7" w:rsidR="00C334D4" w:rsidRDefault="001C019B" w:rsidP="00C334D4">
            <w:r>
              <w:t>$1.350M</w:t>
            </w:r>
          </w:p>
        </w:tc>
        <w:tc>
          <w:tcPr>
            <w:tcW w:w="1917" w:type="dxa"/>
          </w:tcPr>
          <w:p w14:paraId="746F0E22" w14:textId="637E257C" w:rsidR="00204601" w:rsidRDefault="00204601" w:rsidP="00204601">
            <w:r>
              <w:t xml:space="preserve">$1.35M </w:t>
            </w:r>
          </w:p>
          <w:p w14:paraId="4CB61C21" w14:textId="77777777" w:rsidR="00C334D4" w:rsidRDefault="00C334D4" w:rsidP="00C334D4"/>
        </w:tc>
        <w:tc>
          <w:tcPr>
            <w:tcW w:w="1917" w:type="dxa"/>
          </w:tcPr>
          <w:p w14:paraId="46F65D88" w14:textId="7970FF0E" w:rsidR="00204601" w:rsidRDefault="00204601" w:rsidP="00204601">
            <w:r>
              <w:t xml:space="preserve">$1.35M </w:t>
            </w:r>
          </w:p>
          <w:p w14:paraId="2421CC26" w14:textId="77777777" w:rsidR="00C334D4" w:rsidRDefault="00C334D4" w:rsidP="00C334D4"/>
        </w:tc>
        <w:tc>
          <w:tcPr>
            <w:tcW w:w="2009" w:type="dxa"/>
          </w:tcPr>
          <w:p w14:paraId="1D9E05F3" w14:textId="7EF5A355" w:rsidR="00F04398" w:rsidRDefault="00F04398" w:rsidP="00F04398">
            <w:r>
              <w:t xml:space="preserve">$1.35M </w:t>
            </w:r>
          </w:p>
          <w:p w14:paraId="5C1B0762" w14:textId="77777777" w:rsidR="00C334D4" w:rsidRDefault="00C334D4" w:rsidP="00C334D4"/>
        </w:tc>
      </w:tr>
    </w:tbl>
    <w:p w14:paraId="6209B8A8" w14:textId="77777777" w:rsidR="00222643" w:rsidRDefault="00222643"/>
    <w:sectPr w:rsidR="00222643" w:rsidSect="00C507C4">
      <w:headerReference w:type="default" r:id="rId6"/>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C06F7" w14:textId="77777777" w:rsidR="00C507C4" w:rsidRDefault="00C507C4" w:rsidP="0021387A">
      <w:r>
        <w:separator/>
      </w:r>
    </w:p>
  </w:endnote>
  <w:endnote w:type="continuationSeparator" w:id="0">
    <w:p w14:paraId="40A4674B" w14:textId="77777777" w:rsidR="00C507C4" w:rsidRDefault="00C507C4" w:rsidP="0021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47463288"/>
      <w:docPartObj>
        <w:docPartGallery w:val="Page Numbers (Bottom of Page)"/>
        <w:docPartUnique/>
      </w:docPartObj>
    </w:sdtPr>
    <w:sdtEndPr>
      <w:rPr>
        <w:rStyle w:val="PageNumber"/>
      </w:rPr>
    </w:sdtEndPr>
    <w:sdtContent>
      <w:p w14:paraId="5815E334" w14:textId="3521F46E" w:rsidR="0021387A" w:rsidRDefault="0021387A" w:rsidP="00AF19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E4FEF5" w14:textId="77777777" w:rsidR="0021387A" w:rsidRDefault="0021387A" w:rsidP="002138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2064818"/>
      <w:docPartObj>
        <w:docPartGallery w:val="Page Numbers (Bottom of Page)"/>
        <w:docPartUnique/>
      </w:docPartObj>
    </w:sdtPr>
    <w:sdtEndPr>
      <w:rPr>
        <w:rStyle w:val="PageNumber"/>
      </w:rPr>
    </w:sdtEndPr>
    <w:sdtContent>
      <w:p w14:paraId="3621E996" w14:textId="21EA7D5F" w:rsidR="0021387A" w:rsidRDefault="0021387A" w:rsidP="00AF19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36D2">
          <w:rPr>
            <w:rStyle w:val="PageNumber"/>
            <w:noProof/>
          </w:rPr>
          <w:t>2</w:t>
        </w:r>
        <w:r>
          <w:rPr>
            <w:rStyle w:val="PageNumber"/>
          </w:rPr>
          <w:fldChar w:fldCharType="end"/>
        </w:r>
      </w:p>
    </w:sdtContent>
  </w:sdt>
  <w:p w14:paraId="171C5CD4" w14:textId="77777777" w:rsidR="0021387A" w:rsidRDefault="0021387A" w:rsidP="002138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38FE3" w14:textId="77777777" w:rsidR="00C507C4" w:rsidRDefault="00C507C4" w:rsidP="0021387A">
      <w:r>
        <w:separator/>
      </w:r>
    </w:p>
  </w:footnote>
  <w:footnote w:type="continuationSeparator" w:id="0">
    <w:p w14:paraId="4F8FDAAA" w14:textId="77777777" w:rsidR="00C507C4" w:rsidRDefault="00C507C4" w:rsidP="0021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066C" w14:textId="512AB14F" w:rsidR="0021387A" w:rsidRDefault="00E526EE" w:rsidP="006F7D9F">
    <w:pPr>
      <w:pStyle w:val="Header"/>
      <w:rPr>
        <w:b/>
        <w:bCs/>
      </w:rPr>
    </w:pPr>
    <w:r>
      <w:rPr>
        <w:b/>
        <w:bCs/>
      </w:rPr>
      <w:t>Budget Highlights</w:t>
    </w:r>
  </w:p>
  <w:p w14:paraId="6B9C469B" w14:textId="75B425B1" w:rsidR="00E526EE" w:rsidRDefault="00E526EE" w:rsidP="006F7D9F">
    <w:pPr>
      <w:pStyle w:val="Header"/>
      <w:rPr>
        <w:b/>
        <w:bCs/>
      </w:rPr>
    </w:pPr>
    <w:r>
      <w:rPr>
        <w:b/>
        <w:bCs/>
      </w:rPr>
      <w:t>3/7/24</w:t>
    </w:r>
  </w:p>
  <w:p w14:paraId="59AF125E" w14:textId="77777777" w:rsidR="00E526EE" w:rsidRPr="006F7D9F" w:rsidRDefault="00E526EE" w:rsidP="006F7D9F">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7A"/>
    <w:rsid w:val="000245E3"/>
    <w:rsid w:val="000420AD"/>
    <w:rsid w:val="00080CEF"/>
    <w:rsid w:val="00081EB5"/>
    <w:rsid w:val="00092640"/>
    <w:rsid w:val="001344D7"/>
    <w:rsid w:val="00143B42"/>
    <w:rsid w:val="001C019B"/>
    <w:rsid w:val="00204601"/>
    <w:rsid w:val="0021387A"/>
    <w:rsid w:val="00222643"/>
    <w:rsid w:val="00304E58"/>
    <w:rsid w:val="003E19CF"/>
    <w:rsid w:val="004444AF"/>
    <w:rsid w:val="004B0FC0"/>
    <w:rsid w:val="004D28E7"/>
    <w:rsid w:val="005B4825"/>
    <w:rsid w:val="006713FD"/>
    <w:rsid w:val="006E15A1"/>
    <w:rsid w:val="006F7D9F"/>
    <w:rsid w:val="0084594E"/>
    <w:rsid w:val="00872C1D"/>
    <w:rsid w:val="008C36D2"/>
    <w:rsid w:val="009A6FF4"/>
    <w:rsid w:val="00A65B17"/>
    <w:rsid w:val="00A675C8"/>
    <w:rsid w:val="00B37C1D"/>
    <w:rsid w:val="00B73141"/>
    <w:rsid w:val="00BF3025"/>
    <w:rsid w:val="00C334D4"/>
    <w:rsid w:val="00C507C4"/>
    <w:rsid w:val="00C66502"/>
    <w:rsid w:val="00C779FE"/>
    <w:rsid w:val="00D14252"/>
    <w:rsid w:val="00D73945"/>
    <w:rsid w:val="00DF569D"/>
    <w:rsid w:val="00E1696C"/>
    <w:rsid w:val="00E374AA"/>
    <w:rsid w:val="00E526EE"/>
    <w:rsid w:val="00F043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17F1"/>
  <w15:chartTrackingRefBased/>
  <w15:docId w15:val="{AFBFCE68-6F47-0042-B992-5B9FAC63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387A"/>
    <w:pPr>
      <w:tabs>
        <w:tab w:val="center" w:pos="4680"/>
        <w:tab w:val="right" w:pos="9360"/>
      </w:tabs>
    </w:pPr>
  </w:style>
  <w:style w:type="character" w:customStyle="1" w:styleId="HeaderChar">
    <w:name w:val="Header Char"/>
    <w:basedOn w:val="DefaultParagraphFont"/>
    <w:link w:val="Header"/>
    <w:uiPriority w:val="99"/>
    <w:rsid w:val="0021387A"/>
  </w:style>
  <w:style w:type="paragraph" w:styleId="Footer">
    <w:name w:val="footer"/>
    <w:basedOn w:val="Normal"/>
    <w:link w:val="FooterChar"/>
    <w:uiPriority w:val="99"/>
    <w:unhideWhenUsed/>
    <w:rsid w:val="0021387A"/>
    <w:pPr>
      <w:tabs>
        <w:tab w:val="center" w:pos="4680"/>
        <w:tab w:val="right" w:pos="9360"/>
      </w:tabs>
    </w:pPr>
  </w:style>
  <w:style w:type="character" w:customStyle="1" w:styleId="FooterChar">
    <w:name w:val="Footer Char"/>
    <w:basedOn w:val="DefaultParagraphFont"/>
    <w:link w:val="Footer"/>
    <w:uiPriority w:val="99"/>
    <w:rsid w:val="0021387A"/>
  </w:style>
  <w:style w:type="character" w:styleId="PageNumber">
    <w:name w:val="page number"/>
    <w:basedOn w:val="DefaultParagraphFont"/>
    <w:uiPriority w:val="99"/>
    <w:semiHidden/>
    <w:unhideWhenUsed/>
    <w:rsid w:val="0021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734</Words>
  <Characters>4189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Lippold</dc:creator>
  <cp:keywords/>
  <dc:description/>
  <cp:lastModifiedBy>Jen Kitajo</cp:lastModifiedBy>
  <cp:revision>2</cp:revision>
  <cp:lastPrinted>2024-02-24T09:01:00Z</cp:lastPrinted>
  <dcterms:created xsi:type="dcterms:W3CDTF">2024-03-08T21:16:00Z</dcterms:created>
  <dcterms:modified xsi:type="dcterms:W3CDTF">2024-03-08T21:16:00Z</dcterms:modified>
</cp:coreProperties>
</file>