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C3" w:rsidRPr="008502C3" w:rsidRDefault="008502C3" w:rsidP="00496FD5">
      <w:pPr>
        <w:jc w:val="center"/>
        <w:rPr>
          <w:rFonts w:asciiTheme="minorHAnsi" w:hAnsiTheme="minorHAnsi" w:cs="Arial"/>
          <w:b/>
          <w:u w:val="single"/>
        </w:rPr>
      </w:pPr>
      <w:r w:rsidRPr="008502C3">
        <w:rPr>
          <w:rFonts w:asciiTheme="minorHAnsi" w:hAnsiTheme="minorHAnsi" w:cs="Arial"/>
          <w:b/>
          <w:u w:val="single"/>
        </w:rPr>
        <w:t>NEW YORK JUNI DECISION ON CAUSATION</w:t>
      </w:r>
    </w:p>
    <w:p w:rsidR="008502C3" w:rsidRDefault="008502C3" w:rsidP="008502C3">
      <w:pPr>
        <w:rPr>
          <w:rFonts w:ascii="Arial" w:hAnsi="Arial" w:cs="Arial"/>
          <w:sz w:val="24"/>
          <w:szCs w:val="24"/>
        </w:rPr>
      </w:pPr>
    </w:p>
    <w:p w:rsidR="00122C2E" w:rsidRPr="008502C3" w:rsidRDefault="008502C3" w:rsidP="008502C3">
      <w:pPr>
        <w:pStyle w:val="NormalWeb"/>
        <w:jc w:val="both"/>
        <w:rPr>
          <w:rFonts w:asciiTheme="minorHAnsi" w:hAnsiTheme="minorHAnsi" w:cs="Arial"/>
          <w:sz w:val="22"/>
          <w:szCs w:val="22"/>
        </w:rPr>
      </w:pPr>
      <w:r w:rsidRPr="008502C3">
        <w:rPr>
          <w:rFonts w:asciiTheme="minorHAnsi" w:hAnsiTheme="minorHAnsi" w:cs="Arial"/>
          <w:sz w:val="22"/>
          <w:szCs w:val="22"/>
        </w:rPr>
        <w:t xml:space="preserve">In the case of </w:t>
      </w:r>
      <w:r w:rsidRPr="008502C3">
        <w:rPr>
          <w:rFonts w:asciiTheme="minorHAnsi" w:hAnsiTheme="minorHAnsi" w:cs="Arial"/>
          <w:sz w:val="22"/>
          <w:szCs w:val="22"/>
          <w:u w:val="single"/>
        </w:rPr>
        <w:t>Juni v. Ford Motor Company</w:t>
      </w:r>
      <w:r w:rsidRPr="008502C3">
        <w:rPr>
          <w:rFonts w:asciiTheme="minorHAnsi" w:hAnsiTheme="minorHAnsi" w:cs="Arial"/>
          <w:sz w:val="22"/>
          <w:szCs w:val="22"/>
        </w:rPr>
        <w:t xml:space="preserve"> , the New York Court of Appeals  in November 2018 issued  a one-para</w:t>
      </w:r>
      <w:r>
        <w:rPr>
          <w:rFonts w:asciiTheme="minorHAnsi" w:hAnsiTheme="minorHAnsi" w:cs="Arial"/>
          <w:sz w:val="22"/>
          <w:szCs w:val="22"/>
        </w:rPr>
        <w:t xml:space="preserve">graph memorandum affirming a </w:t>
      </w:r>
      <w:r w:rsidRPr="008502C3">
        <w:rPr>
          <w:rFonts w:asciiTheme="minorHAnsi" w:hAnsiTheme="minorHAnsi" w:cs="Arial"/>
          <w:sz w:val="22"/>
          <w:szCs w:val="22"/>
        </w:rPr>
        <w:t>trial court decision to set aside a</w:t>
      </w:r>
      <w:r>
        <w:rPr>
          <w:rFonts w:asciiTheme="minorHAnsi" w:hAnsiTheme="minorHAnsi" w:cs="Arial"/>
          <w:sz w:val="22"/>
          <w:szCs w:val="22"/>
        </w:rPr>
        <w:t>n $</w:t>
      </w:r>
      <w:r w:rsidRPr="008502C3">
        <w:rPr>
          <w:rFonts w:asciiTheme="minorHAnsi" w:hAnsiTheme="minorHAnsi" w:cs="Arial"/>
          <w:sz w:val="22"/>
          <w:szCs w:val="22"/>
        </w:rPr>
        <w:t xml:space="preserve">11 million asbestos </w:t>
      </w:r>
      <w:r>
        <w:rPr>
          <w:rFonts w:asciiTheme="minorHAnsi" w:hAnsiTheme="minorHAnsi" w:cs="Arial"/>
          <w:sz w:val="22"/>
          <w:szCs w:val="22"/>
        </w:rPr>
        <w:t xml:space="preserve">jury </w:t>
      </w:r>
      <w:r w:rsidRPr="008502C3">
        <w:rPr>
          <w:rFonts w:asciiTheme="minorHAnsi" w:hAnsiTheme="minorHAnsi" w:cs="Arial"/>
          <w:sz w:val="22"/>
          <w:szCs w:val="22"/>
        </w:rPr>
        <w:t>verdict  and</w:t>
      </w:r>
      <w:r>
        <w:rPr>
          <w:rFonts w:asciiTheme="minorHAnsi" w:hAnsiTheme="minorHAnsi" w:cs="Arial"/>
          <w:sz w:val="22"/>
          <w:szCs w:val="22"/>
        </w:rPr>
        <w:t>,</w:t>
      </w:r>
      <w:r w:rsidRPr="008502C3">
        <w:rPr>
          <w:rFonts w:asciiTheme="minorHAnsi" w:hAnsiTheme="minorHAnsi" w:cs="Arial"/>
          <w:sz w:val="22"/>
          <w:szCs w:val="22"/>
        </w:rPr>
        <w:t xml:space="preserve"> in doing so</w:t>
      </w:r>
      <w:r>
        <w:rPr>
          <w:rFonts w:asciiTheme="minorHAnsi" w:hAnsiTheme="minorHAnsi" w:cs="Arial"/>
          <w:sz w:val="22"/>
          <w:szCs w:val="22"/>
        </w:rPr>
        <w:t>,</w:t>
      </w:r>
      <w:r w:rsidRPr="008502C3">
        <w:rPr>
          <w:rFonts w:asciiTheme="minorHAnsi" w:hAnsiTheme="minorHAnsi" w:cs="Arial"/>
          <w:sz w:val="22"/>
          <w:szCs w:val="22"/>
        </w:rPr>
        <w:t xml:space="preserve"> tacitly reaffirmed the causation principles of </w:t>
      </w:r>
      <w:r w:rsidR="00E2118B">
        <w:rPr>
          <w:rStyle w:val="Emphasis"/>
          <w:rFonts w:asciiTheme="minorHAnsi" w:hAnsiTheme="minorHAnsi" w:cs="Arial"/>
          <w:i w:val="0"/>
          <w:iCs w:val="0"/>
          <w:sz w:val="22"/>
          <w:szCs w:val="22"/>
          <w:u w:val="single"/>
        </w:rPr>
        <w:t>Parker v. Mobil Oil</w:t>
      </w:r>
      <w:r w:rsidR="00E2118B" w:rsidRPr="00E2118B">
        <w:rPr>
          <w:rStyle w:val="Emphasis"/>
          <w:rFonts w:asciiTheme="minorHAnsi" w:hAnsiTheme="minorHAnsi" w:cs="Arial"/>
          <w:i w:val="0"/>
          <w:iCs w:val="0"/>
          <w:sz w:val="22"/>
          <w:szCs w:val="22"/>
        </w:rPr>
        <w:t xml:space="preserve">, </w:t>
      </w:r>
      <w:r w:rsidRPr="008502C3">
        <w:rPr>
          <w:rStyle w:val="Emphasis"/>
          <w:rFonts w:asciiTheme="minorHAnsi" w:hAnsiTheme="minorHAnsi" w:cs="Arial"/>
          <w:i w:val="0"/>
          <w:iCs w:val="0"/>
          <w:sz w:val="22"/>
          <w:szCs w:val="22"/>
        </w:rPr>
        <w:t>7 NY3d 434 (2006)</w:t>
      </w:r>
      <w:r w:rsidRPr="008502C3">
        <w:rPr>
          <w:rFonts w:asciiTheme="minorHAnsi" w:hAnsiTheme="minorHAnsi" w:cs="Arial"/>
          <w:i/>
          <w:iCs/>
          <w:sz w:val="22"/>
          <w:szCs w:val="22"/>
        </w:rPr>
        <w:t>.</w:t>
      </w:r>
      <w:r w:rsidR="00E2118B">
        <w:rPr>
          <w:rFonts w:asciiTheme="minorHAnsi" w:hAnsiTheme="minorHAnsi" w:cs="Arial"/>
          <w:sz w:val="22"/>
          <w:szCs w:val="22"/>
        </w:rPr>
        <w:t xml:space="preserve">  This effectively </w:t>
      </w:r>
      <w:r w:rsidRPr="008502C3">
        <w:rPr>
          <w:rFonts w:asciiTheme="minorHAnsi" w:hAnsiTheme="minorHAnsi" w:cs="Arial"/>
          <w:sz w:val="22"/>
          <w:szCs w:val="22"/>
        </w:rPr>
        <w:t>negates the so-called "single fiber" approach to disease causation that plaintiffs r</w:t>
      </w:r>
      <w:r w:rsidR="00E2118B">
        <w:rPr>
          <w:rFonts w:asciiTheme="minorHAnsi" w:hAnsiTheme="minorHAnsi" w:cs="Arial"/>
          <w:sz w:val="22"/>
          <w:szCs w:val="22"/>
        </w:rPr>
        <w:t>ely upon in asbestos litigation</w:t>
      </w:r>
      <w:r w:rsidRPr="008502C3">
        <w:rPr>
          <w:rFonts w:asciiTheme="minorHAnsi" w:hAnsiTheme="minorHAnsi" w:cs="Arial"/>
          <w:sz w:val="22"/>
          <w:szCs w:val="22"/>
        </w:rPr>
        <w:t> and which approach has been rejected in other jur</w:t>
      </w:r>
      <w:r w:rsidR="00E2118B">
        <w:rPr>
          <w:rFonts w:asciiTheme="minorHAnsi" w:hAnsiTheme="minorHAnsi" w:cs="Arial"/>
          <w:sz w:val="22"/>
          <w:szCs w:val="22"/>
        </w:rPr>
        <w:t xml:space="preserve">isdictions. The New York Court of Appeals </w:t>
      </w:r>
      <w:r w:rsidRPr="008502C3">
        <w:rPr>
          <w:rFonts w:asciiTheme="minorHAnsi" w:hAnsiTheme="minorHAnsi" w:cs="Arial"/>
          <w:sz w:val="22"/>
          <w:szCs w:val="22"/>
        </w:rPr>
        <w:t xml:space="preserve">in </w:t>
      </w:r>
      <w:r w:rsidR="00E2118B">
        <w:rPr>
          <w:rFonts w:asciiTheme="minorHAnsi" w:hAnsiTheme="minorHAnsi" w:cs="Arial"/>
          <w:sz w:val="22"/>
          <w:szCs w:val="22"/>
          <w:u w:val="single"/>
        </w:rPr>
        <w:t>Juni</w:t>
      </w:r>
      <w:r w:rsidRPr="008502C3">
        <w:rPr>
          <w:rFonts w:asciiTheme="minorHAnsi" w:hAnsiTheme="minorHAnsi" w:cs="Arial"/>
          <w:sz w:val="22"/>
          <w:szCs w:val="22"/>
        </w:rPr>
        <w:t xml:space="preserve"> succinctly stated that “viewing the evidence in the light most favorable to plaintiffs, the evidence was insufficient as a matter of law to establish that respondent Ford Motor Company’s conduct was a proximate cause of the decedent’s injuries pursuant to the standards set forth in </w:t>
      </w:r>
      <w:r w:rsidRPr="008502C3">
        <w:rPr>
          <w:rStyle w:val="Emphasis"/>
          <w:rFonts w:asciiTheme="minorHAnsi" w:hAnsiTheme="minorHAnsi" w:cs="Arial"/>
          <w:i w:val="0"/>
          <w:iCs w:val="0"/>
          <w:sz w:val="22"/>
          <w:szCs w:val="22"/>
          <w:u w:val="single"/>
        </w:rPr>
        <w:t>Parker v. Mobil Oil</w:t>
      </w:r>
      <w:r w:rsidRPr="008502C3">
        <w:rPr>
          <w:rStyle w:val="Emphasis"/>
          <w:rFonts w:asciiTheme="minorHAnsi" w:hAnsiTheme="minorHAnsi" w:cs="Arial"/>
          <w:i w:val="0"/>
          <w:iCs w:val="0"/>
          <w:sz w:val="22"/>
          <w:szCs w:val="22"/>
        </w:rPr>
        <w:t>.</w:t>
      </w:r>
      <w:r w:rsidRPr="008502C3">
        <w:rPr>
          <w:rFonts w:asciiTheme="minorHAnsi" w:hAnsiTheme="minorHAnsi" w:cs="Arial"/>
          <w:i/>
          <w:iCs/>
          <w:sz w:val="22"/>
          <w:szCs w:val="22"/>
        </w:rPr>
        <w:t>”</w:t>
      </w:r>
      <w:r w:rsidRPr="008502C3">
        <w:rPr>
          <w:rFonts w:asciiTheme="minorHAnsi" w:hAnsiTheme="minorHAnsi" w:cs="Arial"/>
          <w:sz w:val="22"/>
          <w:szCs w:val="22"/>
        </w:rPr>
        <w:t xml:space="preserve">  Those standards set forth in </w:t>
      </w:r>
      <w:r w:rsidRPr="008502C3">
        <w:rPr>
          <w:rFonts w:asciiTheme="minorHAnsi" w:hAnsiTheme="minorHAnsi" w:cs="Arial"/>
          <w:sz w:val="22"/>
          <w:szCs w:val="22"/>
          <w:u w:val="single"/>
        </w:rPr>
        <w:t>Parker</w:t>
      </w:r>
      <w:r w:rsidRPr="008502C3">
        <w:rPr>
          <w:rFonts w:asciiTheme="minorHAnsi" w:hAnsiTheme="minorHAnsi" w:cs="Arial"/>
          <w:sz w:val="22"/>
          <w:szCs w:val="22"/>
        </w:rPr>
        <w:t xml:space="preserve">  recognize that it is “well-established that an opinion on causation should set forth a plaintiff's exposur</w:t>
      </w:r>
      <w:bookmarkStart w:id="0" w:name="_GoBack"/>
      <w:bookmarkEnd w:id="0"/>
      <w:r w:rsidRPr="008502C3">
        <w:rPr>
          <w:rFonts w:asciiTheme="minorHAnsi" w:hAnsiTheme="minorHAnsi" w:cs="Arial"/>
          <w:sz w:val="22"/>
          <w:szCs w:val="22"/>
        </w:rPr>
        <w:t>e to a toxin, that the toxin is capable of causing the particular illness (general causation)</w:t>
      </w:r>
      <w:r w:rsidR="00E2118B">
        <w:rPr>
          <w:rFonts w:asciiTheme="minorHAnsi" w:hAnsiTheme="minorHAnsi" w:cs="Arial"/>
          <w:sz w:val="22"/>
          <w:szCs w:val="22"/>
        </w:rPr>
        <w:t>,</w:t>
      </w:r>
      <w:r w:rsidRPr="008502C3">
        <w:rPr>
          <w:rFonts w:asciiTheme="minorHAnsi" w:hAnsiTheme="minorHAnsi" w:cs="Arial"/>
          <w:sz w:val="22"/>
          <w:szCs w:val="22"/>
        </w:rPr>
        <w:t xml:space="preserve"> and that plaintiff was exposed to sufficient levels of the toxin to cause th</w:t>
      </w:r>
      <w:r>
        <w:rPr>
          <w:rFonts w:asciiTheme="minorHAnsi" w:hAnsiTheme="minorHAnsi" w:cs="Arial"/>
          <w:sz w:val="22"/>
          <w:szCs w:val="22"/>
        </w:rPr>
        <w:t>e illness (specific causation)”</w:t>
      </w:r>
      <w:r w:rsidRPr="008502C3">
        <w:rPr>
          <w:rFonts w:asciiTheme="minorHAnsi" w:hAnsiTheme="minorHAnsi" w:cs="Arial"/>
          <w:sz w:val="22"/>
          <w:szCs w:val="22"/>
        </w:rPr>
        <w:t>.  </w:t>
      </w:r>
      <w:r w:rsidRPr="008502C3">
        <w:rPr>
          <w:rFonts w:asciiTheme="minorHAnsi" w:hAnsiTheme="minorHAnsi" w:cs="Arial"/>
          <w:sz w:val="22"/>
          <w:szCs w:val="22"/>
          <w:u w:val="single"/>
        </w:rPr>
        <w:t>Parker</w:t>
      </w:r>
      <w:r w:rsidRPr="008502C3">
        <w:rPr>
          <w:rFonts w:asciiTheme="minorHAnsi" w:hAnsiTheme="minorHAnsi" w:cs="Arial"/>
          <w:sz w:val="22"/>
          <w:szCs w:val="22"/>
        </w:rPr>
        <w:t xml:space="preserve"> at 448.  </w:t>
      </w:r>
      <w:r w:rsidR="00E2118B">
        <w:rPr>
          <w:rFonts w:asciiTheme="minorHAnsi" w:hAnsiTheme="minorHAnsi" w:cs="Arial"/>
          <w:sz w:val="22"/>
          <w:szCs w:val="22"/>
        </w:rPr>
        <w:t>A</w:t>
      </w:r>
      <w:r w:rsidRPr="008502C3">
        <w:rPr>
          <w:rFonts w:asciiTheme="minorHAnsi" w:hAnsiTheme="minorHAnsi" w:cs="Arial"/>
          <w:sz w:val="22"/>
          <w:szCs w:val="22"/>
        </w:rPr>
        <w:t>lthough</w:t>
      </w:r>
      <w:r w:rsidR="00E2118B">
        <w:rPr>
          <w:rFonts w:asciiTheme="minorHAnsi" w:hAnsiTheme="minorHAnsi" w:cs="Arial"/>
          <w:sz w:val="22"/>
          <w:szCs w:val="22"/>
        </w:rPr>
        <w:t xml:space="preserve"> </w:t>
      </w:r>
      <w:r w:rsidRPr="008502C3">
        <w:rPr>
          <w:rFonts w:asciiTheme="minorHAnsi" w:hAnsiTheme="minorHAnsi" w:cs="Arial"/>
          <w:sz w:val="22"/>
          <w:szCs w:val="22"/>
        </w:rPr>
        <w:t>“it is not always necessary for a plaintiff to quantify exposure levels precisely or use the dose-response relationship”</w:t>
      </w:r>
      <w:r w:rsidR="00E2118B">
        <w:rPr>
          <w:rFonts w:asciiTheme="minorHAnsi" w:hAnsiTheme="minorHAnsi" w:cs="Arial"/>
          <w:sz w:val="22"/>
          <w:szCs w:val="22"/>
        </w:rPr>
        <w:t xml:space="preserve">, what is necessary is </w:t>
      </w:r>
      <w:r w:rsidRPr="008502C3">
        <w:rPr>
          <w:rFonts w:asciiTheme="minorHAnsi" w:hAnsiTheme="minorHAnsi" w:cs="Arial"/>
          <w:sz w:val="22"/>
          <w:szCs w:val="22"/>
        </w:rPr>
        <w:t>“that whatever methods an expert uses to establish causation are generally accepted in the scientific community.”</w:t>
      </w:r>
      <w:r w:rsidRPr="008502C3">
        <w:rPr>
          <w:rFonts w:asciiTheme="minorHAnsi" w:hAnsiTheme="minorHAnsi"/>
          <w:sz w:val="22"/>
          <w:szCs w:val="22"/>
        </w:rPr>
        <w:t xml:space="preserve"> </w:t>
      </w:r>
      <w:r w:rsidRPr="008502C3">
        <w:rPr>
          <w:rFonts w:asciiTheme="minorHAnsi" w:hAnsiTheme="minorHAnsi"/>
          <w:sz w:val="22"/>
          <w:szCs w:val="22"/>
          <w:u w:val="single"/>
        </w:rPr>
        <w:t>Parker</w:t>
      </w:r>
      <w:r w:rsidRPr="008502C3">
        <w:rPr>
          <w:rFonts w:asciiTheme="minorHAnsi" w:hAnsiTheme="minorHAnsi"/>
          <w:sz w:val="22"/>
          <w:szCs w:val="22"/>
        </w:rPr>
        <w:t xml:space="preserve"> at 448.  </w:t>
      </w:r>
      <w:r w:rsidRPr="00E2118B">
        <w:rPr>
          <w:rFonts w:asciiTheme="minorHAnsi" w:hAnsiTheme="minorHAnsi"/>
          <w:sz w:val="22"/>
          <w:szCs w:val="22"/>
          <w:u w:val="single"/>
        </w:rPr>
        <w:t>Parker</w:t>
      </w:r>
      <w:r w:rsidRPr="008502C3">
        <w:rPr>
          <w:rFonts w:asciiTheme="minorHAnsi" w:hAnsiTheme="minorHAnsi"/>
          <w:sz w:val="22"/>
          <w:szCs w:val="22"/>
        </w:rPr>
        <w:t xml:space="preserve"> also acknowledged that “t</w:t>
      </w:r>
      <w:r w:rsidRPr="008502C3">
        <w:rPr>
          <w:rFonts w:asciiTheme="minorHAnsi" w:hAnsiTheme="minorHAnsi" w:cs="Arial"/>
          <w:sz w:val="22"/>
          <w:szCs w:val="22"/>
        </w:rPr>
        <w:t>here could be several other ways an expert might demonstrate causation</w:t>
      </w:r>
      <w:r w:rsidR="00496FD5">
        <w:rPr>
          <w:rFonts w:asciiTheme="minorHAnsi" w:hAnsiTheme="minorHAnsi" w:cs="Arial"/>
          <w:sz w:val="22"/>
          <w:szCs w:val="22"/>
        </w:rPr>
        <w:t xml:space="preserve"> . . .</w:t>
      </w:r>
      <w:r w:rsidRPr="008502C3">
        <w:rPr>
          <w:rFonts w:asciiTheme="minorHAnsi" w:hAnsiTheme="minorHAnsi" w:cs="Arial"/>
          <w:sz w:val="22"/>
          <w:szCs w:val="22"/>
        </w:rPr>
        <w:t xml:space="preserve"> for instance</w:t>
      </w:r>
      <w:r w:rsidR="00496FD5">
        <w:rPr>
          <w:rFonts w:asciiTheme="minorHAnsi" w:hAnsiTheme="minorHAnsi" w:cs="Arial"/>
          <w:sz w:val="22"/>
          <w:szCs w:val="22"/>
        </w:rPr>
        <w:t xml:space="preserve"> . . . </w:t>
      </w:r>
      <w:r w:rsidRPr="008502C3">
        <w:rPr>
          <w:rFonts w:asciiTheme="minorHAnsi" w:hAnsiTheme="minorHAnsi" w:cs="Arial"/>
          <w:sz w:val="22"/>
          <w:szCs w:val="22"/>
        </w:rPr>
        <w:t xml:space="preserve">exposure can be estimated through the use of mathematical modeling by taking a plaintiff's work history into account to estimate the exposure to a toxin. It is also possible that more qualitative means could be used to express a plaintiff's exposure. Comparison to the exposure levels of subjects of other studies could be helpful provided that the expert made a specific comparison sufficient to show how the plaintiff's exposure level related to those of the other subjects. These, along with others, could be potentially acceptable ways to demonstrate causation if they were found to be generally accepted as reliable in the scientific community.” </w:t>
      </w:r>
      <w:r w:rsidRPr="008502C3">
        <w:rPr>
          <w:rFonts w:asciiTheme="minorHAnsi" w:hAnsiTheme="minorHAnsi" w:cs="Arial"/>
          <w:sz w:val="22"/>
          <w:szCs w:val="22"/>
          <w:u w:val="single"/>
        </w:rPr>
        <w:t>Parker</w:t>
      </w:r>
      <w:r w:rsidRPr="008502C3">
        <w:rPr>
          <w:rFonts w:asciiTheme="minorHAnsi" w:hAnsiTheme="minorHAnsi" w:cs="Arial"/>
          <w:sz w:val="22"/>
          <w:szCs w:val="22"/>
        </w:rPr>
        <w:t xml:space="preserve"> at 449. However</w:t>
      </w:r>
      <w:r w:rsidR="00496FD5">
        <w:rPr>
          <w:rFonts w:asciiTheme="minorHAnsi" w:hAnsiTheme="minorHAnsi" w:cs="Arial"/>
          <w:sz w:val="22"/>
          <w:szCs w:val="22"/>
        </w:rPr>
        <w:t xml:space="preserve">, </w:t>
      </w:r>
      <w:r w:rsidRPr="008502C3">
        <w:rPr>
          <w:rFonts w:asciiTheme="minorHAnsi" w:hAnsiTheme="minorHAnsi" w:cs="Arial"/>
          <w:sz w:val="22"/>
          <w:szCs w:val="22"/>
        </w:rPr>
        <w:t>failure to specify level of exposure, specifics of how exposure was exceeded</w:t>
      </w:r>
      <w:r w:rsidR="00496FD5">
        <w:rPr>
          <w:rFonts w:asciiTheme="minorHAnsi" w:hAnsiTheme="minorHAnsi" w:cs="Arial"/>
          <w:sz w:val="22"/>
          <w:szCs w:val="22"/>
        </w:rPr>
        <w:t>,</w:t>
      </w:r>
      <w:r w:rsidRPr="008502C3">
        <w:rPr>
          <w:rFonts w:asciiTheme="minorHAnsi" w:hAnsiTheme="minorHAnsi" w:cs="Arial"/>
          <w:sz w:val="22"/>
          <w:szCs w:val="22"/>
        </w:rPr>
        <w:t xml:space="preserve"> and lack of epidemiologic evidence to support a  claim is not acceptable in a New York  toxic tort matter. </w:t>
      </w:r>
    </w:p>
    <w:sectPr w:rsidR="00122C2E" w:rsidRPr="0085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C3"/>
    <w:rsid w:val="00122C2E"/>
    <w:rsid w:val="003050DB"/>
    <w:rsid w:val="00496FD5"/>
    <w:rsid w:val="008502C3"/>
    <w:rsid w:val="00B45798"/>
    <w:rsid w:val="00B46641"/>
    <w:rsid w:val="00E2118B"/>
    <w:rsid w:val="00E73C50"/>
    <w:rsid w:val="00E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C3"/>
    <w:rPr>
      <w:rFonts w:ascii="Calibri" w:eastAsiaTheme="minorHAns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rPr>
      <w:rFonts w:cs="Courier New"/>
    </w:rPr>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B46641"/>
    <w:rPr>
      <w:rFonts w:asciiTheme="minorHAnsi" w:hAnsiTheme="minorHAnsi"/>
      <w:sz w:val="22"/>
    </w:rPr>
  </w:style>
  <w:style w:type="paragraph" w:styleId="NormalWeb">
    <w:name w:val="Normal (Web)"/>
    <w:basedOn w:val="Normal"/>
    <w:uiPriority w:val="99"/>
    <w:unhideWhenUsed/>
    <w:rsid w:val="008502C3"/>
    <w:pPr>
      <w:spacing w:after="150"/>
    </w:pPr>
    <w:rPr>
      <w:rFonts w:ascii="Times New Roman" w:hAnsi="Times New Roman"/>
      <w:color w:val="333333"/>
      <w:sz w:val="23"/>
      <w:szCs w:val="23"/>
    </w:rPr>
  </w:style>
  <w:style w:type="character" w:styleId="Emphasis">
    <w:name w:val="Emphasis"/>
    <w:basedOn w:val="DefaultParagraphFont"/>
    <w:uiPriority w:val="20"/>
    <w:qFormat/>
    <w:rsid w:val="008502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C3"/>
    <w:rPr>
      <w:rFonts w:ascii="Calibri" w:eastAsiaTheme="minorHAns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ier12">
    <w:name w:val="Courier 12"/>
    <w:link w:val="Courier12Char"/>
    <w:autoRedefine/>
    <w:qFormat/>
    <w:rsid w:val="00B46641"/>
    <w:rPr>
      <w:rFonts w:cs="Courier New"/>
    </w:rPr>
  </w:style>
  <w:style w:type="character" w:customStyle="1" w:styleId="Courier12Char">
    <w:name w:val="Courier 12 Char"/>
    <w:basedOn w:val="HeaderChar"/>
    <w:link w:val="Courier12"/>
    <w:rsid w:val="00B46641"/>
    <w:rPr>
      <w:rFonts w:asciiTheme="minorHAnsi" w:hAnsiTheme="minorHAnsi" w:cs="Courier New"/>
      <w:sz w:val="22"/>
    </w:rPr>
  </w:style>
  <w:style w:type="paragraph" w:styleId="Header">
    <w:name w:val="header"/>
    <w:basedOn w:val="Normal"/>
    <w:link w:val="HeaderChar"/>
    <w:uiPriority w:val="99"/>
    <w:semiHidden/>
    <w:unhideWhenUsed/>
    <w:rsid w:val="00B46641"/>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B46641"/>
    <w:rPr>
      <w:rFonts w:asciiTheme="minorHAnsi" w:hAnsiTheme="minorHAnsi"/>
      <w:sz w:val="22"/>
    </w:rPr>
  </w:style>
  <w:style w:type="paragraph" w:styleId="NormalWeb">
    <w:name w:val="Normal (Web)"/>
    <w:basedOn w:val="Normal"/>
    <w:uiPriority w:val="99"/>
    <w:unhideWhenUsed/>
    <w:rsid w:val="008502C3"/>
    <w:pPr>
      <w:spacing w:after="150"/>
    </w:pPr>
    <w:rPr>
      <w:rFonts w:ascii="Times New Roman" w:hAnsi="Times New Roman"/>
      <w:color w:val="333333"/>
      <w:sz w:val="23"/>
      <w:szCs w:val="23"/>
    </w:rPr>
  </w:style>
  <w:style w:type="character" w:styleId="Emphasis">
    <w:name w:val="Emphasis"/>
    <w:basedOn w:val="DefaultParagraphFont"/>
    <w:uiPriority w:val="20"/>
    <w:qFormat/>
    <w:rsid w:val="00850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Stires, Sharon J.</dc:creator>
  <cp:lastModifiedBy>Stires, Sharon J.</cp:lastModifiedBy>
  <cp:revision>1</cp:revision>
  <dcterms:created xsi:type="dcterms:W3CDTF">2018-11-29T20:12:00Z</dcterms:created>
  <dcterms:modified xsi:type="dcterms:W3CDTF">2018-11-29T20:20:00Z</dcterms:modified>
</cp:coreProperties>
</file>