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5" w:rsidRPr="00D41125" w:rsidRDefault="00D41125" w:rsidP="00D41125">
      <w:pPr>
        <w:rPr>
          <w:b/>
        </w:rPr>
      </w:pPr>
      <w:r w:rsidRPr="00D41125">
        <w:rPr>
          <w:b/>
        </w:rPr>
        <w:t>NEW JERSEY’S HIGHEST COURT APPLIES NEW JERSEY LAW IN MULTI-COUNTY ACCUTANE LITIGATION</w:t>
      </w:r>
    </w:p>
    <w:p w:rsidR="00D41125" w:rsidRDefault="00D41125" w:rsidP="00D41125"/>
    <w:p w:rsidR="00D41125" w:rsidRDefault="00D41125" w:rsidP="00D41125">
      <w:pPr>
        <w:jc w:val="both"/>
      </w:pPr>
      <w:r>
        <w:t xml:space="preserve">In </w:t>
      </w:r>
      <w:r>
        <w:rPr>
          <w:u w:val="single"/>
        </w:rPr>
        <w:t>Re: Accutane Litigation</w:t>
      </w:r>
      <w:r>
        <w:t xml:space="preserve"> (A-26/27-17)(079933) (Decided October 3, 2018), the New Jersey Supreme Court  applied New Jersey’s choice-of-law rules to determine whether New Jersey’s Products Liability Act (PLA) exclusively applied to this multi-county litigation involving 532 cases against Hoffman-La Roche, Inc. and Roche Laboratories, Inc. (“Roche”), 18 N</w:t>
      </w:r>
      <w:r w:rsidR="005336B2">
        <w:t xml:space="preserve">ew </w:t>
      </w:r>
      <w:r>
        <w:t>J</w:t>
      </w:r>
      <w:r w:rsidR="005336B2">
        <w:t>ersey</w:t>
      </w:r>
      <w:r>
        <w:t xml:space="preserve"> residents and 514 </w:t>
      </w:r>
      <w:r w:rsidR="00A85494">
        <w:t>out-of-state residents</w:t>
      </w:r>
      <w:r>
        <w:t>.</w:t>
      </w:r>
    </w:p>
    <w:p w:rsidR="00D41125" w:rsidRDefault="00D41125" w:rsidP="00D41125"/>
    <w:p w:rsidR="00D41125" w:rsidRDefault="00D41125" w:rsidP="0058595A">
      <w:pPr>
        <w:jc w:val="both"/>
      </w:pPr>
      <w:r>
        <w:t>The Court determined that although New Jersey’s rebuttable presumption of adequacy which specifically attaches to FDA-approved warnings, sets</w:t>
      </w:r>
      <w:r w:rsidR="00CD63E9">
        <w:t xml:space="preserve"> New Jersey law apart from </w:t>
      </w:r>
      <w:r>
        <w:t>other states, the Court acknowledged that defendant-by-defendant choice of law analysis is not feasible in every case, and the Court has discretion to apply the law of a single state to the entire matter based upon the most-significant relationship test, each state’s contacts</w:t>
      </w:r>
      <w:r w:rsidR="00CD63E9">
        <w:t>,</w:t>
      </w:r>
      <w:r>
        <w:t xml:space="preserve"> and choice-law-principles </w:t>
      </w:r>
      <w:r w:rsidR="00CD63E9">
        <w:t xml:space="preserve">for consistent, </w:t>
      </w:r>
      <w:r>
        <w:t>fair</w:t>
      </w:r>
      <w:r w:rsidR="00CD63E9">
        <w:t>,</w:t>
      </w:r>
      <w:r>
        <w:t xml:space="preserve"> and reliable outcomes. </w:t>
      </w:r>
    </w:p>
    <w:p w:rsidR="00D41125" w:rsidRDefault="00D41125" w:rsidP="00D41125"/>
    <w:p w:rsidR="00D41125" w:rsidRDefault="00D41125" w:rsidP="0058595A">
      <w:pPr>
        <w:jc w:val="both"/>
      </w:pPr>
      <w:r>
        <w:t xml:space="preserve">The </w:t>
      </w:r>
      <w:r w:rsidR="00CD63E9">
        <w:t xml:space="preserve">Supreme </w:t>
      </w:r>
      <w:r>
        <w:t xml:space="preserve">Court found that New Jersey has the most significant relationship to the occurrence </w:t>
      </w:r>
      <w:r w:rsidR="00CD63E9">
        <w:t xml:space="preserve">in that </w:t>
      </w:r>
      <w:r>
        <w:t>Accutane was labeled and manufactured in N</w:t>
      </w:r>
      <w:r w:rsidR="00CD63E9">
        <w:t>ew Jersey</w:t>
      </w:r>
      <w:r>
        <w:t>,</w:t>
      </w:r>
      <w:bookmarkStart w:id="0" w:name="_GoBack"/>
      <w:bookmarkEnd w:id="0"/>
      <w:r>
        <w:t xml:space="preserve"> and the 514 plaintiffs alleged injuries as a result of </w:t>
      </w:r>
      <w:r w:rsidR="00CD63E9">
        <w:t xml:space="preserve">the </w:t>
      </w:r>
      <w:r>
        <w:t>putative failure to give adequate warnings. Therefore, the application of the PLA’s rebuttable presumption of adequacy attache</w:t>
      </w:r>
      <w:r w:rsidR="00CD63E9">
        <w:t>d</w:t>
      </w:r>
      <w:r>
        <w:t xml:space="preserve"> to a product label warnings approved by the FDA.</w:t>
      </w:r>
    </w:p>
    <w:p w:rsidR="00D41125" w:rsidRDefault="00D41125" w:rsidP="00D41125"/>
    <w:p w:rsidR="00D41125" w:rsidRDefault="00D41125" w:rsidP="0058595A">
      <w:pPr>
        <w:jc w:val="both"/>
      </w:pPr>
      <w:r>
        <w:t>In applying New Jersey’s PLA, the Court found that plaintiffs did not overcome the PLA’s presumption of adequacy for medication warnings approved by the FDA</w:t>
      </w:r>
      <w:r w:rsidR="0058595A">
        <w:t>;</w:t>
      </w:r>
      <w:r>
        <w:t xml:space="preserve"> and</w:t>
      </w:r>
      <w:r w:rsidR="0058595A">
        <w:t>,</w:t>
      </w:r>
      <w:r>
        <w:t xml:space="preserve"> therefore</w:t>
      </w:r>
      <w:r w:rsidR="0058595A">
        <w:t>,</w:t>
      </w:r>
      <w:r>
        <w:t xml:space="preserve"> as a matter of law, the warnings provided physicians with adequate information. In so doing, the Court dismissed the 532 product liability actions brought against Roche.</w:t>
      </w:r>
    </w:p>
    <w:p w:rsidR="00D41125" w:rsidRDefault="00D41125" w:rsidP="00D41125"/>
    <w:p w:rsidR="00D41125" w:rsidRDefault="00D41125" w:rsidP="00D41125">
      <w:pPr>
        <w:rPr>
          <w:rFonts w:ascii="Arial" w:hAnsi="Arial" w:cs="Arial"/>
          <w:sz w:val="24"/>
          <w:szCs w:val="24"/>
        </w:rPr>
      </w:pPr>
    </w:p>
    <w:p w:rsidR="00122C2E" w:rsidRDefault="00122C2E"/>
    <w:sectPr w:rsidR="0012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25"/>
    <w:rsid w:val="00122C2E"/>
    <w:rsid w:val="003050DB"/>
    <w:rsid w:val="005336B2"/>
    <w:rsid w:val="0058595A"/>
    <w:rsid w:val="00A85494"/>
    <w:rsid w:val="00B45798"/>
    <w:rsid w:val="00B46641"/>
    <w:rsid w:val="00CD63E9"/>
    <w:rsid w:val="00D41125"/>
    <w:rsid w:val="00E27E79"/>
    <w:rsid w:val="00E73C50"/>
    <w:rsid w:val="00E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5"/>
    <w:rPr>
      <w:rFonts w:ascii="Calibri" w:eastAsiaTheme="minorHAns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 12"/>
    <w:link w:val="Courier12Char"/>
    <w:autoRedefine/>
    <w:qFormat/>
    <w:rsid w:val="00B46641"/>
    <w:rPr>
      <w:rFonts w:cs="Courier New"/>
    </w:rPr>
  </w:style>
  <w:style w:type="character" w:customStyle="1" w:styleId="Courier12Char">
    <w:name w:val="Courier 12 Char"/>
    <w:basedOn w:val="HeaderChar"/>
    <w:link w:val="Courier12"/>
    <w:rsid w:val="00B46641"/>
    <w:rPr>
      <w:rFonts w:asciiTheme="minorHAnsi" w:hAnsiTheme="minorHAnsi" w:cs="Courier New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6641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64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5"/>
    <w:rPr>
      <w:rFonts w:ascii="Calibri" w:eastAsiaTheme="minorHAns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 12"/>
    <w:link w:val="Courier12Char"/>
    <w:autoRedefine/>
    <w:qFormat/>
    <w:rsid w:val="00B46641"/>
    <w:rPr>
      <w:rFonts w:cs="Courier New"/>
    </w:rPr>
  </w:style>
  <w:style w:type="character" w:customStyle="1" w:styleId="Courier12Char">
    <w:name w:val="Courier 12 Char"/>
    <w:basedOn w:val="HeaderChar"/>
    <w:link w:val="Courier12"/>
    <w:rsid w:val="00B46641"/>
    <w:rPr>
      <w:rFonts w:asciiTheme="minorHAnsi" w:hAnsiTheme="minorHAnsi" w:cs="Courier New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6641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6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Stires, Sharon J.</dc:creator>
  <cp:lastModifiedBy>Stires, Sharon J.</cp:lastModifiedBy>
  <cp:revision>3</cp:revision>
  <dcterms:created xsi:type="dcterms:W3CDTF">2018-11-05T19:55:00Z</dcterms:created>
  <dcterms:modified xsi:type="dcterms:W3CDTF">2018-11-29T20:25:00Z</dcterms:modified>
</cp:coreProperties>
</file>