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78FF" w14:textId="7C2E3656" w:rsidR="00355621" w:rsidRDefault="00355621" w:rsidP="00355621">
      <w:pPr>
        <w:shd w:val="clear" w:color="auto" w:fill="FAFAFA"/>
        <w:spacing w:after="0" w:line="330" w:lineRule="atLeast"/>
        <w:outlineLvl w:val="1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666666"/>
          <w:sz w:val="23"/>
          <w:szCs w:val="23"/>
        </w:rPr>
        <w:t>Reprinted from ALTA Blog</w:t>
      </w:r>
    </w:p>
    <w:p w14:paraId="5E24CC31" w14:textId="77777777" w:rsidR="00355621" w:rsidRDefault="00355621" w:rsidP="00355621">
      <w:pPr>
        <w:shd w:val="clear" w:color="auto" w:fill="FAFAFA"/>
        <w:spacing w:after="0" w:line="330" w:lineRule="atLeast"/>
        <w:outlineLvl w:val="1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</w:p>
    <w:p w14:paraId="7C43AEAE" w14:textId="3DB4DA3B" w:rsidR="00355621" w:rsidRPr="00355621" w:rsidRDefault="00355621" w:rsidP="00355621">
      <w:pPr>
        <w:shd w:val="clear" w:color="auto" w:fill="FAFAFA"/>
        <w:spacing w:after="0" w:line="330" w:lineRule="atLeast"/>
        <w:outlineLvl w:val="1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355621">
        <w:rPr>
          <w:rFonts w:ascii="Arial" w:eastAsia="Times New Roman" w:hAnsi="Arial" w:cs="Arial"/>
          <w:b/>
          <w:bCs/>
          <w:color w:val="666666"/>
          <w:sz w:val="23"/>
          <w:szCs w:val="23"/>
        </w:rPr>
        <w:t>10/21/2021</w:t>
      </w:r>
    </w:p>
    <w:p w14:paraId="4B91424B" w14:textId="77777777" w:rsidR="00355621" w:rsidRPr="00355621" w:rsidRDefault="008561B3" w:rsidP="00355621">
      <w:pPr>
        <w:shd w:val="clear" w:color="auto" w:fill="FAFAFA"/>
        <w:spacing w:after="75" w:line="420" w:lineRule="atLeast"/>
        <w:ind w:right="375"/>
        <w:outlineLvl w:val="2"/>
        <w:rPr>
          <w:rFonts w:ascii="Arial" w:eastAsia="Times New Roman" w:hAnsi="Arial" w:cs="Arial"/>
          <w:b/>
          <w:bCs/>
          <w:color w:val="003E7E"/>
          <w:sz w:val="33"/>
          <w:szCs w:val="33"/>
        </w:rPr>
      </w:pPr>
      <w:hyperlink r:id="rId4" w:history="1">
        <w:r w:rsidR="00355621" w:rsidRPr="00355621">
          <w:rPr>
            <w:rFonts w:ascii="Arial" w:eastAsia="Times New Roman" w:hAnsi="Arial" w:cs="Arial"/>
            <w:b/>
            <w:bCs/>
            <w:color w:val="004499"/>
            <w:sz w:val="33"/>
            <w:szCs w:val="33"/>
            <w:u w:val="single"/>
          </w:rPr>
          <w:t>Report: Closing Fees as Percentage of Purchase Price Decreases</w:t>
        </w:r>
      </w:hyperlink>
    </w:p>
    <w:p w14:paraId="5A60BFEA" w14:textId="77777777" w:rsidR="00355621" w:rsidRDefault="00355621" w:rsidP="00355621">
      <w:pPr>
        <w:shd w:val="clear" w:color="auto" w:fill="FAFAFA"/>
        <w:spacing w:after="192" w:line="294" w:lineRule="atLeast"/>
        <w:rPr>
          <w:rFonts w:ascii="Open Sans" w:eastAsia="Times New Roman" w:hAnsi="Open Sans" w:cs="Open Sans"/>
          <w:b/>
          <w:bCs/>
          <w:noProof/>
          <w:color w:val="004499"/>
          <w:sz w:val="21"/>
          <w:szCs w:val="21"/>
        </w:rPr>
      </w:pPr>
    </w:p>
    <w:p w14:paraId="1EA92578" w14:textId="47F9EF5E" w:rsidR="00355621" w:rsidRPr="00355621" w:rsidRDefault="00355621" w:rsidP="00355621">
      <w:pPr>
        <w:shd w:val="clear" w:color="auto" w:fill="FAFAFA"/>
        <w:spacing w:after="192" w:line="294" w:lineRule="atLeast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Countering skyrocketing home values, the title and settlement industry continues to find ways to manage homebuying fees as closing costs as a percentage of purchase price declined during the first half of 2021.</w:t>
      </w:r>
    </w:p>
    <w:p w14:paraId="5A0F277C" w14:textId="77777777" w:rsidR="00355621" w:rsidRPr="00355621" w:rsidRDefault="00355621" w:rsidP="00355621">
      <w:pPr>
        <w:shd w:val="clear" w:color="auto" w:fill="FAFAFA"/>
        <w:spacing w:after="192" w:line="294" w:lineRule="atLeast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 xml:space="preserve">According to the latest data from </w:t>
      </w:r>
      <w:proofErr w:type="spellStart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ClosingCorp</w:t>
      </w:r>
      <w:proofErr w:type="spellEnd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, closing costs as a percentage of purchase prices declined to 1.03% this year, down from 1.06% in 2020.</w:t>
      </w:r>
    </w:p>
    <w:p w14:paraId="126AB769" w14:textId="77777777" w:rsidR="00355621" w:rsidRPr="00355621" w:rsidRDefault="00355621" w:rsidP="00355621">
      <w:pPr>
        <w:shd w:val="clear" w:color="auto" w:fill="FAFAFA"/>
        <w:spacing w:after="192" w:line="294" w:lineRule="atLeast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 xml:space="preserve">“Although the average home price increased by nearly $45,000, the closing costs, excluding taxes, on that property only increased by $400,” said Bob Jennings, CEO of </w:t>
      </w:r>
      <w:proofErr w:type="spellStart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ClosingCorp</w:t>
      </w:r>
      <w:proofErr w:type="spellEnd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. “In addition to keeping up with high demand, the mortgage industry is doing a good job in holding down the costs it can control.”</w:t>
      </w:r>
    </w:p>
    <w:p w14:paraId="230AF82F" w14:textId="77777777" w:rsidR="00355621" w:rsidRPr="00355621" w:rsidRDefault="00355621" w:rsidP="00355621">
      <w:pPr>
        <w:shd w:val="clear" w:color="auto" w:fill="FAFAFA"/>
        <w:spacing w:after="192" w:line="294" w:lineRule="atLeast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 xml:space="preserve">During the first half of 2021, </w:t>
      </w:r>
      <w:proofErr w:type="spellStart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ClosingCorp</w:t>
      </w:r>
      <w:proofErr w:type="spellEnd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 xml:space="preserve"> reported the national average closing costs for a single-family property were $6,837 including taxes, and $3,836 excluding taxes. These were 12.3% and 10.5% year-over-year increases, </w:t>
      </w:r>
      <w:proofErr w:type="gramStart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respectively;</w:t>
      </w:r>
      <w:proofErr w:type="gramEnd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 xml:space="preserve"> whereas refinance closings costs increased marginally to $2,398, a 4.87% change from the reported 2020 average of $2,287.</w:t>
      </w:r>
    </w:p>
    <w:p w14:paraId="76DFF006" w14:textId="77777777" w:rsidR="00355621" w:rsidRPr="00355621" w:rsidRDefault="00355621" w:rsidP="00355621">
      <w:pPr>
        <w:shd w:val="clear" w:color="auto" w:fill="FAFAFA"/>
        <w:spacing w:after="192" w:line="294" w:lineRule="atLeast"/>
        <w:rPr>
          <w:rFonts w:ascii="Open Sans" w:eastAsia="Times New Roman" w:hAnsi="Open Sans" w:cs="Open Sans"/>
          <w:color w:val="333333"/>
          <w:sz w:val="21"/>
          <w:szCs w:val="21"/>
        </w:rPr>
      </w:pPr>
      <w:proofErr w:type="spellStart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ClosingCorp</w:t>
      </w:r>
      <w:proofErr w:type="spellEnd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 xml:space="preserve"> cost calculations include lender’s title policy, owner’s title policy, appraisal, settlement, recording fees, land surveys and transfer tax. </w:t>
      </w:r>
      <w:proofErr w:type="spellStart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ClosingCorp</w:t>
      </w:r>
      <w:proofErr w:type="spellEnd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 xml:space="preserve"> uses home price data from CoreLogic to estimate closing costs for an average home at the state, core-based statistical area (CBSA) and county levels. </w:t>
      </w:r>
      <w:proofErr w:type="spellStart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ClosingCorp</w:t>
      </w:r>
      <w:proofErr w:type="spellEnd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 xml:space="preserve"> uses ranges, rather than single values, to more accurately capture fees associated with the real transactions.</w:t>
      </w:r>
    </w:p>
    <w:p w14:paraId="080804ED" w14:textId="77777777" w:rsidR="00355621" w:rsidRPr="00355621" w:rsidRDefault="00355621" w:rsidP="00355621">
      <w:pPr>
        <w:shd w:val="clear" w:color="auto" w:fill="FAFAFA"/>
        <w:spacing w:after="192" w:line="294" w:lineRule="atLeast"/>
        <w:rPr>
          <w:rFonts w:ascii="Open Sans" w:eastAsia="Times New Roman" w:hAnsi="Open Sans" w:cs="Open Sans"/>
          <w:color w:val="333333"/>
          <w:sz w:val="21"/>
          <w:szCs w:val="21"/>
        </w:rPr>
      </w:pPr>
      <w:proofErr w:type="spellStart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ClosingCorp</w:t>
      </w:r>
      <w:proofErr w:type="spellEnd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 xml:space="preserve"> analyzed data on more than 1.9 million single-family purchase transactions that ran through its platform in the first half of this year. The report includes market-specific rates and fees, not just network averages charged by the most active settlement services providers in each geographic area, according to Dori </w:t>
      </w:r>
      <w:proofErr w:type="spellStart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Daganhardt</w:t>
      </w:r>
      <w:proofErr w:type="spellEnd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 xml:space="preserve">, chief data officer of </w:t>
      </w:r>
      <w:proofErr w:type="spellStart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ClosingCorp</w:t>
      </w:r>
      <w:proofErr w:type="spellEnd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.</w:t>
      </w:r>
    </w:p>
    <w:p w14:paraId="36B1BD8F" w14:textId="77777777" w:rsidR="00355621" w:rsidRPr="00355621" w:rsidRDefault="00355621" w:rsidP="00355621">
      <w:pPr>
        <w:shd w:val="clear" w:color="auto" w:fill="FAFAFA"/>
        <w:spacing w:after="192" w:line="294" w:lineRule="atLeast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 xml:space="preserve">The 2021 report shows the states with the highest average closing costs, including taxes, were: District of Columbia ($30,352), Delaware ($17,831), New York ($17,582), Washington ($13,909), and Maryland ($12,056). The states with the lowest closing costs, including taxes, </w:t>
      </w:r>
      <w:proofErr w:type="gramStart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were:</w:t>
      </w:r>
      <w:proofErr w:type="gramEnd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 xml:space="preserve"> Missouri ($2,102), Indiana ($2,193), North Dakota ($2,321), Kentucky ($2,355) and Wyoming ($2,509).</w:t>
      </w:r>
    </w:p>
    <w:p w14:paraId="3E2B6E3B" w14:textId="13E78934" w:rsidR="00004AE8" w:rsidRPr="00355621" w:rsidRDefault="00355621" w:rsidP="00355621">
      <w:pPr>
        <w:shd w:val="clear" w:color="auto" w:fill="FAFAFA"/>
        <w:spacing w:line="294" w:lineRule="atLeast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 xml:space="preserve">The states with the highest average closing costs, excluding taxes, </w:t>
      </w:r>
      <w:proofErr w:type="gramStart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were:</w:t>
      </w:r>
      <w:proofErr w:type="gramEnd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 xml:space="preserve"> District of Columbia ($6,523), New York ($6,300), Hawaii ($5,976), California ($5,772), and Washington ($4,803). The states with the lowest closing costs, excluding taxes, </w:t>
      </w:r>
      <w:proofErr w:type="gramStart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>were:</w:t>
      </w:r>
      <w:proofErr w:type="gramEnd"/>
      <w:r w:rsidRPr="00355621">
        <w:rPr>
          <w:rFonts w:ascii="Open Sans" w:eastAsia="Times New Roman" w:hAnsi="Open Sans" w:cs="Open Sans"/>
          <w:color w:val="333333"/>
          <w:sz w:val="21"/>
          <w:szCs w:val="21"/>
        </w:rPr>
        <w:t xml:space="preserve"> Arkansas ($2,071), Missouri ($2,102), Indiana ($2,193), Nebraska ($2,193) and Kentucky ($2,193).</w:t>
      </w:r>
    </w:p>
    <w:sectPr w:rsidR="00004AE8" w:rsidRPr="00355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21"/>
    <w:rsid w:val="00004AE8"/>
    <w:rsid w:val="00355621"/>
    <w:rsid w:val="0085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7361"/>
  <w15:chartTrackingRefBased/>
  <w15:docId w15:val="{5B8039A6-3779-41ED-9F66-84916AEF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56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556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56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5562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556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5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1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0219">
              <w:marLeft w:val="0"/>
              <w:marRight w:val="3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.alta.org/2021/10/report-closing-fees-as-percentage-of-purchase-price-decreas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4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Petersen</dc:creator>
  <cp:keywords/>
  <dc:description/>
  <cp:lastModifiedBy>Teresa Friend</cp:lastModifiedBy>
  <cp:revision>2</cp:revision>
  <dcterms:created xsi:type="dcterms:W3CDTF">2021-11-10T18:47:00Z</dcterms:created>
  <dcterms:modified xsi:type="dcterms:W3CDTF">2021-11-10T18:47:00Z</dcterms:modified>
</cp:coreProperties>
</file>