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3C78C" w14:textId="77777777" w:rsidR="00036EB8" w:rsidRPr="00036EB8" w:rsidRDefault="00036EB8" w:rsidP="00036EB8">
      <w:pPr>
        <w:shd w:val="clear" w:color="auto" w:fill="FFFFFF"/>
        <w:spacing w:after="0" w:line="240" w:lineRule="auto"/>
        <w:jc w:val="center"/>
        <w:outlineLvl w:val="0"/>
        <w:rPr>
          <w:rFonts w:ascii="Poppins" w:eastAsia="Times New Roman" w:hAnsi="Poppins" w:cs="Poppins"/>
          <w:b/>
          <w:bCs/>
          <w:color w:val="000000"/>
          <w:kern w:val="36"/>
          <w:sz w:val="48"/>
          <w:szCs w:val="48"/>
          <w14:ligatures w14:val="none"/>
        </w:rPr>
      </w:pPr>
      <w:r w:rsidRPr="00036EB8">
        <w:rPr>
          <w:rFonts w:ascii="Poppins" w:eastAsia="Times New Roman" w:hAnsi="Poppins" w:cs="Poppins"/>
          <w:b/>
          <w:bCs/>
          <w:color w:val="000000"/>
          <w:kern w:val="36"/>
          <w:sz w:val="48"/>
          <w:szCs w:val="48"/>
          <w14:ligatures w14:val="none"/>
        </w:rPr>
        <w:t>Title insurance premium volume drops by 38% in Q4 2022</w:t>
      </w:r>
    </w:p>
    <w:p w14:paraId="1DCB0148" w14:textId="77777777" w:rsidR="00036EB8" w:rsidRPr="00036EB8" w:rsidRDefault="00036EB8" w:rsidP="00036EB8">
      <w:pPr>
        <w:shd w:val="clear" w:color="auto" w:fill="FFFFFF"/>
        <w:spacing w:after="100" w:afterAutospacing="1" w:line="240" w:lineRule="auto"/>
        <w:jc w:val="center"/>
        <w:rPr>
          <w:rFonts w:ascii="Poppins" w:eastAsia="Times New Roman" w:hAnsi="Poppins" w:cs="Poppins"/>
          <w:color w:val="000000"/>
          <w:kern w:val="0"/>
          <w:sz w:val="27"/>
          <w:szCs w:val="27"/>
          <w14:ligatures w14:val="none"/>
        </w:rPr>
      </w:pPr>
      <w:r w:rsidRPr="00036EB8">
        <w:rPr>
          <w:rFonts w:ascii="Poppins" w:eastAsia="Times New Roman" w:hAnsi="Poppins" w:cs="Poppins"/>
          <w:color w:val="000000"/>
          <w:kern w:val="0"/>
          <w:sz w:val="27"/>
          <w:szCs w:val="27"/>
          <w14:ligatures w14:val="none"/>
        </w:rPr>
        <w:t xml:space="preserve">The Big Four controlled roughly 74% of the marked in </w:t>
      </w:r>
      <w:proofErr w:type="gramStart"/>
      <w:r w:rsidRPr="00036EB8">
        <w:rPr>
          <w:rFonts w:ascii="Poppins" w:eastAsia="Times New Roman" w:hAnsi="Poppins" w:cs="Poppins"/>
          <w:color w:val="000000"/>
          <w:kern w:val="0"/>
          <w:sz w:val="27"/>
          <w:szCs w:val="27"/>
          <w14:ligatures w14:val="none"/>
        </w:rPr>
        <w:t>2022</w:t>
      </w:r>
      <w:proofErr w:type="gramEnd"/>
    </w:p>
    <w:p w14:paraId="0FFCDC35" w14:textId="77777777" w:rsidR="00036EB8" w:rsidRPr="00036EB8" w:rsidRDefault="00036EB8" w:rsidP="00036EB8">
      <w:pPr>
        <w:shd w:val="clear" w:color="auto" w:fill="FFFFFF"/>
        <w:spacing w:after="0" w:line="240" w:lineRule="auto"/>
        <w:jc w:val="center"/>
        <w:rPr>
          <w:rFonts w:ascii="Poppins" w:eastAsia="Times New Roman" w:hAnsi="Poppins" w:cs="Poppins"/>
          <w:color w:val="AEAEAE"/>
          <w:kern w:val="0"/>
          <w:sz w:val="27"/>
          <w:szCs w:val="27"/>
          <w14:ligatures w14:val="none"/>
        </w:rPr>
      </w:pPr>
      <w:r w:rsidRPr="00036EB8">
        <w:rPr>
          <w:rFonts w:ascii="Poppins" w:eastAsia="Times New Roman" w:hAnsi="Poppins" w:cs="Poppins"/>
          <w:color w:val="AEAEAE"/>
          <w:kern w:val="0"/>
          <w:sz w:val="27"/>
          <w:szCs w:val="27"/>
          <w14:ligatures w14:val="none"/>
        </w:rPr>
        <w:t>May 8, 2023, 1:35 pm </w:t>
      </w:r>
      <w:r w:rsidRPr="00036EB8">
        <w:rPr>
          <w:rFonts w:ascii="Poppins" w:eastAsia="Times New Roman" w:hAnsi="Poppins" w:cs="Poppins"/>
          <w:i/>
          <w:iCs/>
          <w:color w:val="AEAEAE"/>
          <w:kern w:val="0"/>
          <w:sz w:val="27"/>
          <w:szCs w:val="27"/>
          <w14:ligatures w14:val="none"/>
        </w:rPr>
        <w:t>By </w:t>
      </w:r>
      <w:proofErr w:type="spellStart"/>
      <w:r w:rsidRPr="00036EB8">
        <w:rPr>
          <w:rFonts w:ascii="Poppins" w:eastAsia="Times New Roman" w:hAnsi="Poppins" w:cs="Poppins"/>
          <w:i/>
          <w:iCs/>
          <w:color w:val="AEAEAE"/>
          <w:kern w:val="0"/>
          <w:sz w:val="27"/>
          <w:szCs w:val="27"/>
          <w14:ligatures w14:val="none"/>
        </w:rPr>
        <w:fldChar w:fldCharType="begin"/>
      </w:r>
      <w:r w:rsidRPr="00036EB8">
        <w:rPr>
          <w:rFonts w:ascii="Poppins" w:eastAsia="Times New Roman" w:hAnsi="Poppins" w:cs="Poppins"/>
          <w:i/>
          <w:iCs/>
          <w:color w:val="AEAEAE"/>
          <w:kern w:val="0"/>
          <w:sz w:val="27"/>
          <w:szCs w:val="27"/>
          <w14:ligatures w14:val="none"/>
        </w:rPr>
        <w:instrText xml:space="preserve"> HYPERLINK "https://www.housingwire.com/author/brooklee-han/" \o "Posts by Brooklee Han" </w:instrText>
      </w:r>
      <w:r w:rsidRPr="00036EB8">
        <w:rPr>
          <w:rFonts w:ascii="Poppins" w:eastAsia="Times New Roman" w:hAnsi="Poppins" w:cs="Poppins"/>
          <w:i/>
          <w:iCs/>
          <w:color w:val="AEAEAE"/>
          <w:kern w:val="0"/>
          <w:sz w:val="27"/>
          <w:szCs w:val="27"/>
          <w14:ligatures w14:val="none"/>
        </w:rPr>
      </w:r>
      <w:r w:rsidRPr="00036EB8">
        <w:rPr>
          <w:rFonts w:ascii="Poppins" w:eastAsia="Times New Roman" w:hAnsi="Poppins" w:cs="Poppins"/>
          <w:i/>
          <w:iCs/>
          <w:color w:val="AEAEAE"/>
          <w:kern w:val="0"/>
          <w:sz w:val="27"/>
          <w:szCs w:val="27"/>
          <w14:ligatures w14:val="none"/>
        </w:rPr>
        <w:fldChar w:fldCharType="separate"/>
      </w:r>
      <w:r w:rsidRPr="00036EB8">
        <w:rPr>
          <w:rFonts w:ascii="Poppins" w:eastAsia="Times New Roman" w:hAnsi="Poppins" w:cs="Poppins"/>
          <w:i/>
          <w:iCs/>
          <w:color w:val="AEAEAE"/>
          <w:kern w:val="0"/>
          <w:sz w:val="27"/>
          <w:szCs w:val="27"/>
          <w:u w:val="single"/>
          <w14:ligatures w14:val="none"/>
        </w:rPr>
        <w:t>Brooklee</w:t>
      </w:r>
      <w:proofErr w:type="spellEnd"/>
      <w:r w:rsidRPr="00036EB8">
        <w:rPr>
          <w:rFonts w:ascii="Poppins" w:eastAsia="Times New Roman" w:hAnsi="Poppins" w:cs="Poppins"/>
          <w:i/>
          <w:iCs/>
          <w:color w:val="AEAEAE"/>
          <w:kern w:val="0"/>
          <w:sz w:val="27"/>
          <w:szCs w:val="27"/>
          <w:u w:val="single"/>
          <w14:ligatures w14:val="none"/>
        </w:rPr>
        <w:t xml:space="preserve"> Han</w:t>
      </w:r>
      <w:r w:rsidRPr="00036EB8">
        <w:rPr>
          <w:rFonts w:ascii="Poppins" w:eastAsia="Times New Roman" w:hAnsi="Poppins" w:cs="Poppins"/>
          <w:i/>
          <w:iCs/>
          <w:color w:val="AEAEAE"/>
          <w:kern w:val="0"/>
          <w:sz w:val="27"/>
          <w:szCs w:val="27"/>
          <w14:ligatures w14:val="none"/>
        </w:rPr>
        <w:fldChar w:fldCharType="end"/>
      </w:r>
    </w:p>
    <w:p w14:paraId="7A9E65B6" w14:textId="77777777" w:rsidR="00036EB8" w:rsidRPr="00036EB8" w:rsidRDefault="00036EB8" w:rsidP="00036EB8">
      <w:pPr>
        <w:shd w:val="clear" w:color="auto" w:fill="FFFFFF"/>
        <w:spacing w:before="100" w:beforeAutospacing="1" w:after="100" w:afterAutospacing="1" w:line="240" w:lineRule="auto"/>
        <w:rPr>
          <w:rFonts w:ascii="Poppins" w:eastAsia="Times New Roman" w:hAnsi="Poppins" w:cs="Poppins"/>
          <w:color w:val="000000"/>
          <w:kern w:val="0"/>
          <w:sz w:val="27"/>
          <w:szCs w:val="27"/>
          <w14:ligatures w14:val="none"/>
        </w:rPr>
      </w:pPr>
      <w:r w:rsidRPr="00036EB8">
        <w:rPr>
          <w:rFonts w:ascii="Poppins" w:eastAsia="Times New Roman" w:hAnsi="Poppins" w:cs="Poppins"/>
          <w:color w:val="000000"/>
          <w:kern w:val="0"/>
          <w:sz w:val="27"/>
          <w:szCs w:val="27"/>
          <w14:ligatures w14:val="none"/>
        </w:rPr>
        <w:t>The rapid </w:t>
      </w:r>
      <w:hyperlink r:id="rId8" w:tgtFrame="_blank" w:history="1">
        <w:r w:rsidRPr="00036EB8">
          <w:rPr>
            <w:rFonts w:ascii="Poppins" w:eastAsia="Times New Roman" w:hAnsi="Poppins" w:cs="Poppins"/>
            <w:color w:val="000000"/>
            <w:kern w:val="0"/>
            <w:sz w:val="27"/>
            <w:szCs w:val="27"/>
            <w:u w:val="single"/>
            <w14:ligatures w14:val="none"/>
          </w:rPr>
          <w:t>housing market</w:t>
        </w:r>
      </w:hyperlink>
      <w:r w:rsidRPr="00036EB8">
        <w:rPr>
          <w:rFonts w:ascii="Poppins" w:eastAsia="Times New Roman" w:hAnsi="Poppins" w:cs="Poppins"/>
          <w:color w:val="000000"/>
          <w:kern w:val="0"/>
          <w:sz w:val="27"/>
          <w:szCs w:val="27"/>
          <w14:ligatures w14:val="none"/>
        </w:rPr>
        <w:t> cool down and the rapid pace at which the </w:t>
      </w:r>
      <w:hyperlink r:id="rId9" w:tgtFrame="_blank" w:history="1">
        <w:r w:rsidRPr="00036EB8">
          <w:rPr>
            <w:rFonts w:ascii="Poppins" w:eastAsia="Times New Roman" w:hAnsi="Poppins" w:cs="Poppins"/>
            <w:b/>
            <w:bCs/>
            <w:color w:val="000000"/>
            <w:kern w:val="0"/>
            <w:sz w:val="27"/>
            <w:szCs w:val="27"/>
            <w:u w:val="single"/>
            <w14:ligatures w14:val="none"/>
          </w:rPr>
          <w:t>Federal Reserve</w:t>
        </w:r>
      </w:hyperlink>
      <w:r w:rsidRPr="00036EB8">
        <w:rPr>
          <w:rFonts w:ascii="Poppins" w:eastAsia="Times New Roman" w:hAnsi="Poppins" w:cs="Poppins"/>
          <w:color w:val="000000"/>
          <w:kern w:val="0"/>
          <w:sz w:val="27"/>
          <w:szCs w:val="27"/>
          <w14:ligatures w14:val="none"/>
        </w:rPr>
        <w:t> hiked </w:t>
      </w:r>
      <w:hyperlink r:id="rId10" w:tgtFrame="_blank" w:history="1">
        <w:r w:rsidRPr="00036EB8">
          <w:rPr>
            <w:rFonts w:ascii="Poppins" w:eastAsia="Times New Roman" w:hAnsi="Poppins" w:cs="Poppins"/>
            <w:color w:val="000000"/>
            <w:kern w:val="0"/>
            <w:sz w:val="27"/>
            <w:szCs w:val="27"/>
            <w:u w:val="single"/>
            <w14:ligatures w14:val="none"/>
          </w:rPr>
          <w:t>interest rates</w:t>
        </w:r>
      </w:hyperlink>
      <w:r w:rsidRPr="00036EB8">
        <w:rPr>
          <w:rFonts w:ascii="Poppins" w:eastAsia="Times New Roman" w:hAnsi="Poppins" w:cs="Poppins"/>
          <w:color w:val="000000"/>
          <w:kern w:val="0"/>
          <w:sz w:val="27"/>
          <w:szCs w:val="27"/>
          <w14:ligatures w14:val="none"/>
        </w:rPr>
        <w:t> took their toll on the title insurance industry in 2022. Last year, the industry generated $21 billion in title insurance premiums, down 16% from 2020, according to the </w:t>
      </w:r>
      <w:r w:rsidRPr="00036EB8">
        <w:rPr>
          <w:rFonts w:ascii="Poppins" w:eastAsia="Times New Roman" w:hAnsi="Poppins" w:cs="Poppins"/>
          <w:b/>
          <w:bCs/>
          <w:color w:val="000000"/>
          <w:kern w:val="0"/>
          <w:sz w:val="27"/>
          <w:szCs w:val="27"/>
          <w14:ligatures w14:val="none"/>
        </w:rPr>
        <w:t>American Land Title Association’s</w:t>
      </w:r>
      <w:r w:rsidRPr="00036EB8">
        <w:rPr>
          <w:rFonts w:ascii="Poppins" w:eastAsia="Times New Roman" w:hAnsi="Poppins" w:cs="Poppins"/>
          <w:color w:val="000000"/>
          <w:kern w:val="0"/>
          <w:sz w:val="27"/>
          <w:szCs w:val="27"/>
          <w14:ligatures w14:val="none"/>
        </w:rPr>
        <w:t> </w:t>
      </w:r>
      <w:hyperlink r:id="rId11" w:tgtFrame="_blank" w:history="1">
        <w:r w:rsidRPr="00036EB8">
          <w:rPr>
            <w:rFonts w:ascii="Poppins" w:eastAsia="Times New Roman" w:hAnsi="Poppins" w:cs="Poppins"/>
            <w:color w:val="000000"/>
            <w:kern w:val="0"/>
            <w:sz w:val="27"/>
            <w:szCs w:val="27"/>
            <w:u w:val="single"/>
            <w14:ligatures w14:val="none"/>
          </w:rPr>
          <w:t>Market Share Analysis</w:t>
        </w:r>
      </w:hyperlink>
      <w:r w:rsidRPr="00036EB8">
        <w:rPr>
          <w:rFonts w:ascii="Poppins" w:eastAsia="Times New Roman" w:hAnsi="Poppins" w:cs="Poppins"/>
          <w:color w:val="000000"/>
          <w:kern w:val="0"/>
          <w:sz w:val="27"/>
          <w:szCs w:val="27"/>
          <w14:ligatures w14:val="none"/>
        </w:rPr>
        <w:t> released Monday.</w:t>
      </w:r>
    </w:p>
    <w:p w14:paraId="29B0F8D2" w14:textId="77777777" w:rsidR="00036EB8" w:rsidRPr="00036EB8" w:rsidRDefault="00036EB8" w:rsidP="00036EB8">
      <w:pPr>
        <w:shd w:val="clear" w:color="auto" w:fill="FFFFFF"/>
        <w:spacing w:before="100" w:beforeAutospacing="1" w:after="100" w:afterAutospacing="1" w:line="240" w:lineRule="auto"/>
        <w:rPr>
          <w:rFonts w:ascii="Poppins" w:eastAsia="Times New Roman" w:hAnsi="Poppins" w:cs="Poppins"/>
          <w:color w:val="000000"/>
          <w:kern w:val="0"/>
          <w:sz w:val="27"/>
          <w:szCs w:val="27"/>
          <w14:ligatures w14:val="none"/>
        </w:rPr>
      </w:pPr>
      <w:r w:rsidRPr="00036EB8">
        <w:rPr>
          <w:rFonts w:ascii="Poppins" w:eastAsia="Times New Roman" w:hAnsi="Poppins" w:cs="Poppins"/>
          <w:color w:val="000000"/>
          <w:kern w:val="0"/>
          <w:sz w:val="27"/>
          <w:szCs w:val="27"/>
          <w14:ligatures w14:val="none"/>
        </w:rPr>
        <w:t>During the fourth quarter of the year, the title insurance industry generated $4.4 billion in title insurance premiums, down 38% year over year. </w:t>
      </w:r>
    </w:p>
    <w:p w14:paraId="054653F4" w14:textId="77777777" w:rsidR="00036EB8" w:rsidRPr="00036EB8" w:rsidRDefault="00036EB8" w:rsidP="00036EB8">
      <w:pPr>
        <w:shd w:val="clear" w:color="auto" w:fill="FFFFFF"/>
        <w:spacing w:before="100" w:beforeAutospacing="1" w:after="100" w:afterAutospacing="1" w:line="240" w:lineRule="auto"/>
        <w:rPr>
          <w:rFonts w:ascii="Poppins" w:eastAsia="Times New Roman" w:hAnsi="Poppins" w:cs="Poppins"/>
          <w:color w:val="000000"/>
          <w:kern w:val="0"/>
          <w:sz w:val="27"/>
          <w:szCs w:val="27"/>
          <w14:ligatures w14:val="none"/>
        </w:rPr>
      </w:pPr>
      <w:r w:rsidRPr="00036EB8">
        <w:rPr>
          <w:rFonts w:ascii="Poppins" w:eastAsia="Times New Roman" w:hAnsi="Poppins" w:cs="Poppins"/>
          <w:color w:val="000000"/>
          <w:kern w:val="0"/>
          <w:sz w:val="27"/>
          <w:szCs w:val="27"/>
          <w14:ligatures w14:val="none"/>
        </w:rPr>
        <w:t>Compared to </w:t>
      </w:r>
      <w:hyperlink r:id="rId12" w:tgtFrame="_blank" w:history="1">
        <w:r w:rsidRPr="00036EB8">
          <w:rPr>
            <w:rFonts w:ascii="Poppins" w:eastAsia="Times New Roman" w:hAnsi="Poppins" w:cs="Poppins"/>
            <w:color w:val="000000"/>
            <w:kern w:val="0"/>
            <w:sz w:val="27"/>
            <w:szCs w:val="27"/>
            <w:u w:val="single"/>
            <w14:ligatures w14:val="none"/>
          </w:rPr>
          <w:t>a year ago</w:t>
        </w:r>
      </w:hyperlink>
      <w:r w:rsidRPr="00036EB8">
        <w:rPr>
          <w:rFonts w:ascii="Poppins" w:eastAsia="Times New Roman" w:hAnsi="Poppins" w:cs="Poppins"/>
          <w:color w:val="000000"/>
          <w:kern w:val="0"/>
          <w:sz w:val="27"/>
          <w:szCs w:val="27"/>
          <w14:ligatures w14:val="none"/>
        </w:rPr>
        <w:t>, the total operating income for the industry was down 37.1%, and operating expenses dropped 34.88% in the same time period. The industry paid $569.1 million in claims in 2022, up from the $474.4 million paid a year prior.</w:t>
      </w:r>
    </w:p>
    <w:p w14:paraId="760F6BF0" w14:textId="77777777" w:rsidR="00036EB8" w:rsidRPr="00036EB8" w:rsidRDefault="00036EB8" w:rsidP="00036EB8">
      <w:pPr>
        <w:shd w:val="clear" w:color="auto" w:fill="FFFFFF"/>
        <w:spacing w:before="100" w:beforeAutospacing="1" w:after="100" w:afterAutospacing="1" w:line="240" w:lineRule="auto"/>
        <w:rPr>
          <w:rFonts w:ascii="Poppins" w:eastAsia="Times New Roman" w:hAnsi="Poppins" w:cs="Poppins"/>
          <w:color w:val="000000"/>
          <w:kern w:val="0"/>
          <w:sz w:val="27"/>
          <w:szCs w:val="27"/>
          <w14:ligatures w14:val="none"/>
        </w:rPr>
      </w:pPr>
      <w:r w:rsidRPr="00036EB8">
        <w:rPr>
          <w:rFonts w:ascii="Poppins" w:eastAsia="Times New Roman" w:hAnsi="Poppins" w:cs="Poppins"/>
          <w:color w:val="000000"/>
          <w:kern w:val="0"/>
          <w:sz w:val="27"/>
          <w:szCs w:val="27"/>
          <w14:ligatures w14:val="none"/>
        </w:rPr>
        <w:t>“Title professionals across the country continue to navigate their businesses through this challenging and volatile real estate cycle, dedicated to serving their customers, protecting property rights and supporting their communities despite the uncertainty of the marketplace,” Diane Tomb, the CEO of ALTA, said in a statement.</w:t>
      </w:r>
    </w:p>
    <w:p w14:paraId="48ACCE26" w14:textId="77777777" w:rsidR="00036EB8" w:rsidRPr="00036EB8" w:rsidRDefault="00036EB8" w:rsidP="00036EB8">
      <w:pPr>
        <w:shd w:val="clear" w:color="auto" w:fill="FFFFFF"/>
        <w:spacing w:before="100" w:beforeAutospacing="1" w:after="100" w:afterAutospacing="1" w:line="240" w:lineRule="auto"/>
        <w:rPr>
          <w:rFonts w:ascii="Poppins" w:eastAsia="Times New Roman" w:hAnsi="Poppins" w:cs="Poppins"/>
          <w:color w:val="000000"/>
          <w:kern w:val="0"/>
          <w:sz w:val="27"/>
          <w:szCs w:val="27"/>
          <w14:ligatures w14:val="none"/>
        </w:rPr>
      </w:pPr>
      <w:r w:rsidRPr="00036EB8">
        <w:rPr>
          <w:rFonts w:ascii="Poppins" w:eastAsia="Times New Roman" w:hAnsi="Poppins" w:cs="Poppins"/>
          <w:color w:val="000000"/>
          <w:kern w:val="0"/>
          <w:sz w:val="27"/>
          <w:szCs w:val="27"/>
          <w14:ligatures w14:val="none"/>
        </w:rPr>
        <w:t>The five states with the largest title premium volumes in 2022 were Texas ($3.39 billion), Florida ($2.69 billion), California ($1.89 billion), New York ($1.36 billion), and Pennsylvania ($898 million). The same five states held the top spots in 2022.</w:t>
      </w:r>
    </w:p>
    <w:p w14:paraId="286D5A4D" w14:textId="77777777" w:rsidR="00036EB8" w:rsidRPr="00036EB8" w:rsidRDefault="00036EB8" w:rsidP="00036EB8">
      <w:pPr>
        <w:shd w:val="clear" w:color="auto" w:fill="FFFFFF"/>
        <w:spacing w:before="100" w:beforeAutospacing="1" w:after="100" w:afterAutospacing="1" w:line="240" w:lineRule="auto"/>
        <w:rPr>
          <w:rFonts w:ascii="Poppins" w:eastAsia="Times New Roman" w:hAnsi="Poppins" w:cs="Poppins"/>
          <w:color w:val="000000"/>
          <w:kern w:val="0"/>
          <w:sz w:val="27"/>
          <w:szCs w:val="27"/>
          <w14:ligatures w14:val="none"/>
        </w:rPr>
      </w:pPr>
      <w:r w:rsidRPr="00036EB8">
        <w:rPr>
          <w:rFonts w:ascii="Poppins" w:eastAsia="Times New Roman" w:hAnsi="Poppins" w:cs="Poppins"/>
          <w:color w:val="000000"/>
          <w:kern w:val="0"/>
          <w:sz w:val="27"/>
          <w:szCs w:val="27"/>
          <w14:ligatures w14:val="none"/>
        </w:rPr>
        <w:t>All five states recorded year-over-year decreases in title premiums in 2022, with California recording the largest yearly drop at 33.1%, and Texas recording the smallest annual drop at 3.9%.</w:t>
      </w:r>
    </w:p>
    <w:p w14:paraId="062E154B" w14:textId="77777777" w:rsidR="00036EB8" w:rsidRPr="00036EB8" w:rsidRDefault="00036EB8" w:rsidP="00036EB8">
      <w:pPr>
        <w:shd w:val="clear" w:color="auto" w:fill="FFFFFF"/>
        <w:spacing w:before="100" w:beforeAutospacing="1" w:after="100" w:afterAutospacing="1" w:line="240" w:lineRule="auto"/>
        <w:rPr>
          <w:rFonts w:ascii="Poppins" w:eastAsia="Times New Roman" w:hAnsi="Poppins" w:cs="Poppins"/>
          <w:color w:val="000000"/>
          <w:kern w:val="0"/>
          <w:sz w:val="27"/>
          <w:szCs w:val="27"/>
          <w14:ligatures w14:val="none"/>
        </w:rPr>
      </w:pPr>
      <w:r w:rsidRPr="00036EB8">
        <w:rPr>
          <w:rFonts w:ascii="Poppins" w:eastAsia="Times New Roman" w:hAnsi="Poppins" w:cs="Poppins"/>
          <w:color w:val="000000"/>
          <w:kern w:val="0"/>
          <w:sz w:val="27"/>
          <w:szCs w:val="27"/>
          <w14:ligatures w14:val="none"/>
        </w:rPr>
        <w:lastRenderedPageBreak/>
        <w:t>Top underwriters for the quarter by market share included </w:t>
      </w:r>
      <w:hyperlink r:id="rId13" w:tgtFrame="_blank" w:history="1">
        <w:r w:rsidRPr="00036EB8">
          <w:rPr>
            <w:rFonts w:ascii="Poppins" w:eastAsia="Times New Roman" w:hAnsi="Poppins" w:cs="Poppins"/>
            <w:b/>
            <w:bCs/>
            <w:color w:val="000000"/>
            <w:kern w:val="0"/>
            <w:sz w:val="27"/>
            <w:szCs w:val="27"/>
            <w:u w:val="single"/>
            <w14:ligatures w14:val="none"/>
          </w:rPr>
          <w:t>First American Title insurance Co.</w:t>
        </w:r>
      </w:hyperlink>
      <w:r w:rsidRPr="00036EB8">
        <w:rPr>
          <w:rFonts w:ascii="Poppins" w:eastAsia="Times New Roman" w:hAnsi="Poppins" w:cs="Poppins"/>
          <w:color w:val="000000"/>
          <w:kern w:val="0"/>
          <w:sz w:val="27"/>
          <w:szCs w:val="27"/>
          <w14:ligatures w14:val="none"/>
        </w:rPr>
        <w:t> with 22.1%; </w:t>
      </w:r>
      <w:hyperlink r:id="rId14" w:tgtFrame="_blank" w:history="1">
        <w:r w:rsidRPr="00036EB8">
          <w:rPr>
            <w:rFonts w:ascii="Poppins" w:eastAsia="Times New Roman" w:hAnsi="Poppins" w:cs="Poppins"/>
            <w:b/>
            <w:bCs/>
            <w:color w:val="000000"/>
            <w:kern w:val="0"/>
            <w:sz w:val="27"/>
            <w:szCs w:val="27"/>
            <w:u w:val="single"/>
            <w14:ligatures w14:val="none"/>
          </w:rPr>
          <w:t>Old Republic National Title Insurance Co.</w:t>
        </w:r>
      </w:hyperlink>
      <w:r w:rsidRPr="00036EB8">
        <w:rPr>
          <w:rFonts w:ascii="Poppins" w:eastAsia="Times New Roman" w:hAnsi="Poppins" w:cs="Poppins"/>
          <w:color w:val="000000"/>
          <w:kern w:val="0"/>
          <w:sz w:val="27"/>
          <w:szCs w:val="27"/>
          <w14:ligatures w14:val="none"/>
        </w:rPr>
        <w:t> with 15.8%;</w:t>
      </w:r>
      <w:hyperlink r:id="rId15" w:tgtFrame="_blank" w:history="1">
        <w:r w:rsidRPr="00036EB8">
          <w:rPr>
            <w:rFonts w:ascii="Poppins" w:eastAsia="Times New Roman" w:hAnsi="Poppins" w:cs="Poppins"/>
            <w:color w:val="000000"/>
            <w:kern w:val="0"/>
            <w:sz w:val="27"/>
            <w:szCs w:val="27"/>
            <w:u w:val="single"/>
            <w14:ligatures w14:val="none"/>
          </w:rPr>
          <w:t> </w:t>
        </w:r>
        <w:r w:rsidRPr="00036EB8">
          <w:rPr>
            <w:rFonts w:ascii="Poppins" w:eastAsia="Times New Roman" w:hAnsi="Poppins" w:cs="Poppins"/>
            <w:b/>
            <w:bCs/>
            <w:color w:val="000000"/>
            <w:kern w:val="0"/>
            <w:sz w:val="27"/>
            <w:szCs w:val="27"/>
            <w:u w:val="single"/>
            <w14:ligatures w14:val="none"/>
          </w:rPr>
          <w:t>Fidelity National Title Insurance</w:t>
        </w:r>
      </w:hyperlink>
      <w:r w:rsidRPr="00036EB8">
        <w:rPr>
          <w:rFonts w:ascii="Poppins" w:eastAsia="Times New Roman" w:hAnsi="Poppins" w:cs="Poppins"/>
          <w:color w:val="000000"/>
          <w:kern w:val="0"/>
          <w:sz w:val="27"/>
          <w:szCs w:val="27"/>
          <w14:ligatures w14:val="none"/>
        </w:rPr>
        <w:t> with 13.7%; </w:t>
      </w:r>
      <w:r w:rsidRPr="00036EB8">
        <w:rPr>
          <w:rFonts w:ascii="Poppins" w:eastAsia="Times New Roman" w:hAnsi="Poppins" w:cs="Poppins"/>
          <w:b/>
          <w:bCs/>
          <w:color w:val="000000"/>
          <w:kern w:val="0"/>
          <w:sz w:val="27"/>
          <w:szCs w:val="27"/>
          <w14:ligatures w14:val="none"/>
        </w:rPr>
        <w:t>Chicago Title Insurance Co.</w:t>
      </w:r>
      <w:r w:rsidRPr="00036EB8">
        <w:rPr>
          <w:rFonts w:ascii="Poppins" w:eastAsia="Times New Roman" w:hAnsi="Poppins" w:cs="Poppins"/>
          <w:color w:val="000000"/>
          <w:kern w:val="0"/>
          <w:sz w:val="27"/>
          <w:szCs w:val="27"/>
          <w14:ligatures w14:val="none"/>
        </w:rPr>
        <w:t> with 13.3%;  and </w:t>
      </w:r>
      <w:r w:rsidRPr="00036EB8">
        <w:rPr>
          <w:rFonts w:ascii="Poppins" w:eastAsia="Times New Roman" w:hAnsi="Poppins" w:cs="Poppins"/>
          <w:b/>
          <w:bCs/>
          <w:color w:val="000000"/>
          <w:kern w:val="0"/>
          <w:sz w:val="27"/>
          <w:szCs w:val="27"/>
          <w14:ligatures w14:val="none"/>
        </w:rPr>
        <w:t>Stewart Title Guaranty Co.</w:t>
      </w:r>
      <w:r w:rsidRPr="00036EB8">
        <w:rPr>
          <w:rFonts w:ascii="Poppins" w:eastAsia="Times New Roman" w:hAnsi="Poppins" w:cs="Poppins"/>
          <w:color w:val="000000"/>
          <w:kern w:val="0"/>
          <w:sz w:val="27"/>
          <w:szCs w:val="27"/>
          <w14:ligatures w14:val="none"/>
        </w:rPr>
        <w:t> with 8.9%.</w:t>
      </w:r>
    </w:p>
    <w:p w14:paraId="30F37F24" w14:textId="77777777" w:rsidR="00036EB8" w:rsidRPr="00036EB8" w:rsidRDefault="00036EB8" w:rsidP="00036EB8">
      <w:pPr>
        <w:shd w:val="clear" w:color="auto" w:fill="FFFFFF"/>
        <w:spacing w:before="100" w:beforeAutospacing="1" w:after="100" w:afterAutospacing="1" w:line="240" w:lineRule="auto"/>
        <w:rPr>
          <w:rFonts w:ascii="Poppins" w:eastAsia="Times New Roman" w:hAnsi="Poppins" w:cs="Poppins"/>
          <w:color w:val="000000"/>
          <w:kern w:val="0"/>
          <w:sz w:val="27"/>
          <w:szCs w:val="27"/>
          <w14:ligatures w14:val="none"/>
        </w:rPr>
      </w:pPr>
      <w:r w:rsidRPr="00036EB8">
        <w:rPr>
          <w:rFonts w:ascii="Poppins" w:eastAsia="Times New Roman" w:hAnsi="Poppins" w:cs="Poppins"/>
          <w:color w:val="000000"/>
          <w:kern w:val="0"/>
          <w:sz w:val="27"/>
          <w:szCs w:val="27"/>
          <w14:ligatures w14:val="none"/>
        </w:rPr>
        <w:t>However, it should be noted that Chicago Title is part of Fidelity. With 27% of the market, it was again the largest company by share of premiums written in 2022.</w:t>
      </w:r>
    </w:p>
    <w:p w14:paraId="086157F5" w14:textId="77777777" w:rsidR="00036EB8" w:rsidRPr="00036EB8" w:rsidRDefault="00036EB8" w:rsidP="00036EB8">
      <w:pPr>
        <w:shd w:val="clear" w:color="auto" w:fill="FFFFFF"/>
        <w:spacing w:before="100" w:beforeAutospacing="1" w:after="100" w:afterAutospacing="1" w:line="240" w:lineRule="auto"/>
        <w:rPr>
          <w:rFonts w:ascii="Poppins" w:eastAsia="Times New Roman" w:hAnsi="Poppins" w:cs="Poppins"/>
          <w:color w:val="000000"/>
          <w:kern w:val="0"/>
          <w:sz w:val="27"/>
          <w:szCs w:val="27"/>
          <w14:ligatures w14:val="none"/>
        </w:rPr>
      </w:pPr>
      <w:r w:rsidRPr="00036EB8">
        <w:rPr>
          <w:rFonts w:ascii="Poppins" w:eastAsia="Times New Roman" w:hAnsi="Poppins" w:cs="Poppins"/>
          <w:color w:val="000000"/>
          <w:kern w:val="0"/>
          <w:sz w:val="27"/>
          <w:szCs w:val="27"/>
          <w14:ligatures w14:val="none"/>
        </w:rPr>
        <w:t>During the third quarter of the year, First American’s market share was 22.6%, while Old Republic’s was 16.3% and Stewart’s was 8.7%. Stewart has been looking to reclaim some of the title premium it lost in recent years. As recently as </w:t>
      </w:r>
      <w:hyperlink r:id="rId16" w:tgtFrame="_blank" w:history="1">
        <w:r w:rsidRPr="00036EB8">
          <w:rPr>
            <w:rFonts w:ascii="Poppins" w:eastAsia="Times New Roman" w:hAnsi="Poppins" w:cs="Poppins"/>
            <w:color w:val="000000"/>
            <w:kern w:val="0"/>
            <w:sz w:val="27"/>
            <w:szCs w:val="27"/>
            <w:u w:val="single"/>
            <w14:ligatures w14:val="none"/>
          </w:rPr>
          <w:t>2019</w:t>
        </w:r>
      </w:hyperlink>
      <w:r w:rsidRPr="00036EB8">
        <w:rPr>
          <w:rFonts w:ascii="Poppins" w:eastAsia="Times New Roman" w:hAnsi="Poppins" w:cs="Poppins"/>
          <w:color w:val="000000"/>
          <w:kern w:val="0"/>
          <w:sz w:val="27"/>
          <w:szCs w:val="27"/>
          <w14:ligatures w14:val="none"/>
        </w:rPr>
        <w:t>, the firm’s market share was 10.62%.</w:t>
      </w:r>
    </w:p>
    <w:p w14:paraId="1977F73F" w14:textId="77777777" w:rsidR="00036EB8" w:rsidRPr="00036EB8" w:rsidRDefault="00036EB8" w:rsidP="00036EB8">
      <w:pPr>
        <w:shd w:val="clear" w:color="auto" w:fill="FFFFFF"/>
        <w:spacing w:before="100" w:beforeAutospacing="1" w:after="100" w:afterAutospacing="1" w:line="240" w:lineRule="auto"/>
        <w:rPr>
          <w:rFonts w:ascii="Poppins" w:eastAsia="Times New Roman" w:hAnsi="Poppins" w:cs="Poppins"/>
          <w:color w:val="000000"/>
          <w:kern w:val="0"/>
          <w:sz w:val="27"/>
          <w:szCs w:val="27"/>
          <w14:ligatures w14:val="none"/>
        </w:rPr>
      </w:pPr>
      <w:r w:rsidRPr="00036EB8">
        <w:rPr>
          <w:rFonts w:ascii="Poppins" w:eastAsia="Times New Roman" w:hAnsi="Poppins" w:cs="Poppins"/>
          <w:color w:val="000000"/>
          <w:kern w:val="0"/>
          <w:sz w:val="27"/>
          <w:szCs w:val="27"/>
          <w14:ligatures w14:val="none"/>
        </w:rPr>
        <w:t>Rounding out the top 10 for 2022 were </w:t>
      </w:r>
      <w:r w:rsidRPr="00036EB8">
        <w:rPr>
          <w:rFonts w:ascii="Poppins" w:eastAsia="Times New Roman" w:hAnsi="Poppins" w:cs="Poppins"/>
          <w:b/>
          <w:bCs/>
          <w:color w:val="000000"/>
          <w:kern w:val="0"/>
          <w:sz w:val="27"/>
          <w:szCs w:val="27"/>
          <w14:ligatures w14:val="none"/>
        </w:rPr>
        <w:t>Westcor Land Title Insurance Co.</w:t>
      </w:r>
      <w:r w:rsidRPr="00036EB8">
        <w:rPr>
          <w:rFonts w:ascii="Poppins" w:eastAsia="Times New Roman" w:hAnsi="Poppins" w:cs="Poppins"/>
          <w:color w:val="000000"/>
          <w:kern w:val="0"/>
          <w:sz w:val="27"/>
          <w:szCs w:val="27"/>
          <w14:ligatures w14:val="none"/>
        </w:rPr>
        <w:t> with 4.4% of the market, putting it in sixth place. </w:t>
      </w:r>
      <w:r w:rsidRPr="00036EB8">
        <w:rPr>
          <w:rFonts w:ascii="Poppins" w:eastAsia="Times New Roman" w:hAnsi="Poppins" w:cs="Poppins"/>
          <w:b/>
          <w:bCs/>
          <w:color w:val="000000"/>
          <w:kern w:val="0"/>
          <w:sz w:val="27"/>
          <w:szCs w:val="27"/>
          <w14:ligatures w14:val="none"/>
        </w:rPr>
        <w:t>Commonwealth Land Title Insurance Co. </w:t>
      </w:r>
      <w:r w:rsidRPr="00036EB8">
        <w:rPr>
          <w:rFonts w:ascii="Poppins" w:eastAsia="Times New Roman" w:hAnsi="Poppins" w:cs="Poppins"/>
          <w:color w:val="000000"/>
          <w:kern w:val="0"/>
          <w:sz w:val="27"/>
          <w:szCs w:val="27"/>
          <w14:ligatures w14:val="none"/>
        </w:rPr>
        <w:t>had 3.4%, </w:t>
      </w:r>
      <w:r w:rsidRPr="00036EB8">
        <w:rPr>
          <w:rFonts w:ascii="Poppins" w:eastAsia="Times New Roman" w:hAnsi="Poppins" w:cs="Poppins"/>
          <w:b/>
          <w:bCs/>
          <w:color w:val="000000"/>
          <w:kern w:val="0"/>
          <w:sz w:val="27"/>
          <w:szCs w:val="27"/>
          <w14:ligatures w14:val="none"/>
        </w:rPr>
        <w:t>Title Resources Guaranty Co. </w:t>
      </w:r>
      <w:r w:rsidRPr="00036EB8">
        <w:rPr>
          <w:rFonts w:ascii="Poppins" w:eastAsia="Times New Roman" w:hAnsi="Poppins" w:cs="Poppins"/>
          <w:color w:val="000000"/>
          <w:kern w:val="0"/>
          <w:sz w:val="27"/>
          <w:szCs w:val="27"/>
          <w14:ligatures w14:val="none"/>
        </w:rPr>
        <w:t>had 2.5%, </w:t>
      </w:r>
      <w:r w:rsidRPr="00036EB8">
        <w:rPr>
          <w:rFonts w:ascii="Poppins" w:eastAsia="Times New Roman" w:hAnsi="Poppins" w:cs="Poppins"/>
          <w:b/>
          <w:bCs/>
          <w:color w:val="000000"/>
          <w:kern w:val="0"/>
          <w:sz w:val="27"/>
          <w:szCs w:val="27"/>
          <w14:ligatures w14:val="none"/>
        </w:rPr>
        <w:t>WFG National Title Insurance Co.</w:t>
      </w:r>
      <w:r w:rsidRPr="00036EB8">
        <w:rPr>
          <w:rFonts w:ascii="Poppins" w:eastAsia="Times New Roman" w:hAnsi="Poppins" w:cs="Poppins"/>
          <w:color w:val="000000"/>
          <w:kern w:val="0"/>
          <w:sz w:val="27"/>
          <w:szCs w:val="27"/>
          <w14:ligatures w14:val="none"/>
        </w:rPr>
        <w:t> had 2.5% of the market share, and </w:t>
      </w:r>
      <w:proofErr w:type="spellStart"/>
      <w:r w:rsidRPr="00036EB8">
        <w:rPr>
          <w:rFonts w:ascii="Poppins" w:eastAsia="Times New Roman" w:hAnsi="Poppins" w:cs="Poppins"/>
          <w:b/>
          <w:bCs/>
          <w:color w:val="000000"/>
          <w:kern w:val="0"/>
          <w:sz w:val="27"/>
          <w:szCs w:val="27"/>
          <w14:ligatures w14:val="none"/>
        </w:rPr>
        <w:t>Doma</w:t>
      </w:r>
      <w:proofErr w:type="spellEnd"/>
      <w:r w:rsidRPr="00036EB8">
        <w:rPr>
          <w:rFonts w:ascii="Poppins" w:eastAsia="Times New Roman" w:hAnsi="Poppins" w:cs="Poppins"/>
          <w:b/>
          <w:bCs/>
          <w:color w:val="000000"/>
          <w:kern w:val="0"/>
          <w:sz w:val="27"/>
          <w:szCs w:val="27"/>
          <w14:ligatures w14:val="none"/>
        </w:rPr>
        <w:t xml:space="preserve"> Title</w:t>
      </w:r>
      <w:r w:rsidRPr="00036EB8">
        <w:rPr>
          <w:rFonts w:ascii="Poppins" w:eastAsia="Times New Roman" w:hAnsi="Poppins" w:cs="Poppins"/>
          <w:color w:val="000000"/>
          <w:kern w:val="0"/>
          <w:sz w:val="27"/>
          <w:szCs w:val="27"/>
          <w14:ligatures w14:val="none"/>
        </w:rPr>
        <w:t xml:space="preserve"> had 1.8%. This marks </w:t>
      </w:r>
      <w:proofErr w:type="spellStart"/>
      <w:r w:rsidRPr="00036EB8">
        <w:rPr>
          <w:rFonts w:ascii="Poppins" w:eastAsia="Times New Roman" w:hAnsi="Poppins" w:cs="Poppins"/>
          <w:color w:val="000000"/>
          <w:kern w:val="0"/>
          <w:sz w:val="27"/>
          <w:szCs w:val="27"/>
          <w14:ligatures w14:val="none"/>
        </w:rPr>
        <w:t>Doma’s</w:t>
      </w:r>
      <w:proofErr w:type="spellEnd"/>
      <w:r w:rsidRPr="00036EB8">
        <w:rPr>
          <w:rFonts w:ascii="Poppins" w:eastAsia="Times New Roman" w:hAnsi="Poppins" w:cs="Poppins"/>
          <w:color w:val="000000"/>
          <w:kern w:val="0"/>
          <w:sz w:val="27"/>
          <w:szCs w:val="27"/>
          <w14:ligatures w14:val="none"/>
        </w:rPr>
        <w:t xml:space="preserve"> return to the top-10 after being bumped out by </w:t>
      </w:r>
      <w:r w:rsidRPr="00036EB8">
        <w:rPr>
          <w:rFonts w:ascii="Poppins" w:eastAsia="Times New Roman" w:hAnsi="Poppins" w:cs="Poppins"/>
          <w:b/>
          <w:bCs/>
          <w:color w:val="000000"/>
          <w:kern w:val="0"/>
          <w:sz w:val="27"/>
          <w:szCs w:val="27"/>
          <w14:ligatures w14:val="none"/>
        </w:rPr>
        <w:t>First National Title Insurance Co.</w:t>
      </w:r>
      <w:r w:rsidRPr="00036EB8">
        <w:rPr>
          <w:rFonts w:ascii="Poppins" w:eastAsia="Times New Roman" w:hAnsi="Poppins" w:cs="Poppins"/>
          <w:color w:val="000000"/>
          <w:kern w:val="0"/>
          <w:sz w:val="27"/>
          <w:szCs w:val="27"/>
          <w14:ligatures w14:val="none"/>
        </w:rPr>
        <w:t> in</w:t>
      </w:r>
      <w:hyperlink r:id="rId17" w:tgtFrame="_blank" w:history="1">
        <w:r w:rsidRPr="00036EB8">
          <w:rPr>
            <w:rFonts w:ascii="Poppins" w:eastAsia="Times New Roman" w:hAnsi="Poppins" w:cs="Poppins"/>
            <w:color w:val="000000"/>
            <w:kern w:val="0"/>
            <w:sz w:val="27"/>
            <w:szCs w:val="27"/>
            <w:u w:val="single"/>
            <w14:ligatures w14:val="none"/>
          </w:rPr>
          <w:t> Q3 2022</w:t>
        </w:r>
      </w:hyperlink>
      <w:r w:rsidRPr="00036EB8">
        <w:rPr>
          <w:rFonts w:ascii="Poppins" w:eastAsia="Times New Roman" w:hAnsi="Poppins" w:cs="Poppins"/>
          <w:color w:val="000000"/>
          <w:kern w:val="0"/>
          <w:sz w:val="27"/>
          <w:szCs w:val="27"/>
          <w14:ligatures w14:val="none"/>
        </w:rPr>
        <w:t>. </w:t>
      </w:r>
    </w:p>
    <w:p w14:paraId="2A54E9EE" w14:textId="77777777" w:rsidR="00036EB8" w:rsidRPr="00036EB8" w:rsidRDefault="00036EB8" w:rsidP="00036EB8">
      <w:pPr>
        <w:shd w:val="clear" w:color="auto" w:fill="FFFFFF"/>
        <w:spacing w:before="100" w:beforeAutospacing="1" w:after="100" w:afterAutospacing="1" w:line="240" w:lineRule="auto"/>
        <w:rPr>
          <w:rFonts w:ascii="Poppins" w:eastAsia="Times New Roman" w:hAnsi="Poppins" w:cs="Poppins"/>
          <w:color w:val="000000"/>
          <w:kern w:val="0"/>
          <w:sz w:val="27"/>
          <w:szCs w:val="27"/>
          <w14:ligatures w14:val="none"/>
        </w:rPr>
      </w:pPr>
      <w:r w:rsidRPr="00036EB8">
        <w:rPr>
          <w:rFonts w:ascii="Poppins" w:eastAsia="Times New Roman" w:hAnsi="Poppins" w:cs="Poppins"/>
          <w:color w:val="000000"/>
          <w:kern w:val="0"/>
          <w:sz w:val="27"/>
          <w:szCs w:val="27"/>
          <w14:ligatures w14:val="none"/>
        </w:rPr>
        <w:t xml:space="preserve">Although the “Big Four” still command </w:t>
      </w:r>
      <w:proofErr w:type="gramStart"/>
      <w:r w:rsidRPr="00036EB8">
        <w:rPr>
          <w:rFonts w:ascii="Poppins" w:eastAsia="Times New Roman" w:hAnsi="Poppins" w:cs="Poppins"/>
          <w:color w:val="000000"/>
          <w:kern w:val="0"/>
          <w:sz w:val="27"/>
          <w:szCs w:val="27"/>
          <w14:ligatures w14:val="none"/>
        </w:rPr>
        <w:t>the overwhelming majority of</w:t>
      </w:r>
      <w:proofErr w:type="gramEnd"/>
      <w:r w:rsidRPr="00036EB8">
        <w:rPr>
          <w:rFonts w:ascii="Poppins" w:eastAsia="Times New Roman" w:hAnsi="Poppins" w:cs="Poppins"/>
          <w:color w:val="000000"/>
          <w:kern w:val="0"/>
          <w:sz w:val="27"/>
          <w:szCs w:val="27"/>
          <w14:ligatures w14:val="none"/>
        </w:rPr>
        <w:t xml:space="preserve"> the market, with a combined market share of 73.8%, their collective grip is not what it once was. In 2019, independent title underwriters such as Westcor, WFG, and others had a combined market share just shy of 15%, which increased to 26.2% in 2022.</w:t>
      </w:r>
    </w:p>
    <w:p w14:paraId="3B70A2CC" w14:textId="77777777" w:rsidR="008F1964" w:rsidRDefault="008F1964"/>
    <w:sectPr w:rsidR="008F19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Nirmala UI"/>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E7B65"/>
    <w:multiLevelType w:val="multilevel"/>
    <w:tmpl w:val="452A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9481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B8"/>
    <w:rsid w:val="00036EB8"/>
    <w:rsid w:val="008F1964"/>
    <w:rsid w:val="00925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DED8B"/>
  <w15:chartTrackingRefBased/>
  <w15:docId w15:val="{9A226E81-A8A4-4165-B2E8-9B28BAAE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5006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774">
          <w:marLeft w:val="0"/>
          <w:marRight w:val="0"/>
          <w:marTop w:val="0"/>
          <w:marBottom w:val="0"/>
          <w:divBdr>
            <w:top w:val="none" w:sz="0" w:space="0" w:color="auto"/>
            <w:left w:val="none" w:sz="0" w:space="0" w:color="auto"/>
            <w:bottom w:val="none" w:sz="0" w:space="0" w:color="auto"/>
            <w:right w:val="none" w:sz="0" w:space="0" w:color="auto"/>
          </w:divBdr>
          <w:divsChild>
            <w:div w:id="1350332042">
              <w:marLeft w:val="0"/>
              <w:marRight w:val="0"/>
              <w:marTop w:val="0"/>
              <w:marBottom w:val="0"/>
              <w:divBdr>
                <w:top w:val="none" w:sz="0" w:space="0" w:color="auto"/>
                <w:left w:val="none" w:sz="0" w:space="0" w:color="auto"/>
                <w:bottom w:val="none" w:sz="0" w:space="0" w:color="auto"/>
                <w:right w:val="none" w:sz="0" w:space="0" w:color="auto"/>
              </w:divBdr>
            </w:div>
          </w:divsChild>
        </w:div>
        <w:div w:id="429861795">
          <w:marLeft w:val="0"/>
          <w:marRight w:val="0"/>
          <w:marTop w:val="0"/>
          <w:marBottom w:val="0"/>
          <w:divBdr>
            <w:top w:val="none" w:sz="0" w:space="0" w:color="auto"/>
            <w:left w:val="none" w:sz="0" w:space="0" w:color="auto"/>
            <w:bottom w:val="none" w:sz="0" w:space="0" w:color="auto"/>
            <w:right w:val="none" w:sz="0" w:space="0" w:color="auto"/>
          </w:divBdr>
          <w:divsChild>
            <w:div w:id="32389045">
              <w:marLeft w:val="0"/>
              <w:marRight w:val="0"/>
              <w:marTop w:val="0"/>
              <w:marBottom w:val="0"/>
              <w:divBdr>
                <w:top w:val="none" w:sz="0" w:space="0" w:color="auto"/>
                <w:left w:val="none" w:sz="0" w:space="0" w:color="auto"/>
                <w:bottom w:val="none" w:sz="0" w:space="0" w:color="auto"/>
                <w:right w:val="none" w:sz="0" w:space="0" w:color="auto"/>
              </w:divBdr>
              <w:divsChild>
                <w:div w:id="500317812">
                  <w:marLeft w:val="0"/>
                  <w:marRight w:val="0"/>
                  <w:marTop w:val="0"/>
                  <w:marBottom w:val="0"/>
                  <w:divBdr>
                    <w:top w:val="none" w:sz="0" w:space="0" w:color="auto"/>
                    <w:left w:val="none" w:sz="0" w:space="0" w:color="auto"/>
                    <w:bottom w:val="none" w:sz="0" w:space="0" w:color="auto"/>
                    <w:right w:val="none" w:sz="0" w:space="0" w:color="auto"/>
                  </w:divBdr>
                  <w:divsChild>
                    <w:div w:id="1391416567">
                      <w:marLeft w:val="0"/>
                      <w:marRight w:val="0"/>
                      <w:marTop w:val="0"/>
                      <w:marBottom w:val="0"/>
                      <w:divBdr>
                        <w:top w:val="none" w:sz="0" w:space="0" w:color="auto"/>
                        <w:left w:val="none" w:sz="0" w:space="0" w:color="auto"/>
                        <w:bottom w:val="none" w:sz="0" w:space="0" w:color="auto"/>
                        <w:right w:val="none" w:sz="0" w:space="0" w:color="auto"/>
                      </w:divBdr>
                      <w:divsChild>
                        <w:div w:id="73061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0004">
              <w:marLeft w:val="0"/>
              <w:marRight w:val="0"/>
              <w:marTop w:val="0"/>
              <w:marBottom w:val="0"/>
              <w:divBdr>
                <w:top w:val="none" w:sz="0" w:space="0" w:color="auto"/>
                <w:left w:val="none" w:sz="0" w:space="0" w:color="auto"/>
                <w:bottom w:val="none" w:sz="0" w:space="0" w:color="auto"/>
                <w:right w:val="none" w:sz="0" w:space="0" w:color="auto"/>
              </w:divBdr>
              <w:divsChild>
                <w:div w:id="76160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usingwire.com/housing-market/" TargetMode="External"/><Relationship Id="rId13" Type="http://schemas.openxmlformats.org/officeDocument/2006/relationships/hyperlink" Target="https://www.housingwire.com/articles/big-four-stewart-first-american-executives-bemoan-housing-market-condi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ousingwire.com/articles/title-insurance-industry-premiums-spike-7b-year-over-year/" TargetMode="External"/><Relationship Id="rId17" Type="http://schemas.openxmlformats.org/officeDocument/2006/relationships/hyperlink" Target="https://www.housingwire.com/articles/title-insurance-volume-dropped-by-over-20-in-q3-2022/" TargetMode="External"/><Relationship Id="rId2" Type="http://schemas.openxmlformats.org/officeDocument/2006/relationships/customXml" Target="../customXml/item2.xml"/><Relationship Id="rId16" Type="http://schemas.openxmlformats.org/officeDocument/2006/relationships/hyperlink" Target="https://www.alta.org/publications/press-release.cfm?American-Land-Title-Association-Reports-Title-Insurance-Premium-Volume-Up-65-Percent-in-201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newswire.com/news-releases/alta-reports-full-year-q4-2022-title-insurance-premium-volume-301817499.html" TargetMode="External"/><Relationship Id="rId5" Type="http://schemas.openxmlformats.org/officeDocument/2006/relationships/styles" Target="styles.xml"/><Relationship Id="rId15" Type="http://schemas.openxmlformats.org/officeDocument/2006/relationships/hyperlink" Target="https://www.housingwire.com/articles/fidelity-reports-strong-q1-thanks-to-layoffs/" TargetMode="External"/><Relationship Id="rId10" Type="http://schemas.openxmlformats.org/officeDocument/2006/relationships/hyperlink" Target="https://www.housingwire.com/mortgage-rat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housingwire.com/tag/federal-reserve/" TargetMode="External"/><Relationship Id="rId14" Type="http://schemas.openxmlformats.org/officeDocument/2006/relationships/hyperlink" Target="https://www.housingwire.com/articles/old-republic-tackles-the-q1-headwi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A17DFACB4F934DB115B02B1387DD7A" ma:contentTypeVersion="6" ma:contentTypeDescription="Create a new document." ma:contentTypeScope="" ma:versionID="247643242c5998befdec34887a514ad0">
  <xsd:schema xmlns:xsd="http://www.w3.org/2001/XMLSchema" xmlns:xs="http://www.w3.org/2001/XMLSchema" xmlns:p="http://schemas.microsoft.com/office/2006/metadata/properties" xmlns:ns3="846c5da6-9856-4f94-b8fc-dea0aeb797dd" targetNamespace="http://schemas.microsoft.com/office/2006/metadata/properties" ma:root="true" ma:fieldsID="fe5aa548067b76e7a3e4055be11d8be2" ns3:_="">
    <xsd:import namespace="846c5da6-9856-4f94-b8fc-dea0aeb797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c5da6-9856-4f94-b8fc-dea0aeb79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0192E3-B5E0-48FE-85C8-E9DC2AEAA9ED}">
  <ds:schemaRefs>
    <ds:schemaRef ds:uri="http://purl.org/dc/dcmitype/"/>
    <ds:schemaRef ds:uri="http://schemas.microsoft.com/office/infopath/2007/PartnerControls"/>
    <ds:schemaRef ds:uri="http://purl.org/dc/terms/"/>
    <ds:schemaRef ds:uri="http://schemas.microsoft.com/office/2006/documentManagement/types"/>
    <ds:schemaRef ds:uri="http://purl.org/dc/elements/1.1/"/>
    <ds:schemaRef ds:uri="846c5da6-9856-4f94-b8fc-dea0aeb797dd"/>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19A90E9-BF00-4BA2-8CC2-96DEF7FED1FA}">
  <ds:schemaRefs>
    <ds:schemaRef ds:uri="http://schemas.microsoft.com/sharepoint/v3/contenttype/forms"/>
  </ds:schemaRefs>
</ds:datastoreItem>
</file>

<file path=customXml/itemProps3.xml><?xml version="1.0" encoding="utf-8"?>
<ds:datastoreItem xmlns:ds="http://schemas.openxmlformats.org/officeDocument/2006/customXml" ds:itemID="{8B5D3B7D-C14D-4BB9-A6F2-A351E287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c5da6-9856-4f94-b8fc-dea0aeb79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3692</Characters>
  <Application>Microsoft Office Word</Application>
  <DocSecurity>4</DocSecurity>
  <Lines>30</Lines>
  <Paragraphs>8</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Petersen</dc:creator>
  <cp:keywords/>
  <dc:description/>
  <cp:lastModifiedBy>Teresa Friend</cp:lastModifiedBy>
  <cp:revision>2</cp:revision>
  <dcterms:created xsi:type="dcterms:W3CDTF">2023-05-11T22:29:00Z</dcterms:created>
  <dcterms:modified xsi:type="dcterms:W3CDTF">2023-05-11T22:29:00Z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0x0101009EA17DFACB4F934DB115B02B1387DD7A</vt:lpwstr>
  </property>
</Properties>
</file>