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A9" w:rsidRPr="00AE6F64" w:rsidRDefault="001E2AA9" w:rsidP="001E2AA9">
      <w:pPr>
        <w:widowControl/>
        <w:ind w:left="5130"/>
        <w:rPr>
          <w:sz w:val="24"/>
          <w:szCs w:val="24"/>
        </w:rPr>
      </w:pPr>
      <w:bookmarkStart w:id="0" w:name="_GoBack"/>
      <w:bookmarkEnd w:id="0"/>
      <w:r w:rsidRPr="00AE6F64">
        <w:rPr>
          <w:sz w:val="24"/>
          <w:szCs w:val="24"/>
        </w:rPr>
        <w:t>Introduced by:</w:t>
      </w:r>
      <w:r>
        <w:rPr>
          <w:sz w:val="24"/>
          <w:szCs w:val="24"/>
        </w:rPr>
        <w:t xml:space="preserve"> </w:t>
      </w:r>
      <w:r>
        <w:rPr>
          <w:sz w:val="24"/>
          <w:szCs w:val="24"/>
          <w:u w:val="single"/>
        </w:rPr>
        <w:t xml:space="preserve">                        </w:t>
      </w:r>
      <w:r w:rsidRPr="00AE6F64">
        <w:rPr>
          <w:sz w:val="24"/>
          <w:szCs w:val="24"/>
          <w:u w:val="single"/>
        </w:rPr>
        <w:tab/>
      </w:r>
      <w:r w:rsidRPr="00AE6F64">
        <w:rPr>
          <w:sz w:val="24"/>
          <w:szCs w:val="24"/>
          <w:u w:val="single"/>
        </w:rPr>
        <w:tab/>
      </w:r>
    </w:p>
    <w:p w:rsidR="001E2AA9" w:rsidRPr="00300CAB" w:rsidRDefault="00300CAB" w:rsidP="00300CAB">
      <w:pPr>
        <w:widowControl/>
        <w:ind w:left="5130"/>
        <w:rPr>
          <w:sz w:val="24"/>
          <w:szCs w:val="24"/>
          <w:u w:val="single"/>
        </w:rPr>
      </w:pPr>
      <w:r>
        <w:rPr>
          <w:sz w:val="24"/>
          <w:szCs w:val="24"/>
        </w:rPr>
        <w:t>Adopted</w:t>
      </w:r>
      <w:r w:rsidR="001E2AA9" w:rsidRPr="00AE6F64">
        <w:rPr>
          <w:sz w:val="24"/>
          <w:szCs w:val="24"/>
        </w:rPr>
        <w:t xml:space="preserve">: </w:t>
      </w:r>
      <w:r w:rsidR="001E2AA9" w:rsidRPr="00AE6F64">
        <w:rPr>
          <w:sz w:val="24"/>
          <w:szCs w:val="24"/>
          <w:u w:val="single"/>
        </w:rPr>
        <w:tab/>
      </w:r>
      <w:r w:rsidR="001E2AA9" w:rsidRPr="00AE6F64">
        <w:rPr>
          <w:sz w:val="24"/>
          <w:szCs w:val="24"/>
          <w:u w:val="single"/>
        </w:rPr>
        <w:tab/>
      </w:r>
      <w:r w:rsidR="001E2AA9" w:rsidRPr="00AE6F64">
        <w:rPr>
          <w:sz w:val="24"/>
          <w:szCs w:val="24"/>
          <w:u w:val="single"/>
        </w:rPr>
        <w:tab/>
      </w:r>
      <w:r w:rsidR="001E2AA9" w:rsidRPr="00AE6F64">
        <w:rPr>
          <w:sz w:val="24"/>
          <w:szCs w:val="24"/>
          <w:u w:val="single"/>
        </w:rPr>
        <w:tab/>
      </w:r>
      <w:r w:rsidR="001E2AA9" w:rsidRPr="00AE6F64">
        <w:rPr>
          <w:sz w:val="24"/>
          <w:szCs w:val="24"/>
          <w:u w:val="single"/>
        </w:rPr>
        <w:tab/>
      </w:r>
    </w:p>
    <w:p w:rsidR="001E2AA9" w:rsidRPr="00AE6F64" w:rsidRDefault="001E2AA9" w:rsidP="001E2AA9">
      <w:pPr>
        <w:widowControl/>
        <w:rPr>
          <w:sz w:val="24"/>
          <w:szCs w:val="24"/>
        </w:rPr>
      </w:pPr>
    </w:p>
    <w:p w:rsidR="001E2AA9" w:rsidRDefault="001E2AA9" w:rsidP="001E2AA9">
      <w:pPr>
        <w:widowControl/>
        <w:rPr>
          <w:sz w:val="24"/>
          <w:szCs w:val="24"/>
        </w:rPr>
      </w:pPr>
    </w:p>
    <w:p w:rsidR="001E2AA9" w:rsidRPr="00AE6F64" w:rsidRDefault="00300CAB" w:rsidP="001E2AA9">
      <w:pPr>
        <w:widowControl/>
        <w:jc w:val="center"/>
        <w:rPr>
          <w:b/>
          <w:bCs/>
          <w:sz w:val="24"/>
          <w:szCs w:val="24"/>
        </w:rPr>
      </w:pPr>
      <w:r>
        <w:rPr>
          <w:b/>
          <w:bCs/>
          <w:sz w:val="24"/>
          <w:szCs w:val="24"/>
        </w:rPr>
        <w:t>RESOLUTION</w:t>
      </w:r>
      <w:r w:rsidR="001E2AA9" w:rsidRPr="00AE6F64">
        <w:rPr>
          <w:b/>
          <w:bCs/>
          <w:sz w:val="24"/>
          <w:szCs w:val="24"/>
        </w:rPr>
        <w:t xml:space="preserve"> NO.  20</w:t>
      </w:r>
      <w:r w:rsidR="001E2AA9">
        <w:rPr>
          <w:b/>
          <w:bCs/>
          <w:sz w:val="24"/>
          <w:szCs w:val="24"/>
        </w:rPr>
        <w:t>1</w:t>
      </w:r>
      <w:r w:rsidR="003B0650">
        <w:rPr>
          <w:b/>
          <w:bCs/>
          <w:sz w:val="24"/>
          <w:szCs w:val="24"/>
        </w:rPr>
        <w:t>9</w:t>
      </w:r>
      <w:r w:rsidR="001E2AA9">
        <w:rPr>
          <w:b/>
          <w:bCs/>
          <w:sz w:val="24"/>
          <w:szCs w:val="24"/>
        </w:rPr>
        <w:t>-</w:t>
      </w:r>
      <w:r w:rsidR="002C780D">
        <w:rPr>
          <w:b/>
          <w:bCs/>
          <w:sz w:val="24"/>
          <w:szCs w:val="24"/>
        </w:rPr>
        <w:t>XXXX</w:t>
      </w:r>
    </w:p>
    <w:p w:rsidR="001E2AA9" w:rsidRPr="00AE6F64" w:rsidRDefault="001E2AA9" w:rsidP="001E2AA9">
      <w:pPr>
        <w:widowControl/>
        <w:jc w:val="both"/>
        <w:rPr>
          <w:b/>
          <w:bCs/>
          <w:sz w:val="24"/>
          <w:szCs w:val="24"/>
        </w:rPr>
      </w:pPr>
    </w:p>
    <w:p w:rsidR="001E2AA9" w:rsidRPr="00AE6F64" w:rsidRDefault="00300CAB" w:rsidP="001E2AA9">
      <w:pPr>
        <w:widowControl/>
        <w:ind w:left="720" w:right="720"/>
        <w:jc w:val="both"/>
        <w:rPr>
          <w:b/>
          <w:bCs/>
          <w:sz w:val="24"/>
          <w:szCs w:val="24"/>
        </w:rPr>
      </w:pPr>
      <w:r>
        <w:rPr>
          <w:b/>
          <w:sz w:val="24"/>
          <w:szCs w:val="24"/>
        </w:rPr>
        <w:t xml:space="preserve">A RESOLUTION OF THE </w:t>
      </w:r>
      <w:r w:rsidR="00137585">
        <w:rPr>
          <w:b/>
          <w:sz w:val="24"/>
          <w:szCs w:val="24"/>
        </w:rPr>
        <w:t xml:space="preserve">CITY COUNCIL OF THE </w:t>
      </w:r>
      <w:r>
        <w:rPr>
          <w:b/>
          <w:sz w:val="24"/>
          <w:szCs w:val="24"/>
        </w:rPr>
        <w:t xml:space="preserve">CITY </w:t>
      </w:r>
      <w:r w:rsidR="00137585">
        <w:rPr>
          <w:b/>
          <w:sz w:val="24"/>
          <w:szCs w:val="24"/>
        </w:rPr>
        <w:t>OF JACKSONVILLE BEACH, FLORIDA, ESTABLISHING FEES RELATED TO SHORT TERM VACATION RENTALS; PROVI</w:t>
      </w:r>
      <w:r w:rsidR="00F750F8">
        <w:rPr>
          <w:b/>
          <w:sz w:val="24"/>
          <w:szCs w:val="24"/>
        </w:rPr>
        <w:t xml:space="preserve">DING FOR REFUNDS; PROVIDING FOR SEVERABILITY; PROVIDING FOR REPEAL OF CONFLICTING </w:t>
      </w:r>
      <w:r w:rsidR="00BE350F">
        <w:rPr>
          <w:b/>
          <w:sz w:val="24"/>
          <w:szCs w:val="24"/>
        </w:rPr>
        <w:t>RESOLUTIONS</w:t>
      </w:r>
      <w:r w:rsidR="00F750F8">
        <w:rPr>
          <w:b/>
          <w:sz w:val="24"/>
          <w:szCs w:val="24"/>
        </w:rPr>
        <w:t>, AND PROVIDING FOR AN EFFECTIVE DATE</w:t>
      </w:r>
    </w:p>
    <w:p w:rsidR="001E2AA9" w:rsidRPr="00AE6F64" w:rsidRDefault="001E2AA9" w:rsidP="001E2AA9">
      <w:pPr>
        <w:widowControl/>
        <w:ind w:left="720" w:right="720"/>
        <w:jc w:val="both"/>
        <w:rPr>
          <w:b/>
          <w:bCs/>
          <w:sz w:val="24"/>
          <w:szCs w:val="24"/>
        </w:rPr>
      </w:pPr>
    </w:p>
    <w:p w:rsidR="001E2AA9" w:rsidRDefault="001E2AA9" w:rsidP="001E2AA9">
      <w:pPr>
        <w:pStyle w:val="Default"/>
      </w:pPr>
    </w:p>
    <w:p w:rsidR="00AB008B" w:rsidRDefault="001E2AA9" w:rsidP="00F750F8">
      <w:pPr>
        <w:widowControl/>
        <w:jc w:val="both"/>
        <w:rPr>
          <w:bCs/>
          <w:sz w:val="22"/>
          <w:szCs w:val="22"/>
        </w:rPr>
      </w:pPr>
      <w:r>
        <w:t xml:space="preserve"> </w:t>
      </w:r>
      <w:r w:rsidR="00327824">
        <w:tab/>
      </w:r>
      <w:r>
        <w:rPr>
          <w:b/>
          <w:bCs/>
          <w:sz w:val="22"/>
          <w:szCs w:val="22"/>
        </w:rPr>
        <w:t xml:space="preserve">WHEREAS, </w:t>
      </w:r>
      <w:r w:rsidR="00F750F8">
        <w:rPr>
          <w:sz w:val="22"/>
          <w:szCs w:val="22"/>
        </w:rPr>
        <w:t xml:space="preserve">Chapter 34, Article VIII, Division 2 of </w:t>
      </w:r>
      <w:r>
        <w:rPr>
          <w:sz w:val="22"/>
          <w:szCs w:val="22"/>
        </w:rPr>
        <w:t xml:space="preserve">the </w:t>
      </w:r>
      <w:r w:rsidR="00F750F8">
        <w:rPr>
          <w:sz w:val="22"/>
          <w:szCs w:val="22"/>
        </w:rPr>
        <w:t>Code of Ordinances of the City of Jacksonville Beach, Florida, provides for the fees to be established related to Short Term Vacation Rentals by resolution of the City Council; and</w:t>
      </w:r>
    </w:p>
    <w:p w:rsidR="00AB008B" w:rsidRDefault="00AB008B" w:rsidP="00482D8F">
      <w:pPr>
        <w:pStyle w:val="Default"/>
        <w:ind w:firstLine="720"/>
        <w:rPr>
          <w:bCs/>
          <w:sz w:val="22"/>
          <w:szCs w:val="22"/>
        </w:rPr>
      </w:pPr>
    </w:p>
    <w:p w:rsidR="00327824" w:rsidRPr="007C0E9F" w:rsidRDefault="001E2AA9" w:rsidP="00482D8F">
      <w:pPr>
        <w:pStyle w:val="Default"/>
        <w:ind w:firstLine="720"/>
        <w:rPr>
          <w:bCs/>
        </w:rPr>
      </w:pPr>
      <w:r>
        <w:rPr>
          <w:b/>
          <w:bCs/>
          <w:sz w:val="22"/>
          <w:szCs w:val="22"/>
        </w:rPr>
        <w:t>WHEREAS</w:t>
      </w:r>
      <w:r>
        <w:rPr>
          <w:sz w:val="22"/>
          <w:szCs w:val="22"/>
        </w:rPr>
        <w:t xml:space="preserve">, </w:t>
      </w:r>
      <w:r w:rsidR="00327824">
        <w:rPr>
          <w:sz w:val="22"/>
          <w:szCs w:val="22"/>
        </w:rPr>
        <w:t xml:space="preserve">the City Council of the City of Jacksonville Beach </w:t>
      </w:r>
      <w:r w:rsidR="00F750F8">
        <w:rPr>
          <w:sz w:val="22"/>
          <w:szCs w:val="22"/>
        </w:rPr>
        <w:t>desires to establish such rates and schedule of fees for the administrative processing and enforcement of its Short Term Vacation Rental regulations</w:t>
      </w:r>
      <w:r w:rsidR="00AB008B">
        <w:rPr>
          <w:sz w:val="22"/>
          <w:szCs w:val="22"/>
        </w:rPr>
        <w:t>.</w:t>
      </w:r>
    </w:p>
    <w:p w:rsidR="001E2AA9" w:rsidRPr="007C0E9F" w:rsidRDefault="001E2AA9" w:rsidP="001E2AA9">
      <w:pPr>
        <w:widowControl/>
        <w:jc w:val="both"/>
        <w:rPr>
          <w:bCs/>
          <w:sz w:val="24"/>
          <w:szCs w:val="24"/>
        </w:rPr>
      </w:pPr>
    </w:p>
    <w:p w:rsidR="001E2AA9" w:rsidRDefault="001E2AA9" w:rsidP="001E2AA9">
      <w:pPr>
        <w:widowControl/>
        <w:jc w:val="both"/>
        <w:rPr>
          <w:b/>
          <w:bCs/>
          <w:sz w:val="24"/>
          <w:szCs w:val="24"/>
        </w:rPr>
      </w:pPr>
    </w:p>
    <w:p w:rsidR="001E2AA9" w:rsidRDefault="001E2AA9" w:rsidP="00F750F8">
      <w:pPr>
        <w:widowControl/>
        <w:ind w:firstLine="720"/>
        <w:jc w:val="both"/>
        <w:rPr>
          <w:b/>
          <w:bCs/>
          <w:sz w:val="24"/>
          <w:szCs w:val="24"/>
        </w:rPr>
      </w:pPr>
      <w:r w:rsidRPr="00AE6F64">
        <w:rPr>
          <w:b/>
          <w:bCs/>
          <w:sz w:val="24"/>
          <w:szCs w:val="24"/>
        </w:rPr>
        <w:t xml:space="preserve">NOW, THEREFORE, BE IT </w:t>
      </w:r>
      <w:r w:rsidR="00F750F8">
        <w:rPr>
          <w:b/>
          <w:bCs/>
          <w:sz w:val="24"/>
          <w:szCs w:val="24"/>
        </w:rPr>
        <w:t>RESOLVED</w:t>
      </w:r>
      <w:r w:rsidRPr="00AE6F64">
        <w:rPr>
          <w:b/>
          <w:bCs/>
          <w:sz w:val="24"/>
          <w:szCs w:val="24"/>
        </w:rPr>
        <w:t xml:space="preserve"> BY THE CITY OF JACKSONVILLE BEACH, FLORIDA:</w:t>
      </w:r>
    </w:p>
    <w:p w:rsidR="001E2AA9" w:rsidRDefault="001E2AA9" w:rsidP="001E2AA9">
      <w:pPr>
        <w:widowControl/>
        <w:jc w:val="both"/>
        <w:rPr>
          <w:b/>
          <w:bCs/>
          <w:sz w:val="24"/>
          <w:szCs w:val="24"/>
        </w:rPr>
      </w:pPr>
    </w:p>
    <w:p w:rsidR="00DA7D1B" w:rsidRDefault="001E2AA9" w:rsidP="001E2AA9">
      <w:pPr>
        <w:widowControl/>
        <w:ind w:firstLine="720"/>
        <w:jc w:val="both"/>
        <w:rPr>
          <w:sz w:val="24"/>
          <w:szCs w:val="24"/>
        </w:rPr>
      </w:pPr>
      <w:r>
        <w:rPr>
          <w:b/>
          <w:bCs/>
          <w:sz w:val="24"/>
          <w:szCs w:val="24"/>
        </w:rPr>
        <w:t>SECTION 1</w:t>
      </w:r>
      <w:r w:rsidRPr="00AE6F64">
        <w:rPr>
          <w:sz w:val="24"/>
          <w:szCs w:val="24"/>
        </w:rPr>
        <w:t>.</w:t>
      </w:r>
      <w:r>
        <w:rPr>
          <w:sz w:val="24"/>
          <w:szCs w:val="24"/>
        </w:rPr>
        <w:t xml:space="preserve"> </w:t>
      </w:r>
      <w:r w:rsidR="00F750F8">
        <w:rPr>
          <w:sz w:val="24"/>
          <w:szCs w:val="24"/>
        </w:rPr>
        <w:t>As provided in Section 34-411 of the City of Jacksonville Beach Land Development Code</w:t>
      </w:r>
      <w:r w:rsidR="00DA7D1B">
        <w:rPr>
          <w:sz w:val="24"/>
          <w:szCs w:val="24"/>
        </w:rPr>
        <w:t>, the schedule of such fees and related enforcement fines is established as follows:</w:t>
      </w:r>
    </w:p>
    <w:p w:rsidR="00DA7D1B" w:rsidRDefault="00DA7D1B" w:rsidP="001E2AA9">
      <w:pPr>
        <w:widowControl/>
        <w:ind w:firstLine="720"/>
        <w:jc w:val="both"/>
        <w:rPr>
          <w:sz w:val="24"/>
          <w:szCs w:val="24"/>
        </w:rPr>
      </w:pPr>
    </w:p>
    <w:tbl>
      <w:tblPr>
        <w:tblStyle w:val="TableGrid"/>
        <w:tblW w:w="0" w:type="auto"/>
        <w:tblLook w:val="04A0" w:firstRow="1" w:lastRow="0" w:firstColumn="1" w:lastColumn="0" w:noHBand="0" w:noVBand="1"/>
      </w:tblPr>
      <w:tblGrid>
        <w:gridCol w:w="6835"/>
        <w:gridCol w:w="2515"/>
      </w:tblGrid>
      <w:tr w:rsidR="00DA7D1B" w:rsidTr="00DA7D1B">
        <w:tc>
          <w:tcPr>
            <w:tcW w:w="6835" w:type="dxa"/>
          </w:tcPr>
          <w:p w:rsidR="00DA7D1B" w:rsidRPr="00DA7D1B" w:rsidRDefault="00DA7D1B" w:rsidP="001E2AA9">
            <w:pPr>
              <w:widowControl/>
              <w:jc w:val="both"/>
              <w:rPr>
                <w:b/>
                <w:sz w:val="24"/>
                <w:szCs w:val="24"/>
                <w:u w:val="single"/>
              </w:rPr>
            </w:pPr>
            <w:r>
              <w:rPr>
                <w:b/>
                <w:sz w:val="24"/>
                <w:szCs w:val="24"/>
                <w:u w:val="single"/>
              </w:rPr>
              <w:t>SHORT TERM VACTION RENTAL FEES</w:t>
            </w:r>
          </w:p>
        </w:tc>
        <w:tc>
          <w:tcPr>
            <w:tcW w:w="2515" w:type="dxa"/>
          </w:tcPr>
          <w:p w:rsidR="00DA7D1B" w:rsidRPr="00DA7D1B" w:rsidRDefault="00DA7D1B" w:rsidP="00DA7D1B">
            <w:pPr>
              <w:widowControl/>
              <w:jc w:val="center"/>
              <w:rPr>
                <w:b/>
                <w:sz w:val="24"/>
                <w:szCs w:val="24"/>
                <w:u w:val="single"/>
              </w:rPr>
            </w:pPr>
            <w:r>
              <w:rPr>
                <w:b/>
                <w:sz w:val="24"/>
                <w:szCs w:val="24"/>
                <w:u w:val="single"/>
              </w:rPr>
              <w:t>FEE</w:t>
            </w:r>
          </w:p>
        </w:tc>
      </w:tr>
      <w:tr w:rsidR="00DA7D1B" w:rsidTr="00DA7D1B">
        <w:tc>
          <w:tcPr>
            <w:tcW w:w="6835" w:type="dxa"/>
          </w:tcPr>
          <w:p w:rsidR="00DA7D1B" w:rsidRDefault="00DA7D1B" w:rsidP="001E2AA9">
            <w:pPr>
              <w:widowControl/>
              <w:jc w:val="both"/>
              <w:rPr>
                <w:sz w:val="24"/>
                <w:szCs w:val="24"/>
              </w:rPr>
            </w:pPr>
            <w:r>
              <w:rPr>
                <w:sz w:val="24"/>
                <w:szCs w:val="24"/>
              </w:rPr>
              <w:t>Certificate Application</w:t>
            </w:r>
          </w:p>
        </w:tc>
        <w:tc>
          <w:tcPr>
            <w:tcW w:w="2515" w:type="dxa"/>
          </w:tcPr>
          <w:p w:rsidR="00DA7D1B" w:rsidRDefault="00DA7D1B" w:rsidP="00DA7D1B">
            <w:pPr>
              <w:widowControl/>
              <w:jc w:val="center"/>
              <w:rPr>
                <w:sz w:val="24"/>
                <w:szCs w:val="24"/>
              </w:rPr>
            </w:pPr>
            <w:r>
              <w:rPr>
                <w:sz w:val="24"/>
                <w:szCs w:val="24"/>
              </w:rPr>
              <w:t>$500</w:t>
            </w:r>
          </w:p>
        </w:tc>
      </w:tr>
      <w:tr w:rsidR="00DA7D1B" w:rsidTr="00DA7D1B">
        <w:tc>
          <w:tcPr>
            <w:tcW w:w="6835" w:type="dxa"/>
          </w:tcPr>
          <w:p w:rsidR="00DA7D1B" w:rsidRDefault="00DA7D1B" w:rsidP="001E2AA9">
            <w:pPr>
              <w:widowControl/>
              <w:jc w:val="both"/>
              <w:rPr>
                <w:sz w:val="24"/>
                <w:szCs w:val="24"/>
              </w:rPr>
            </w:pPr>
            <w:r>
              <w:rPr>
                <w:sz w:val="24"/>
                <w:szCs w:val="24"/>
              </w:rPr>
              <w:t>Certificate Annual Renewal</w:t>
            </w:r>
          </w:p>
        </w:tc>
        <w:tc>
          <w:tcPr>
            <w:tcW w:w="2515" w:type="dxa"/>
          </w:tcPr>
          <w:p w:rsidR="00DA7D1B" w:rsidRDefault="00DA7D1B" w:rsidP="00DA7D1B">
            <w:pPr>
              <w:widowControl/>
              <w:jc w:val="center"/>
              <w:rPr>
                <w:sz w:val="24"/>
                <w:szCs w:val="24"/>
              </w:rPr>
            </w:pPr>
            <w:r>
              <w:rPr>
                <w:sz w:val="24"/>
                <w:szCs w:val="24"/>
              </w:rPr>
              <w:t>$250</w:t>
            </w:r>
          </w:p>
        </w:tc>
      </w:tr>
      <w:tr w:rsidR="00DA7D1B" w:rsidTr="00DA7D1B">
        <w:tc>
          <w:tcPr>
            <w:tcW w:w="6835" w:type="dxa"/>
          </w:tcPr>
          <w:p w:rsidR="00DA7D1B" w:rsidRDefault="00DA7D1B" w:rsidP="001E2AA9">
            <w:pPr>
              <w:widowControl/>
              <w:jc w:val="both"/>
              <w:rPr>
                <w:sz w:val="24"/>
                <w:szCs w:val="24"/>
              </w:rPr>
            </w:pPr>
            <w:r>
              <w:rPr>
                <w:sz w:val="24"/>
                <w:szCs w:val="24"/>
              </w:rPr>
              <w:t>Certificate Transfer of Ownership</w:t>
            </w:r>
          </w:p>
        </w:tc>
        <w:tc>
          <w:tcPr>
            <w:tcW w:w="2515" w:type="dxa"/>
          </w:tcPr>
          <w:p w:rsidR="00DA7D1B" w:rsidRDefault="00DA7D1B" w:rsidP="00DA7D1B">
            <w:pPr>
              <w:widowControl/>
              <w:jc w:val="center"/>
              <w:rPr>
                <w:sz w:val="24"/>
                <w:szCs w:val="24"/>
              </w:rPr>
            </w:pPr>
            <w:r>
              <w:rPr>
                <w:sz w:val="24"/>
                <w:szCs w:val="24"/>
              </w:rPr>
              <w:t>$250</w:t>
            </w:r>
          </w:p>
        </w:tc>
      </w:tr>
      <w:tr w:rsidR="00DA7D1B" w:rsidTr="00DA7D1B">
        <w:tc>
          <w:tcPr>
            <w:tcW w:w="6835" w:type="dxa"/>
          </w:tcPr>
          <w:p w:rsidR="00DA7D1B" w:rsidRDefault="00DA7D1B" w:rsidP="001E2AA9">
            <w:pPr>
              <w:widowControl/>
              <w:jc w:val="both"/>
              <w:rPr>
                <w:sz w:val="24"/>
                <w:szCs w:val="24"/>
              </w:rPr>
            </w:pPr>
            <w:r>
              <w:rPr>
                <w:sz w:val="24"/>
                <w:szCs w:val="24"/>
              </w:rPr>
              <w:t>Certificate Modification</w:t>
            </w:r>
          </w:p>
        </w:tc>
        <w:tc>
          <w:tcPr>
            <w:tcW w:w="2515" w:type="dxa"/>
          </w:tcPr>
          <w:p w:rsidR="00DA7D1B" w:rsidRDefault="00DA7D1B" w:rsidP="00DA7D1B">
            <w:pPr>
              <w:widowControl/>
              <w:jc w:val="center"/>
              <w:rPr>
                <w:sz w:val="24"/>
                <w:szCs w:val="24"/>
              </w:rPr>
            </w:pPr>
            <w:r>
              <w:rPr>
                <w:sz w:val="24"/>
                <w:szCs w:val="24"/>
              </w:rPr>
              <w:t>$150</w:t>
            </w:r>
          </w:p>
        </w:tc>
      </w:tr>
      <w:tr w:rsidR="00DA7D1B" w:rsidTr="00DA7D1B">
        <w:tc>
          <w:tcPr>
            <w:tcW w:w="6835" w:type="dxa"/>
          </w:tcPr>
          <w:p w:rsidR="00DA7D1B" w:rsidRDefault="00DA7D1B" w:rsidP="001E2AA9">
            <w:pPr>
              <w:widowControl/>
              <w:jc w:val="both"/>
              <w:rPr>
                <w:sz w:val="24"/>
                <w:szCs w:val="24"/>
              </w:rPr>
            </w:pPr>
            <w:r>
              <w:rPr>
                <w:sz w:val="24"/>
                <w:szCs w:val="24"/>
              </w:rPr>
              <w:t>Re-inspection</w:t>
            </w:r>
          </w:p>
        </w:tc>
        <w:tc>
          <w:tcPr>
            <w:tcW w:w="2515" w:type="dxa"/>
          </w:tcPr>
          <w:p w:rsidR="00DA7D1B" w:rsidRDefault="00DA7D1B" w:rsidP="00DA7D1B">
            <w:pPr>
              <w:widowControl/>
              <w:jc w:val="center"/>
              <w:rPr>
                <w:sz w:val="24"/>
                <w:szCs w:val="24"/>
              </w:rPr>
            </w:pPr>
            <w:r>
              <w:rPr>
                <w:sz w:val="24"/>
                <w:szCs w:val="24"/>
              </w:rPr>
              <w:t>$100</w:t>
            </w:r>
          </w:p>
        </w:tc>
      </w:tr>
      <w:tr w:rsidR="00DA7D1B" w:rsidTr="00DA7D1B">
        <w:tc>
          <w:tcPr>
            <w:tcW w:w="6835" w:type="dxa"/>
          </w:tcPr>
          <w:p w:rsidR="00DA7D1B" w:rsidRDefault="00DA7D1B" w:rsidP="001E2AA9">
            <w:pPr>
              <w:widowControl/>
              <w:jc w:val="both"/>
              <w:rPr>
                <w:sz w:val="24"/>
                <w:szCs w:val="24"/>
              </w:rPr>
            </w:pPr>
            <w:r>
              <w:rPr>
                <w:sz w:val="24"/>
                <w:szCs w:val="24"/>
              </w:rPr>
              <w:t>Inspection “No Show”</w:t>
            </w:r>
          </w:p>
        </w:tc>
        <w:tc>
          <w:tcPr>
            <w:tcW w:w="2515" w:type="dxa"/>
          </w:tcPr>
          <w:p w:rsidR="00DA7D1B" w:rsidRDefault="00DA7D1B" w:rsidP="00DA7D1B">
            <w:pPr>
              <w:widowControl/>
              <w:jc w:val="center"/>
              <w:rPr>
                <w:sz w:val="24"/>
                <w:szCs w:val="24"/>
              </w:rPr>
            </w:pPr>
            <w:r>
              <w:rPr>
                <w:sz w:val="24"/>
                <w:szCs w:val="24"/>
              </w:rPr>
              <w:t>$200</w:t>
            </w:r>
          </w:p>
        </w:tc>
      </w:tr>
      <w:tr w:rsidR="00DA7D1B" w:rsidTr="00DA7D1B">
        <w:tc>
          <w:tcPr>
            <w:tcW w:w="6835" w:type="dxa"/>
          </w:tcPr>
          <w:p w:rsidR="00DA7D1B" w:rsidRDefault="00DA7D1B" w:rsidP="001E2AA9">
            <w:pPr>
              <w:widowControl/>
              <w:jc w:val="both"/>
              <w:rPr>
                <w:sz w:val="24"/>
                <w:szCs w:val="24"/>
              </w:rPr>
            </w:pPr>
            <w:r>
              <w:rPr>
                <w:sz w:val="24"/>
                <w:szCs w:val="24"/>
              </w:rPr>
              <w:t>Violations (Sec. 34-411(k)(2)</w:t>
            </w:r>
          </w:p>
        </w:tc>
        <w:tc>
          <w:tcPr>
            <w:tcW w:w="2515" w:type="dxa"/>
          </w:tcPr>
          <w:p w:rsidR="00DA7D1B" w:rsidRDefault="00DA7D1B" w:rsidP="00DA7D1B">
            <w:pPr>
              <w:widowControl/>
              <w:jc w:val="center"/>
              <w:rPr>
                <w:sz w:val="24"/>
                <w:szCs w:val="24"/>
              </w:rPr>
            </w:pPr>
          </w:p>
        </w:tc>
      </w:tr>
      <w:tr w:rsidR="00DA7D1B" w:rsidTr="00DA7D1B">
        <w:tc>
          <w:tcPr>
            <w:tcW w:w="6835" w:type="dxa"/>
          </w:tcPr>
          <w:p w:rsidR="00DA7D1B" w:rsidRDefault="00DA7D1B" w:rsidP="001E2AA9">
            <w:pPr>
              <w:widowControl/>
              <w:jc w:val="both"/>
              <w:rPr>
                <w:sz w:val="24"/>
                <w:szCs w:val="24"/>
              </w:rPr>
            </w:pPr>
            <w:r>
              <w:rPr>
                <w:sz w:val="24"/>
                <w:szCs w:val="24"/>
              </w:rPr>
              <w:t xml:space="preserve">         First (1st)</w:t>
            </w:r>
          </w:p>
        </w:tc>
        <w:tc>
          <w:tcPr>
            <w:tcW w:w="2515" w:type="dxa"/>
          </w:tcPr>
          <w:p w:rsidR="00DA7D1B" w:rsidRDefault="00DA7D1B" w:rsidP="00DA7D1B">
            <w:pPr>
              <w:widowControl/>
              <w:jc w:val="center"/>
              <w:rPr>
                <w:sz w:val="24"/>
                <w:szCs w:val="24"/>
              </w:rPr>
            </w:pPr>
            <w:r>
              <w:rPr>
                <w:sz w:val="24"/>
                <w:szCs w:val="24"/>
              </w:rPr>
              <w:t>$200</w:t>
            </w:r>
          </w:p>
        </w:tc>
      </w:tr>
      <w:tr w:rsidR="00DA7D1B" w:rsidTr="00DA7D1B">
        <w:tc>
          <w:tcPr>
            <w:tcW w:w="6835" w:type="dxa"/>
          </w:tcPr>
          <w:p w:rsidR="00DA7D1B" w:rsidRDefault="00DA7D1B" w:rsidP="001E2AA9">
            <w:pPr>
              <w:widowControl/>
              <w:jc w:val="both"/>
              <w:rPr>
                <w:sz w:val="24"/>
                <w:szCs w:val="24"/>
              </w:rPr>
            </w:pPr>
            <w:r>
              <w:rPr>
                <w:sz w:val="24"/>
                <w:szCs w:val="24"/>
              </w:rPr>
              <w:t xml:space="preserve">         Second (2nd)</w:t>
            </w:r>
          </w:p>
        </w:tc>
        <w:tc>
          <w:tcPr>
            <w:tcW w:w="2515" w:type="dxa"/>
          </w:tcPr>
          <w:p w:rsidR="00DA7D1B" w:rsidRDefault="00DA7D1B" w:rsidP="00DA7D1B">
            <w:pPr>
              <w:widowControl/>
              <w:jc w:val="center"/>
              <w:rPr>
                <w:sz w:val="24"/>
                <w:szCs w:val="24"/>
              </w:rPr>
            </w:pPr>
            <w:r>
              <w:rPr>
                <w:sz w:val="24"/>
                <w:szCs w:val="24"/>
              </w:rPr>
              <w:t>$200</w:t>
            </w:r>
          </w:p>
        </w:tc>
      </w:tr>
      <w:tr w:rsidR="00DA7D1B" w:rsidTr="00DA7D1B">
        <w:tc>
          <w:tcPr>
            <w:tcW w:w="6835" w:type="dxa"/>
          </w:tcPr>
          <w:p w:rsidR="00DA7D1B" w:rsidRDefault="00DA7D1B" w:rsidP="001E2AA9">
            <w:pPr>
              <w:widowControl/>
              <w:jc w:val="both"/>
              <w:rPr>
                <w:sz w:val="24"/>
                <w:szCs w:val="24"/>
              </w:rPr>
            </w:pPr>
            <w:r>
              <w:rPr>
                <w:sz w:val="24"/>
                <w:szCs w:val="24"/>
              </w:rPr>
              <w:t xml:space="preserve">         Third (3rd)</w:t>
            </w:r>
          </w:p>
        </w:tc>
        <w:tc>
          <w:tcPr>
            <w:tcW w:w="2515" w:type="dxa"/>
          </w:tcPr>
          <w:p w:rsidR="00DA7D1B" w:rsidRDefault="00DA7D1B" w:rsidP="00DA7D1B">
            <w:pPr>
              <w:widowControl/>
              <w:jc w:val="center"/>
              <w:rPr>
                <w:sz w:val="24"/>
                <w:szCs w:val="24"/>
              </w:rPr>
            </w:pPr>
            <w:r>
              <w:rPr>
                <w:sz w:val="24"/>
                <w:szCs w:val="24"/>
              </w:rPr>
              <w:t>$400</w:t>
            </w:r>
          </w:p>
        </w:tc>
      </w:tr>
      <w:tr w:rsidR="00DA7D1B" w:rsidTr="00DA7D1B">
        <w:tc>
          <w:tcPr>
            <w:tcW w:w="6835" w:type="dxa"/>
          </w:tcPr>
          <w:p w:rsidR="00DA7D1B" w:rsidRDefault="00DA7D1B" w:rsidP="001E2AA9">
            <w:pPr>
              <w:widowControl/>
              <w:jc w:val="both"/>
              <w:rPr>
                <w:sz w:val="24"/>
                <w:szCs w:val="24"/>
              </w:rPr>
            </w:pPr>
            <w:r>
              <w:rPr>
                <w:sz w:val="24"/>
                <w:szCs w:val="24"/>
              </w:rPr>
              <w:t xml:space="preserve">          Each repeat violation in excess of three (3)</w:t>
            </w:r>
          </w:p>
        </w:tc>
        <w:tc>
          <w:tcPr>
            <w:tcW w:w="2515" w:type="dxa"/>
          </w:tcPr>
          <w:p w:rsidR="00DA7D1B" w:rsidRDefault="00DA7D1B" w:rsidP="00DA7D1B">
            <w:pPr>
              <w:widowControl/>
              <w:jc w:val="center"/>
              <w:rPr>
                <w:sz w:val="24"/>
                <w:szCs w:val="24"/>
              </w:rPr>
            </w:pPr>
            <w:r>
              <w:rPr>
                <w:sz w:val="24"/>
                <w:szCs w:val="24"/>
              </w:rPr>
              <w:t>$500</w:t>
            </w:r>
          </w:p>
        </w:tc>
      </w:tr>
    </w:tbl>
    <w:p w:rsidR="00DA7D1B" w:rsidRDefault="00DA7D1B" w:rsidP="001E2AA9">
      <w:pPr>
        <w:widowControl/>
        <w:ind w:firstLine="720"/>
        <w:jc w:val="both"/>
        <w:rPr>
          <w:sz w:val="24"/>
          <w:szCs w:val="24"/>
        </w:rPr>
      </w:pPr>
    </w:p>
    <w:p w:rsidR="001E2AA9" w:rsidRDefault="00DA7D1B" w:rsidP="001E2AA9">
      <w:pPr>
        <w:widowControl/>
        <w:ind w:firstLine="720"/>
        <w:jc w:val="both"/>
        <w:rPr>
          <w:sz w:val="24"/>
          <w:szCs w:val="24"/>
        </w:rPr>
      </w:pPr>
      <w:r>
        <w:rPr>
          <w:sz w:val="24"/>
          <w:szCs w:val="24"/>
        </w:rPr>
        <w:t xml:space="preserve"> </w:t>
      </w:r>
    </w:p>
    <w:p w:rsidR="00DA7D1B" w:rsidRDefault="00DA7D1B" w:rsidP="001E2AA9">
      <w:pPr>
        <w:widowControl/>
        <w:ind w:firstLine="720"/>
        <w:jc w:val="both"/>
        <w:rPr>
          <w:sz w:val="24"/>
          <w:szCs w:val="24"/>
        </w:rPr>
      </w:pPr>
    </w:p>
    <w:p w:rsidR="001E2AA9" w:rsidRDefault="001E2AA9" w:rsidP="001E2AA9">
      <w:pPr>
        <w:widowControl/>
        <w:ind w:firstLine="720"/>
        <w:jc w:val="both"/>
        <w:rPr>
          <w:sz w:val="24"/>
          <w:szCs w:val="24"/>
        </w:rPr>
      </w:pPr>
      <w:r>
        <w:rPr>
          <w:b/>
          <w:sz w:val="24"/>
          <w:szCs w:val="24"/>
        </w:rPr>
        <w:lastRenderedPageBreak/>
        <w:t xml:space="preserve">SECTION 2. </w:t>
      </w:r>
      <w:r w:rsidR="00DA7D1B">
        <w:rPr>
          <w:sz w:val="24"/>
          <w:szCs w:val="24"/>
        </w:rPr>
        <w:t>Refunds shall be available upon request of the property owner, subject to the following:</w:t>
      </w:r>
    </w:p>
    <w:p w:rsidR="00DA7D1B" w:rsidRDefault="00DA7D1B" w:rsidP="001E2AA9">
      <w:pPr>
        <w:widowControl/>
        <w:ind w:firstLine="720"/>
        <w:jc w:val="both"/>
        <w:rPr>
          <w:sz w:val="24"/>
          <w:szCs w:val="24"/>
        </w:rPr>
      </w:pPr>
    </w:p>
    <w:p w:rsidR="00DA7D1B" w:rsidRDefault="00DA7D1B" w:rsidP="00DA7D1B">
      <w:pPr>
        <w:pStyle w:val="ListParagraph"/>
        <w:numPr>
          <w:ilvl w:val="0"/>
          <w:numId w:val="2"/>
        </w:numPr>
        <w:jc w:val="both"/>
        <w:rPr>
          <w:szCs w:val="24"/>
        </w:rPr>
      </w:pPr>
      <w:r>
        <w:rPr>
          <w:szCs w:val="24"/>
        </w:rPr>
        <w:t>If any application related to short term vacation rentals has not been distributed for departmental/staff review and receipt of requested refund has been received by the Planning and Development Department within thirty (30) days of submittal of an application, a full refund may be requested.</w:t>
      </w:r>
    </w:p>
    <w:p w:rsidR="00BE350F" w:rsidRDefault="00BE350F" w:rsidP="00BE350F">
      <w:pPr>
        <w:pStyle w:val="ListParagraph"/>
        <w:ind w:left="1080"/>
        <w:jc w:val="both"/>
        <w:rPr>
          <w:szCs w:val="24"/>
        </w:rPr>
      </w:pPr>
    </w:p>
    <w:p w:rsidR="00DA7D1B" w:rsidRDefault="00DA7D1B" w:rsidP="00DA7D1B">
      <w:pPr>
        <w:pStyle w:val="ListParagraph"/>
        <w:numPr>
          <w:ilvl w:val="0"/>
          <w:numId w:val="2"/>
        </w:numPr>
        <w:jc w:val="both"/>
        <w:rPr>
          <w:szCs w:val="24"/>
        </w:rPr>
      </w:pPr>
      <w:r>
        <w:rPr>
          <w:szCs w:val="24"/>
        </w:rPr>
        <w:t>If departmental/staff review has begun on any application and a request for a refund is received by the Planning and Development Department within thirty (30) days of submittal of an application, a partial refund of fifty percent (50%) of application fees may be requested.</w:t>
      </w:r>
    </w:p>
    <w:p w:rsidR="00BE350F" w:rsidRPr="00BE350F" w:rsidRDefault="00BE350F" w:rsidP="00BE350F">
      <w:pPr>
        <w:pStyle w:val="ListParagraph"/>
        <w:rPr>
          <w:szCs w:val="24"/>
        </w:rPr>
      </w:pPr>
    </w:p>
    <w:p w:rsidR="00BE350F" w:rsidRDefault="00BE350F" w:rsidP="00BE350F">
      <w:pPr>
        <w:pStyle w:val="ListParagraph"/>
        <w:ind w:left="1080"/>
        <w:jc w:val="both"/>
        <w:rPr>
          <w:szCs w:val="24"/>
        </w:rPr>
      </w:pPr>
    </w:p>
    <w:p w:rsidR="00DA7D1B" w:rsidRDefault="00DA7D1B" w:rsidP="00DA7D1B">
      <w:pPr>
        <w:pStyle w:val="ListParagraph"/>
        <w:numPr>
          <w:ilvl w:val="0"/>
          <w:numId w:val="2"/>
        </w:numPr>
        <w:jc w:val="both"/>
        <w:rPr>
          <w:szCs w:val="24"/>
        </w:rPr>
      </w:pPr>
      <w:r>
        <w:rPr>
          <w:szCs w:val="24"/>
        </w:rPr>
        <w:t>If a Short Term Vacation Rental Certificate has been issued, denied, revoked, or suspended, whether for an initial, renewal, transfer, or modification Certificate, no refund may be requested.</w:t>
      </w:r>
    </w:p>
    <w:p w:rsidR="00BE350F" w:rsidRDefault="00BE350F" w:rsidP="00BE350F">
      <w:pPr>
        <w:pStyle w:val="ListParagraph"/>
        <w:ind w:left="1080"/>
        <w:jc w:val="both"/>
        <w:rPr>
          <w:szCs w:val="24"/>
        </w:rPr>
      </w:pPr>
    </w:p>
    <w:p w:rsidR="00DA7D1B" w:rsidRPr="00DA7D1B" w:rsidRDefault="00DA7D1B" w:rsidP="00DA7D1B">
      <w:pPr>
        <w:pStyle w:val="ListParagraph"/>
        <w:numPr>
          <w:ilvl w:val="0"/>
          <w:numId w:val="2"/>
        </w:numPr>
        <w:jc w:val="both"/>
        <w:rPr>
          <w:szCs w:val="24"/>
        </w:rPr>
      </w:pPr>
      <w:r>
        <w:rPr>
          <w:szCs w:val="24"/>
        </w:rPr>
        <w:t>All refund requests will be expeditiously processed and refunded amounts will not be unreasonably withheld by the City.</w:t>
      </w:r>
    </w:p>
    <w:p w:rsidR="001E2AA9" w:rsidRDefault="001E2AA9" w:rsidP="001E2AA9">
      <w:pPr>
        <w:widowControl/>
        <w:ind w:firstLine="720"/>
        <w:jc w:val="both"/>
        <w:rPr>
          <w:b/>
          <w:sz w:val="24"/>
          <w:szCs w:val="24"/>
        </w:rPr>
      </w:pPr>
    </w:p>
    <w:p w:rsidR="001E2AA9" w:rsidRDefault="001E2AA9" w:rsidP="001E2AA9">
      <w:pPr>
        <w:widowControl/>
        <w:ind w:firstLine="720"/>
        <w:jc w:val="both"/>
        <w:rPr>
          <w:b/>
          <w:bCs/>
          <w:sz w:val="24"/>
          <w:szCs w:val="24"/>
        </w:rPr>
      </w:pPr>
    </w:p>
    <w:p w:rsidR="001E2AA9" w:rsidRDefault="001E2AA9" w:rsidP="001E2AA9">
      <w:pPr>
        <w:widowControl/>
        <w:ind w:firstLine="720"/>
        <w:jc w:val="both"/>
        <w:rPr>
          <w:sz w:val="24"/>
          <w:szCs w:val="24"/>
        </w:rPr>
      </w:pPr>
      <w:r>
        <w:rPr>
          <w:b/>
          <w:bCs/>
          <w:sz w:val="24"/>
          <w:szCs w:val="24"/>
        </w:rPr>
        <w:t>SECTION 3</w:t>
      </w:r>
      <w:r w:rsidRPr="00AE6F64">
        <w:rPr>
          <w:sz w:val="24"/>
          <w:szCs w:val="24"/>
        </w:rPr>
        <w:t xml:space="preserve">. </w:t>
      </w:r>
      <w:r w:rsidR="00BE350F">
        <w:rPr>
          <w:sz w:val="24"/>
          <w:szCs w:val="24"/>
        </w:rPr>
        <w:t>The fees listed herein and the refund policy as listed herein shall be collected by the Planning and Development Department and allocated to appropriate accounts created for collection of such fees.  Through this Resolution, the City Council authorizes the creation of appropriate accounts for the collection, accounting, disbursement, and refund of such fees as needed.</w:t>
      </w:r>
      <w:r>
        <w:rPr>
          <w:sz w:val="24"/>
          <w:szCs w:val="24"/>
        </w:rPr>
        <w:t xml:space="preserve"> </w:t>
      </w:r>
    </w:p>
    <w:p w:rsidR="00481B4D" w:rsidRPr="00481B4D" w:rsidRDefault="00481B4D" w:rsidP="00481B4D">
      <w:pPr>
        <w:pStyle w:val="ListParagraph"/>
        <w:rPr>
          <w:szCs w:val="24"/>
          <w:u w:val="single"/>
        </w:rPr>
      </w:pPr>
    </w:p>
    <w:p w:rsidR="00D1030A" w:rsidRPr="00D1030A" w:rsidRDefault="001E2AA9" w:rsidP="00BE350F">
      <w:pPr>
        <w:widowControl/>
        <w:ind w:firstLine="720"/>
        <w:jc w:val="both"/>
        <w:rPr>
          <w:sz w:val="24"/>
          <w:szCs w:val="24"/>
        </w:rPr>
      </w:pPr>
      <w:r w:rsidRPr="00AE6F64">
        <w:rPr>
          <w:b/>
          <w:bCs/>
          <w:sz w:val="24"/>
          <w:szCs w:val="24"/>
        </w:rPr>
        <w:t xml:space="preserve">SECTION </w:t>
      </w:r>
      <w:r w:rsidR="008D544A">
        <w:rPr>
          <w:b/>
          <w:bCs/>
          <w:sz w:val="24"/>
          <w:szCs w:val="24"/>
        </w:rPr>
        <w:t>4</w:t>
      </w:r>
      <w:r w:rsidRPr="00AE6F64">
        <w:rPr>
          <w:b/>
          <w:bCs/>
          <w:sz w:val="24"/>
          <w:szCs w:val="24"/>
        </w:rPr>
        <w:t>.</w:t>
      </w:r>
      <w:r w:rsidRPr="00AE6F64">
        <w:rPr>
          <w:sz w:val="24"/>
          <w:szCs w:val="24"/>
        </w:rPr>
        <w:t xml:space="preserve">  </w:t>
      </w:r>
      <w:r w:rsidR="00BE350F">
        <w:rPr>
          <w:sz w:val="24"/>
          <w:szCs w:val="24"/>
        </w:rPr>
        <w:t>This Short Term Vacation Rental program is the first such regulatory program of this nature enacted in the City of Jacksonville Beach.  The identification of fees is based on research of other jurisdictions and best estimates.  The City will review the fees and labor and expense associated with processing Certificates, required inspections, and enforcement and modify the fee schedule as appropriate.</w:t>
      </w:r>
    </w:p>
    <w:p w:rsidR="00D1030A" w:rsidRDefault="00D1030A" w:rsidP="00481B4D">
      <w:pPr>
        <w:widowControl/>
        <w:ind w:firstLine="720"/>
        <w:jc w:val="both"/>
        <w:rPr>
          <w:sz w:val="24"/>
          <w:szCs w:val="24"/>
          <w:u w:val="single"/>
        </w:rPr>
      </w:pPr>
    </w:p>
    <w:p w:rsidR="00D1030A" w:rsidRPr="00D1030A" w:rsidRDefault="00D1030A" w:rsidP="00BE350F">
      <w:pPr>
        <w:widowControl/>
        <w:ind w:firstLine="720"/>
        <w:jc w:val="both"/>
        <w:rPr>
          <w:sz w:val="24"/>
          <w:szCs w:val="24"/>
        </w:rPr>
      </w:pPr>
      <w:r w:rsidRPr="00AE6F64">
        <w:rPr>
          <w:b/>
          <w:bCs/>
          <w:sz w:val="24"/>
          <w:szCs w:val="24"/>
        </w:rPr>
        <w:t xml:space="preserve">SECTION </w:t>
      </w:r>
      <w:r>
        <w:rPr>
          <w:b/>
          <w:bCs/>
          <w:sz w:val="24"/>
          <w:szCs w:val="24"/>
        </w:rPr>
        <w:t>5</w:t>
      </w:r>
      <w:r w:rsidRPr="00AE6F64">
        <w:rPr>
          <w:b/>
          <w:bCs/>
          <w:sz w:val="24"/>
          <w:szCs w:val="24"/>
        </w:rPr>
        <w:t>.</w:t>
      </w:r>
      <w:r w:rsidRPr="00AE6F64">
        <w:rPr>
          <w:sz w:val="24"/>
          <w:szCs w:val="24"/>
        </w:rPr>
        <w:t xml:space="preserve">  </w:t>
      </w:r>
      <w:r w:rsidR="00BE350F">
        <w:rPr>
          <w:color w:val="000000"/>
          <w:sz w:val="24"/>
          <w:szCs w:val="24"/>
        </w:rPr>
        <w:t xml:space="preserve">It is hereby declared to be the intention of the City Council for the City of Jacksonville Beach that the sections, paragraphs, sentences, clauses, and phrases of this Resolution are severable.  If any phrase, clause, sentence, paragraph or section of this Resolution shall be declared to be unconstitutional by the valid judgment or decree of a court of competent jurisdiction, such unconstitutionality shall not affect any of the remaining phrases, clauses, sentences, paragraphs, and sections of this Resolution. </w:t>
      </w:r>
    </w:p>
    <w:p w:rsidR="00D1030A" w:rsidRDefault="00D1030A" w:rsidP="00481B4D">
      <w:pPr>
        <w:widowControl/>
        <w:ind w:firstLine="720"/>
        <w:jc w:val="both"/>
        <w:rPr>
          <w:sz w:val="24"/>
          <w:szCs w:val="24"/>
          <w:u w:val="single"/>
        </w:rPr>
      </w:pPr>
    </w:p>
    <w:p w:rsidR="00D1030A" w:rsidRPr="00D1030A" w:rsidRDefault="00D1030A" w:rsidP="00BE350F">
      <w:pPr>
        <w:widowControl/>
        <w:ind w:firstLine="720"/>
        <w:jc w:val="both"/>
        <w:rPr>
          <w:sz w:val="24"/>
          <w:szCs w:val="24"/>
        </w:rPr>
      </w:pPr>
      <w:r w:rsidRPr="00AE6F64">
        <w:rPr>
          <w:b/>
          <w:bCs/>
          <w:sz w:val="24"/>
          <w:szCs w:val="24"/>
        </w:rPr>
        <w:t xml:space="preserve">SECTION </w:t>
      </w:r>
      <w:r>
        <w:rPr>
          <w:b/>
          <w:bCs/>
          <w:sz w:val="24"/>
          <w:szCs w:val="24"/>
        </w:rPr>
        <w:t>6</w:t>
      </w:r>
      <w:r w:rsidRPr="00AE6F64">
        <w:rPr>
          <w:b/>
          <w:bCs/>
          <w:sz w:val="24"/>
          <w:szCs w:val="24"/>
        </w:rPr>
        <w:t>.</w:t>
      </w:r>
      <w:r w:rsidRPr="00AE6F64">
        <w:rPr>
          <w:sz w:val="24"/>
          <w:szCs w:val="24"/>
        </w:rPr>
        <w:t xml:space="preserve">  </w:t>
      </w:r>
      <w:r w:rsidR="00BE350F">
        <w:rPr>
          <w:sz w:val="24"/>
          <w:szCs w:val="24"/>
        </w:rPr>
        <w:t>All ordinances, resolutions, official determinations or parts thereof previously adopted or entered by the City or any of its officials and in conflict with this Resolution are repealed to the extent of conflict or inconsistency herewith.</w:t>
      </w:r>
    </w:p>
    <w:p w:rsidR="00481B4D" w:rsidRDefault="00481B4D" w:rsidP="00481B4D">
      <w:pPr>
        <w:widowControl/>
        <w:ind w:firstLine="720"/>
        <w:jc w:val="both"/>
        <w:rPr>
          <w:sz w:val="24"/>
          <w:szCs w:val="24"/>
        </w:rPr>
      </w:pPr>
    </w:p>
    <w:p w:rsidR="00D1030A" w:rsidRDefault="00D1030A" w:rsidP="00BE350F">
      <w:pPr>
        <w:widowControl/>
        <w:ind w:firstLine="720"/>
        <w:jc w:val="both"/>
        <w:rPr>
          <w:sz w:val="24"/>
          <w:szCs w:val="24"/>
        </w:rPr>
      </w:pPr>
      <w:r w:rsidRPr="00AE6F64">
        <w:rPr>
          <w:b/>
          <w:bCs/>
          <w:sz w:val="24"/>
          <w:szCs w:val="24"/>
        </w:rPr>
        <w:lastRenderedPageBreak/>
        <w:t xml:space="preserve">SECTION </w:t>
      </w:r>
      <w:r>
        <w:rPr>
          <w:b/>
          <w:bCs/>
          <w:sz w:val="24"/>
          <w:szCs w:val="24"/>
        </w:rPr>
        <w:t>7</w:t>
      </w:r>
      <w:r w:rsidRPr="00AE6F64">
        <w:rPr>
          <w:b/>
          <w:bCs/>
          <w:sz w:val="24"/>
          <w:szCs w:val="24"/>
        </w:rPr>
        <w:t>.</w:t>
      </w:r>
      <w:r w:rsidRPr="00AE6F64">
        <w:rPr>
          <w:sz w:val="24"/>
          <w:szCs w:val="24"/>
        </w:rPr>
        <w:t xml:space="preserve">  </w:t>
      </w:r>
      <w:r w:rsidR="00BE350F">
        <w:rPr>
          <w:sz w:val="24"/>
          <w:szCs w:val="24"/>
        </w:rPr>
        <w:t>This Resolution shall take effect upon its adoption in accordance with applicable law.</w:t>
      </w:r>
    </w:p>
    <w:p w:rsidR="00BE350F" w:rsidRDefault="00BE350F" w:rsidP="00BE350F">
      <w:pPr>
        <w:widowControl/>
        <w:ind w:firstLine="720"/>
        <w:jc w:val="both"/>
        <w:rPr>
          <w:sz w:val="24"/>
          <w:szCs w:val="24"/>
        </w:rPr>
      </w:pPr>
    </w:p>
    <w:p w:rsidR="00974254" w:rsidRDefault="00974254" w:rsidP="001E2AA9">
      <w:pPr>
        <w:widowControl/>
        <w:ind w:firstLine="720"/>
        <w:jc w:val="both"/>
        <w:rPr>
          <w:sz w:val="24"/>
          <w:szCs w:val="24"/>
        </w:rPr>
      </w:pPr>
    </w:p>
    <w:p w:rsidR="001E2AA9" w:rsidRDefault="001E2AA9" w:rsidP="001E2AA9">
      <w:pPr>
        <w:widowControl/>
        <w:ind w:firstLine="720"/>
        <w:rPr>
          <w:sz w:val="24"/>
          <w:szCs w:val="24"/>
        </w:rPr>
      </w:pPr>
    </w:p>
    <w:p w:rsidR="001E2AA9" w:rsidRPr="00AE6F64" w:rsidRDefault="001E2AA9" w:rsidP="001E2AA9">
      <w:pPr>
        <w:widowControl/>
        <w:jc w:val="both"/>
        <w:rPr>
          <w:sz w:val="24"/>
          <w:szCs w:val="24"/>
        </w:rPr>
      </w:pPr>
      <w:r w:rsidRPr="00AE6F64">
        <w:rPr>
          <w:b/>
          <w:bCs/>
          <w:sz w:val="24"/>
          <w:szCs w:val="24"/>
        </w:rPr>
        <w:t xml:space="preserve">AUTHENTICATED THIS </w:t>
      </w:r>
      <w:r>
        <w:rPr>
          <w:b/>
          <w:bCs/>
          <w:sz w:val="24"/>
          <w:szCs w:val="24"/>
        </w:rPr>
        <w:t>_</w:t>
      </w:r>
      <w:r w:rsidRPr="00700A6B">
        <w:rPr>
          <w:b/>
          <w:bCs/>
          <w:sz w:val="24"/>
          <w:szCs w:val="24"/>
        </w:rPr>
        <w:t>_</w:t>
      </w:r>
      <w:r>
        <w:rPr>
          <w:b/>
          <w:bCs/>
          <w:sz w:val="24"/>
          <w:szCs w:val="24"/>
        </w:rPr>
        <w:t xml:space="preserve">___ </w:t>
      </w:r>
      <w:r w:rsidRPr="00AE6F64">
        <w:rPr>
          <w:b/>
          <w:bCs/>
          <w:sz w:val="24"/>
          <w:szCs w:val="24"/>
        </w:rPr>
        <w:t>DAY OF</w:t>
      </w:r>
      <w:r>
        <w:rPr>
          <w:b/>
          <w:bCs/>
          <w:sz w:val="24"/>
          <w:szCs w:val="24"/>
        </w:rPr>
        <w:t xml:space="preserve"> </w:t>
      </w:r>
      <w:r w:rsidRPr="00AE6F64">
        <w:rPr>
          <w:b/>
          <w:bCs/>
          <w:sz w:val="24"/>
          <w:szCs w:val="24"/>
        </w:rPr>
        <w:t>_______</w:t>
      </w:r>
      <w:r>
        <w:rPr>
          <w:b/>
          <w:bCs/>
          <w:sz w:val="24"/>
          <w:szCs w:val="24"/>
        </w:rPr>
        <w:t>________, A.D., 201</w:t>
      </w:r>
      <w:r w:rsidR="003B0650">
        <w:rPr>
          <w:b/>
          <w:bCs/>
          <w:sz w:val="24"/>
          <w:szCs w:val="24"/>
        </w:rPr>
        <w:t>9</w:t>
      </w:r>
      <w:r w:rsidRPr="00AE6F64">
        <w:rPr>
          <w:b/>
          <w:bCs/>
          <w:sz w:val="24"/>
          <w:szCs w:val="24"/>
        </w:rPr>
        <w:t xml:space="preserve">. </w:t>
      </w:r>
    </w:p>
    <w:p w:rsidR="001E2AA9" w:rsidRPr="00AE6F64" w:rsidRDefault="001E2AA9" w:rsidP="001E2AA9">
      <w:pPr>
        <w:widowControl/>
        <w:ind w:left="5040"/>
        <w:jc w:val="both"/>
        <w:rPr>
          <w:sz w:val="24"/>
          <w:szCs w:val="24"/>
        </w:rPr>
      </w:pPr>
    </w:p>
    <w:p w:rsidR="001E2AA9" w:rsidRDefault="001E2AA9" w:rsidP="001E2AA9">
      <w:pPr>
        <w:widowControl/>
        <w:ind w:left="5040"/>
        <w:jc w:val="both"/>
        <w:rPr>
          <w:sz w:val="24"/>
          <w:szCs w:val="24"/>
        </w:rPr>
      </w:pPr>
    </w:p>
    <w:p w:rsidR="001E2AA9" w:rsidRDefault="001E2AA9" w:rsidP="001E2AA9">
      <w:pPr>
        <w:widowControl/>
        <w:ind w:left="5040"/>
        <w:jc w:val="both"/>
        <w:rPr>
          <w:sz w:val="24"/>
          <w:szCs w:val="24"/>
        </w:rPr>
      </w:pPr>
    </w:p>
    <w:p w:rsidR="001E2AA9" w:rsidRDefault="001E2AA9" w:rsidP="001E2AA9">
      <w:pPr>
        <w:widowControl/>
        <w:ind w:left="5040"/>
        <w:jc w:val="both"/>
        <w:rPr>
          <w:sz w:val="24"/>
          <w:szCs w:val="24"/>
        </w:rPr>
      </w:pPr>
    </w:p>
    <w:p w:rsidR="001E2AA9" w:rsidRDefault="001E2AA9" w:rsidP="001E2AA9">
      <w:pPr>
        <w:widowControl/>
        <w:ind w:left="5040"/>
        <w:jc w:val="both"/>
        <w:rPr>
          <w:sz w:val="24"/>
          <w:szCs w:val="24"/>
        </w:rPr>
      </w:pPr>
    </w:p>
    <w:p w:rsidR="001E2AA9" w:rsidRPr="00AE6F64" w:rsidRDefault="001E2AA9" w:rsidP="001E2AA9">
      <w:pPr>
        <w:widowControl/>
        <w:ind w:left="5040"/>
        <w:jc w:val="both"/>
      </w:pPr>
      <w:r w:rsidRPr="00AE6F64">
        <w:rPr>
          <w:sz w:val="24"/>
          <w:szCs w:val="24"/>
        </w:rPr>
        <w:t>____________________________________</w:t>
      </w:r>
      <w:r w:rsidRPr="00267045">
        <w:rPr>
          <w:sz w:val="24"/>
          <w:szCs w:val="24"/>
        </w:rPr>
        <w:t>William C. Latham, Mayor</w:t>
      </w:r>
    </w:p>
    <w:p w:rsidR="001E2AA9" w:rsidRDefault="001E2AA9" w:rsidP="001E2AA9">
      <w:pPr>
        <w:widowControl/>
        <w:ind w:left="5040"/>
        <w:jc w:val="both"/>
        <w:rPr>
          <w:sz w:val="24"/>
          <w:szCs w:val="24"/>
        </w:rPr>
      </w:pPr>
    </w:p>
    <w:p w:rsidR="001E2AA9" w:rsidRDefault="001E2AA9" w:rsidP="001E2AA9">
      <w:pPr>
        <w:widowControl/>
        <w:ind w:left="5040"/>
        <w:jc w:val="both"/>
        <w:rPr>
          <w:sz w:val="24"/>
          <w:szCs w:val="24"/>
        </w:rPr>
      </w:pPr>
    </w:p>
    <w:p w:rsidR="001E2AA9" w:rsidRDefault="001E2AA9" w:rsidP="001E2AA9">
      <w:pPr>
        <w:widowControl/>
        <w:ind w:left="5040"/>
        <w:jc w:val="both"/>
        <w:rPr>
          <w:sz w:val="24"/>
          <w:szCs w:val="24"/>
        </w:rPr>
      </w:pPr>
    </w:p>
    <w:p w:rsidR="001E2AA9" w:rsidRDefault="001E2AA9" w:rsidP="001E2AA9">
      <w:pPr>
        <w:widowControl/>
        <w:ind w:left="5040"/>
        <w:jc w:val="both"/>
        <w:rPr>
          <w:sz w:val="24"/>
          <w:szCs w:val="24"/>
        </w:rPr>
      </w:pPr>
    </w:p>
    <w:p w:rsidR="001E2AA9" w:rsidRPr="00AE6F64" w:rsidRDefault="001E2AA9" w:rsidP="001E2AA9">
      <w:pPr>
        <w:widowControl/>
        <w:ind w:left="5040"/>
        <w:jc w:val="both"/>
        <w:rPr>
          <w:sz w:val="24"/>
          <w:szCs w:val="24"/>
        </w:rPr>
      </w:pPr>
      <w:r w:rsidRPr="00AE6F64">
        <w:rPr>
          <w:sz w:val="24"/>
          <w:szCs w:val="24"/>
        </w:rPr>
        <w:t>____________________________________</w:t>
      </w:r>
    </w:p>
    <w:p w:rsidR="001E2AA9" w:rsidRPr="00AE6F64" w:rsidRDefault="001E2AA9" w:rsidP="001E2AA9">
      <w:pPr>
        <w:keepLines/>
        <w:widowControl/>
        <w:ind w:left="5040"/>
        <w:jc w:val="both"/>
        <w:rPr>
          <w:sz w:val="24"/>
          <w:szCs w:val="24"/>
        </w:rPr>
      </w:pPr>
      <w:r>
        <w:rPr>
          <w:sz w:val="24"/>
          <w:szCs w:val="24"/>
        </w:rPr>
        <w:t>Laurie Scott</w:t>
      </w:r>
      <w:r w:rsidRPr="00AE6F64">
        <w:rPr>
          <w:sz w:val="24"/>
          <w:szCs w:val="24"/>
        </w:rPr>
        <w:t>, City Clerk</w:t>
      </w:r>
    </w:p>
    <w:p w:rsidR="001E2AA9" w:rsidRDefault="001E2AA9" w:rsidP="001E2AA9"/>
    <w:p w:rsidR="00540CEC" w:rsidRDefault="00540CEC"/>
    <w:sectPr w:rsidR="00540CEC" w:rsidSect="00B451BF">
      <w:headerReference w:type="default" r:id="rId7"/>
      <w:footerReference w:type="default" r:id="rId8"/>
      <w:pgSz w:w="12240" w:h="15840" w:code="1"/>
      <w:pgMar w:top="153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75" w:rsidRDefault="004F7675" w:rsidP="001E2AA9">
      <w:r>
        <w:separator/>
      </w:r>
    </w:p>
  </w:endnote>
  <w:endnote w:type="continuationSeparator" w:id="0">
    <w:p w:rsidR="004F7675" w:rsidRDefault="004F7675" w:rsidP="001E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0A" w:rsidRDefault="00BE350F" w:rsidP="00B451BF">
    <w:pPr>
      <w:pStyle w:val="Footer"/>
      <w:tabs>
        <w:tab w:val="clear" w:pos="8640"/>
        <w:tab w:val="right" w:pos="9180"/>
      </w:tabs>
      <w:rPr>
        <w:rStyle w:val="PageNumber"/>
      </w:rPr>
    </w:pPr>
    <w:r>
      <w:rPr>
        <w:rStyle w:val="PageNumber"/>
      </w:rPr>
      <w:t>Resolution</w:t>
    </w:r>
    <w:r w:rsidR="00D1030A">
      <w:rPr>
        <w:rStyle w:val="PageNumber"/>
      </w:rPr>
      <w:t xml:space="preserve"> No. 201</w:t>
    </w:r>
    <w:r w:rsidR="003B0650">
      <w:rPr>
        <w:rStyle w:val="PageNumber"/>
      </w:rPr>
      <w:t>9</w:t>
    </w:r>
    <w:r w:rsidR="00D1030A">
      <w:rPr>
        <w:rStyle w:val="PageNumber"/>
      </w:rPr>
      <w:t>-XXXX</w:t>
    </w:r>
    <w:r w:rsidR="00D1030A" w:rsidRPr="00CE7395">
      <w:rPr>
        <w:rStyle w:val="PageNumber"/>
      </w:rPr>
      <w:t xml:space="preserve"> </w:t>
    </w:r>
    <w:r w:rsidR="00D1030A">
      <w:rPr>
        <w:rStyle w:val="PageNumber"/>
      </w:rPr>
      <w:tab/>
    </w:r>
    <w:r w:rsidR="00D1030A">
      <w:rPr>
        <w:rStyle w:val="PageNumber"/>
      </w:rPr>
      <w:tab/>
    </w:r>
    <w:r w:rsidR="00D1030A" w:rsidRPr="00347119">
      <w:rPr>
        <w:rStyle w:val="PageNumber"/>
      </w:rPr>
      <w:t xml:space="preserve">Page </w:t>
    </w:r>
    <w:r w:rsidR="00D1030A" w:rsidRPr="00347119">
      <w:rPr>
        <w:rStyle w:val="PageNumber"/>
      </w:rPr>
      <w:fldChar w:fldCharType="begin"/>
    </w:r>
    <w:r w:rsidR="00D1030A" w:rsidRPr="00347119">
      <w:rPr>
        <w:rStyle w:val="PageNumber"/>
      </w:rPr>
      <w:instrText xml:space="preserve"> PAGE </w:instrText>
    </w:r>
    <w:r w:rsidR="00D1030A" w:rsidRPr="00347119">
      <w:rPr>
        <w:rStyle w:val="PageNumber"/>
      </w:rPr>
      <w:fldChar w:fldCharType="separate"/>
    </w:r>
    <w:r w:rsidR="009839B3">
      <w:rPr>
        <w:rStyle w:val="PageNumber"/>
        <w:noProof/>
      </w:rPr>
      <w:t>1</w:t>
    </w:r>
    <w:r w:rsidR="00D1030A" w:rsidRPr="00347119">
      <w:rPr>
        <w:rStyle w:val="PageNumber"/>
      </w:rPr>
      <w:fldChar w:fldCharType="end"/>
    </w:r>
    <w:r w:rsidR="00D1030A" w:rsidRPr="00347119">
      <w:rPr>
        <w:rStyle w:val="PageNumber"/>
      </w:rPr>
      <w:t xml:space="preserve"> of </w:t>
    </w:r>
    <w:r w:rsidR="00D1030A" w:rsidRPr="00347119">
      <w:rPr>
        <w:rStyle w:val="PageNumber"/>
      </w:rPr>
      <w:fldChar w:fldCharType="begin"/>
    </w:r>
    <w:r w:rsidR="00D1030A" w:rsidRPr="00347119">
      <w:rPr>
        <w:rStyle w:val="PageNumber"/>
      </w:rPr>
      <w:instrText xml:space="preserve"> NUMPAGES </w:instrText>
    </w:r>
    <w:r w:rsidR="00D1030A" w:rsidRPr="00347119">
      <w:rPr>
        <w:rStyle w:val="PageNumber"/>
      </w:rPr>
      <w:fldChar w:fldCharType="separate"/>
    </w:r>
    <w:r w:rsidR="009839B3">
      <w:rPr>
        <w:rStyle w:val="PageNumber"/>
        <w:noProof/>
      </w:rPr>
      <w:t>3</w:t>
    </w:r>
    <w:r w:rsidR="00D1030A" w:rsidRPr="00347119">
      <w:rPr>
        <w:rStyle w:val="PageNumber"/>
      </w:rPr>
      <w:fldChar w:fldCharType="end"/>
    </w:r>
  </w:p>
  <w:p w:rsidR="00D1030A" w:rsidRPr="00347119" w:rsidRDefault="00D1030A" w:rsidP="00B451BF">
    <w:pPr>
      <w:pStyle w:val="Footer"/>
      <w:tabs>
        <w:tab w:val="clear" w:pos="8640"/>
        <w:tab w:val="right" w:pos="9180"/>
      </w:tabs>
      <w:rPr>
        <w:rStyle w:val="PageNumber"/>
      </w:rPr>
    </w:pPr>
    <w:r w:rsidRPr="00347119">
      <w:rPr>
        <w:rStyle w:val="PageNumber"/>
      </w:rPr>
      <w:tab/>
    </w:r>
    <w:r w:rsidRPr="00347119">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75" w:rsidRDefault="004F7675" w:rsidP="001E2AA9">
      <w:r>
        <w:separator/>
      </w:r>
    </w:p>
  </w:footnote>
  <w:footnote w:type="continuationSeparator" w:id="0">
    <w:p w:rsidR="004F7675" w:rsidRDefault="004F7675" w:rsidP="001E2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66130"/>
      <w:docPartObj>
        <w:docPartGallery w:val="Watermarks"/>
        <w:docPartUnique/>
      </w:docPartObj>
    </w:sdtPr>
    <w:sdtEndPr/>
    <w:sdtContent>
      <w:p w:rsidR="00D1030A" w:rsidRDefault="009839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F6D"/>
    <w:multiLevelType w:val="hybridMultilevel"/>
    <w:tmpl w:val="6EE846A0"/>
    <w:lvl w:ilvl="0" w:tplc="AC9670D0">
      <w:start w:val="1"/>
      <w:numFmt w:val="lowerLetter"/>
      <w:lvlText w:val="(%1)"/>
      <w:lvlJc w:val="left"/>
      <w:pPr>
        <w:ind w:left="1080" w:hanging="360"/>
      </w:pPr>
      <w:rPr>
        <w:rFonts w:hint="default"/>
      </w:rPr>
    </w:lvl>
    <w:lvl w:ilvl="1" w:tplc="B9F0C188">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776DE6"/>
    <w:multiLevelType w:val="hybridMultilevel"/>
    <w:tmpl w:val="7F4CE9A0"/>
    <w:lvl w:ilvl="0" w:tplc="52506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A9"/>
    <w:rsid w:val="00010EEA"/>
    <w:rsid w:val="000406AF"/>
    <w:rsid w:val="00042640"/>
    <w:rsid w:val="00057B44"/>
    <w:rsid w:val="00084384"/>
    <w:rsid w:val="000C6935"/>
    <w:rsid w:val="00133C0B"/>
    <w:rsid w:val="00137585"/>
    <w:rsid w:val="00141F5D"/>
    <w:rsid w:val="001A3041"/>
    <w:rsid w:val="001A6801"/>
    <w:rsid w:val="001D4893"/>
    <w:rsid w:val="001E2AA9"/>
    <w:rsid w:val="00213ABC"/>
    <w:rsid w:val="002B4BC3"/>
    <w:rsid w:val="002C780D"/>
    <w:rsid w:val="00300CAB"/>
    <w:rsid w:val="0031504D"/>
    <w:rsid w:val="003200BC"/>
    <w:rsid w:val="00321256"/>
    <w:rsid w:val="00327824"/>
    <w:rsid w:val="0035452E"/>
    <w:rsid w:val="003B0650"/>
    <w:rsid w:val="003C7817"/>
    <w:rsid w:val="003D51A9"/>
    <w:rsid w:val="00411857"/>
    <w:rsid w:val="00416680"/>
    <w:rsid w:val="00475FFE"/>
    <w:rsid w:val="00481B4D"/>
    <w:rsid w:val="00482D8F"/>
    <w:rsid w:val="004B26FE"/>
    <w:rsid w:val="004B27DD"/>
    <w:rsid w:val="004B6FB2"/>
    <w:rsid w:val="004C5700"/>
    <w:rsid w:val="004F7675"/>
    <w:rsid w:val="005138A1"/>
    <w:rsid w:val="00540CEC"/>
    <w:rsid w:val="00560194"/>
    <w:rsid w:val="0056304D"/>
    <w:rsid w:val="005F10C7"/>
    <w:rsid w:val="0062200F"/>
    <w:rsid w:val="006330A9"/>
    <w:rsid w:val="006749D0"/>
    <w:rsid w:val="006E1C6F"/>
    <w:rsid w:val="006E5492"/>
    <w:rsid w:val="006F0BAF"/>
    <w:rsid w:val="006F2535"/>
    <w:rsid w:val="0073196A"/>
    <w:rsid w:val="007319A1"/>
    <w:rsid w:val="0074628F"/>
    <w:rsid w:val="00746802"/>
    <w:rsid w:val="00751F0D"/>
    <w:rsid w:val="0077301F"/>
    <w:rsid w:val="00797A24"/>
    <w:rsid w:val="007F00D8"/>
    <w:rsid w:val="00817118"/>
    <w:rsid w:val="008A056C"/>
    <w:rsid w:val="008A1F23"/>
    <w:rsid w:val="008D13C6"/>
    <w:rsid w:val="008D544A"/>
    <w:rsid w:val="008D7006"/>
    <w:rsid w:val="008E4246"/>
    <w:rsid w:val="008F4A0A"/>
    <w:rsid w:val="00963A38"/>
    <w:rsid w:val="00974254"/>
    <w:rsid w:val="009839B3"/>
    <w:rsid w:val="009876C6"/>
    <w:rsid w:val="00987774"/>
    <w:rsid w:val="009B10A3"/>
    <w:rsid w:val="009C5FB4"/>
    <w:rsid w:val="00A361C0"/>
    <w:rsid w:val="00AA1FFD"/>
    <w:rsid w:val="00AB008B"/>
    <w:rsid w:val="00AD4435"/>
    <w:rsid w:val="00AE4F20"/>
    <w:rsid w:val="00B00F4D"/>
    <w:rsid w:val="00B05605"/>
    <w:rsid w:val="00B2102D"/>
    <w:rsid w:val="00B344B9"/>
    <w:rsid w:val="00B451BF"/>
    <w:rsid w:val="00B456CB"/>
    <w:rsid w:val="00B7036E"/>
    <w:rsid w:val="00B9075A"/>
    <w:rsid w:val="00BD0987"/>
    <w:rsid w:val="00BE350F"/>
    <w:rsid w:val="00C20FC3"/>
    <w:rsid w:val="00C221E4"/>
    <w:rsid w:val="00C367A2"/>
    <w:rsid w:val="00C4628F"/>
    <w:rsid w:val="00C503C7"/>
    <w:rsid w:val="00D1030A"/>
    <w:rsid w:val="00D358B0"/>
    <w:rsid w:val="00D45526"/>
    <w:rsid w:val="00D54FE6"/>
    <w:rsid w:val="00DA7D1B"/>
    <w:rsid w:val="00E1332E"/>
    <w:rsid w:val="00E310D3"/>
    <w:rsid w:val="00EC3DEC"/>
    <w:rsid w:val="00EC7FB2"/>
    <w:rsid w:val="00F208DA"/>
    <w:rsid w:val="00F40EF1"/>
    <w:rsid w:val="00F554B1"/>
    <w:rsid w:val="00F750F8"/>
    <w:rsid w:val="00FB22F0"/>
    <w:rsid w:val="00FB3E37"/>
    <w:rsid w:val="00FC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82F675-831C-44F3-AD4E-86F9C36E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A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A9"/>
    <w:pPr>
      <w:widowControl/>
      <w:autoSpaceDE/>
      <w:autoSpaceDN/>
      <w:adjustRightInd/>
      <w:ind w:left="720"/>
      <w:contextualSpacing/>
    </w:pPr>
    <w:rPr>
      <w:rFonts w:eastAsiaTheme="minorEastAsia" w:cstheme="minorBidi"/>
      <w:sz w:val="24"/>
      <w:szCs w:val="22"/>
    </w:rPr>
  </w:style>
  <w:style w:type="paragraph" w:styleId="Footer">
    <w:name w:val="footer"/>
    <w:basedOn w:val="Normal"/>
    <w:link w:val="FooterChar"/>
    <w:rsid w:val="001E2AA9"/>
    <w:pPr>
      <w:tabs>
        <w:tab w:val="center" w:pos="4320"/>
        <w:tab w:val="right" w:pos="8640"/>
      </w:tabs>
    </w:pPr>
  </w:style>
  <w:style w:type="character" w:customStyle="1" w:styleId="FooterChar">
    <w:name w:val="Footer Char"/>
    <w:basedOn w:val="DefaultParagraphFont"/>
    <w:link w:val="Footer"/>
    <w:rsid w:val="001E2AA9"/>
    <w:rPr>
      <w:rFonts w:ascii="Times New Roman" w:eastAsia="Times New Roman" w:hAnsi="Times New Roman" w:cs="Times New Roman"/>
      <w:sz w:val="20"/>
      <w:szCs w:val="20"/>
    </w:rPr>
  </w:style>
  <w:style w:type="character" w:styleId="PageNumber">
    <w:name w:val="page number"/>
    <w:basedOn w:val="DefaultParagraphFont"/>
    <w:rsid w:val="001E2AA9"/>
  </w:style>
  <w:style w:type="paragraph" w:styleId="Header">
    <w:name w:val="header"/>
    <w:basedOn w:val="Normal"/>
    <w:link w:val="HeaderChar"/>
    <w:rsid w:val="001E2AA9"/>
    <w:pPr>
      <w:tabs>
        <w:tab w:val="center" w:pos="4320"/>
        <w:tab w:val="right" w:pos="8640"/>
      </w:tabs>
    </w:pPr>
  </w:style>
  <w:style w:type="character" w:customStyle="1" w:styleId="HeaderChar">
    <w:name w:val="Header Char"/>
    <w:basedOn w:val="DefaultParagraphFont"/>
    <w:link w:val="Header"/>
    <w:rsid w:val="001E2AA9"/>
    <w:rPr>
      <w:rFonts w:ascii="Times New Roman" w:eastAsia="Times New Roman" w:hAnsi="Times New Roman" w:cs="Times New Roman"/>
      <w:sz w:val="20"/>
      <w:szCs w:val="20"/>
    </w:rPr>
  </w:style>
  <w:style w:type="paragraph" w:customStyle="1" w:styleId="Default">
    <w:name w:val="Default"/>
    <w:rsid w:val="001E2AA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E2AA9"/>
  </w:style>
  <w:style w:type="character" w:customStyle="1" w:styleId="FootnoteTextChar">
    <w:name w:val="Footnote Text Char"/>
    <w:basedOn w:val="DefaultParagraphFont"/>
    <w:link w:val="FootnoteText"/>
    <w:uiPriority w:val="99"/>
    <w:semiHidden/>
    <w:rsid w:val="001E2A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2AA9"/>
    <w:rPr>
      <w:vertAlign w:val="superscript"/>
    </w:rPr>
  </w:style>
  <w:style w:type="table" w:styleId="TableGrid">
    <w:name w:val="Table Grid"/>
    <w:basedOn w:val="TableNormal"/>
    <w:uiPriority w:val="39"/>
    <w:rsid w:val="00DA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Erdelyi</dc:creator>
  <cp:keywords/>
  <dc:description/>
  <cp:lastModifiedBy>Denise C. May</cp:lastModifiedBy>
  <cp:revision>2</cp:revision>
  <dcterms:created xsi:type="dcterms:W3CDTF">2019-04-11T21:33:00Z</dcterms:created>
  <dcterms:modified xsi:type="dcterms:W3CDTF">2019-04-11T21:33:00Z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