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ED1" w14:textId="77777777" w:rsidR="0012178C" w:rsidRDefault="009C2F87">
      <w:pPr>
        <w:spacing w:before="240" w:after="160"/>
      </w:pPr>
      <w:r>
        <w:t>Dear House and Senate Appropriations Chairs and Members:</w:t>
      </w:r>
    </w:p>
    <w:p w14:paraId="7E70E01E" w14:textId="437C4DDD" w:rsidR="0012178C" w:rsidRDefault="009C2F87">
      <w:pPr>
        <w:spacing w:before="240" w:after="160"/>
      </w:pPr>
      <w:r>
        <w:t xml:space="preserve">We are writing to express our concern with President Trump’s proposed </w:t>
      </w:r>
      <w:r w:rsidR="0094277B">
        <w:t xml:space="preserve">discretionary </w:t>
      </w:r>
      <w:r>
        <w:t>budget for the Department of Health and Human Services for fiscal year 2026</w:t>
      </w:r>
      <w:r w:rsidR="009814F6">
        <w:t>.</w:t>
      </w:r>
      <w:r>
        <w:t xml:space="preserve"> </w:t>
      </w:r>
      <w:r w:rsidR="009814F6">
        <w:t xml:space="preserve"> The budget would</w:t>
      </w:r>
      <w:r>
        <w:t xml:space="preserve"> eliminate the Center for Disease Control’s National Center for Chronic Diseases Prevention and Health Promotion</w:t>
      </w:r>
      <w:r w:rsidR="00BA3197">
        <w:t xml:space="preserve">. </w:t>
      </w:r>
      <w:r>
        <w:t xml:space="preserve"> </w:t>
      </w:r>
    </w:p>
    <w:p w14:paraId="4B52E7F1" w14:textId="0464AF03" w:rsidR="0012178C" w:rsidRDefault="009C2F87">
      <w:pPr>
        <w:spacing w:before="240" w:after="160"/>
      </w:pPr>
      <w:r>
        <w:t xml:space="preserve">The elimination of the National Center for Chronic Diseases Prevention and Health Promotion </w:t>
      </w:r>
      <w:r w:rsidR="0094277B">
        <w:t xml:space="preserve">(NCCDPHP) </w:t>
      </w:r>
      <w:r>
        <w:t xml:space="preserve">would be detrimental to the public health infrastructure and would undermine the administration’s objective </w:t>
      </w:r>
      <w:r w:rsidR="0094277B">
        <w:t xml:space="preserve">of </w:t>
      </w:r>
      <w:r>
        <w:t>reduc</w:t>
      </w:r>
      <w:r w:rsidR="0094277B">
        <w:t>ing</w:t>
      </w:r>
      <w:r>
        <w:t xml:space="preserve"> chronic disease in the U.S. and </w:t>
      </w:r>
      <w:r w:rsidR="0094277B">
        <w:t xml:space="preserve">its efforts to </w:t>
      </w:r>
      <w:r>
        <w:t xml:space="preserve">address the diabetes epidemic. The National Center for Chronic Disease Prevention and Health Promotion oversees the operation of nine chronic disease divisions including the Division of Nutrition, Physical Activity, and Obesity (DNPAO). The DNPAO focuses on obesity prevention and treatment through identification </w:t>
      </w:r>
      <w:r w:rsidR="00BA3197">
        <w:t xml:space="preserve">and implementation </w:t>
      </w:r>
      <w:r>
        <w:t>of evidence-based interventions</w:t>
      </w:r>
      <w:r w:rsidR="00BA3197">
        <w:t xml:space="preserve">, </w:t>
      </w:r>
      <w:r>
        <w:t>quality standards</w:t>
      </w:r>
      <w:r w:rsidR="00BA3197">
        <w:t>, and epidemiologic surveillance of chronic diseases.</w:t>
      </w:r>
      <w:r>
        <w:t xml:space="preserve"> </w:t>
      </w:r>
    </w:p>
    <w:p w14:paraId="4698EAEE" w14:textId="6A1FD39D" w:rsidR="0012178C" w:rsidRDefault="009C2F87">
      <w:pPr>
        <w:spacing w:before="240" w:after="160"/>
      </w:pPr>
      <w:r>
        <w:t xml:space="preserve">DNPAO is critical to addressing obesity disease prevention and treatment. Good nutrition and adequate physical activity improve health across the lifespan by supporting optimal growth and development in children, reducing the </w:t>
      </w:r>
      <w:r w:rsidR="00BA3197">
        <w:t xml:space="preserve">possibility of </w:t>
      </w:r>
      <w:r w:rsidR="000637C0">
        <w:t>developing costly</w:t>
      </w:r>
      <w:r>
        <w:t xml:space="preserve"> chronic diseases</w:t>
      </w:r>
      <w:r w:rsidR="00BA3197">
        <w:t xml:space="preserve"> that can increase premature mortality.</w:t>
      </w:r>
      <w:r w:rsidR="000637C0">
        <w:t xml:space="preserve"> </w:t>
      </w:r>
      <w:r>
        <w:t>Yet, few Americans meet recommendations for a healthy diet or adequate physical activity, and many suffer chronic diseases and related health consequences. </w:t>
      </w:r>
    </w:p>
    <w:p w14:paraId="73799941" w14:textId="5A2863FE" w:rsidR="0012178C" w:rsidRDefault="009C2F87">
      <w:pPr>
        <w:spacing w:before="240" w:after="160"/>
      </w:pPr>
      <w:r>
        <w:t xml:space="preserve">DNPAO provides national guidance, training, and data tools that </w:t>
      </w:r>
      <w:r w:rsidR="00BA3197">
        <w:t>millions</w:t>
      </w:r>
      <w:r w:rsidR="000637C0">
        <w:t xml:space="preserve"> of </w:t>
      </w:r>
      <w:r>
        <w:t>health professionals rely on. Below are some of the many programs, research</w:t>
      </w:r>
      <w:r w:rsidR="009814F6">
        <w:t>,</w:t>
      </w:r>
      <w:r>
        <w:t xml:space="preserve"> and data that DNPAO supports that would be eliminated if the DNPAO was no longer funded:</w:t>
      </w:r>
    </w:p>
    <w:p w14:paraId="7D967054" w14:textId="77777777" w:rsidR="0094277B" w:rsidRDefault="0094277B" w:rsidP="00ED7AD5">
      <w:pPr>
        <w:numPr>
          <w:ilvl w:val="0"/>
          <w:numId w:val="1"/>
        </w:numPr>
        <w:pBdr>
          <w:left w:val="none" w:sz="0" w:space="3" w:color="auto"/>
        </w:pBdr>
        <w:ind w:left="360"/>
        <w:rPr>
          <w:rFonts w:ascii="Times New Roman" w:eastAsia="Times New Roman" w:hAnsi="Times New Roman" w:cs="Times New Roman"/>
        </w:rPr>
      </w:pPr>
      <w:r>
        <w:rPr>
          <w:b/>
          <w:bCs/>
        </w:rPr>
        <w:t>CDC growth charts</w:t>
      </w:r>
      <w:r>
        <w:t>. DNPAO implements and disseminates the CDC growth charts used by pediatricians at every visit to track all children’s growth over time and help kids grow up healthy. Tracking growth is an essential part of every well-child visit that can provide an early warning if a child has a medical problem. </w:t>
      </w:r>
    </w:p>
    <w:p w14:paraId="1AF948ED" w14:textId="3F5D0F25" w:rsidR="0012178C" w:rsidRDefault="009C2F87" w:rsidP="00ED7AD5">
      <w:pPr>
        <w:numPr>
          <w:ilvl w:val="0"/>
          <w:numId w:val="1"/>
        </w:numPr>
        <w:pBdr>
          <w:left w:val="none" w:sz="0" w:space="3" w:color="auto"/>
        </w:pBdr>
        <w:ind w:left="360"/>
        <w:rPr>
          <w:rFonts w:ascii="Times New Roman" w:eastAsia="Times New Roman" w:hAnsi="Times New Roman" w:cs="Times New Roman"/>
        </w:rPr>
      </w:pPr>
      <w:r>
        <w:rPr>
          <w:b/>
          <w:bCs/>
        </w:rPr>
        <w:t>The CDC BMI Calculators</w:t>
      </w:r>
      <w:r>
        <w:t>. The BMI Calculator is one of the most trusted CDC tools, used by more than 1 million individuals every month. Without it, the US will lose a simple</w:t>
      </w:r>
      <w:r w:rsidR="00BA3197">
        <w:t xml:space="preserve"> and cost-</w:t>
      </w:r>
      <w:r w:rsidR="000637C0">
        <w:t>effective way</w:t>
      </w:r>
      <w:r>
        <w:t xml:space="preserve"> to assess health risk—making it harder to take action before serious problems develop.  </w:t>
      </w:r>
    </w:p>
    <w:p w14:paraId="686F7EBE" w14:textId="141807C7" w:rsidR="0012178C" w:rsidRDefault="009C2F87">
      <w:pPr>
        <w:numPr>
          <w:ilvl w:val="0"/>
          <w:numId w:val="1"/>
        </w:numPr>
        <w:pBdr>
          <w:left w:val="none" w:sz="0" w:space="3" w:color="auto"/>
        </w:pBdr>
        <w:ind w:left="360" w:hanging="366"/>
        <w:rPr>
          <w:rFonts w:ascii="Times New Roman" w:eastAsia="Times New Roman" w:hAnsi="Times New Roman" w:cs="Times New Roman"/>
        </w:rPr>
      </w:pPr>
      <w:r>
        <w:rPr>
          <w:b/>
          <w:bCs/>
        </w:rPr>
        <w:t>Annual Obesity Maps.</w:t>
      </w:r>
      <w:r>
        <w:t xml:space="preserve"> DNPAO’s annual obesity maps help the U.S. track the burden of obesity as a disease</w:t>
      </w:r>
      <w:r w:rsidR="0094277B">
        <w:t xml:space="preserve"> over time</w:t>
      </w:r>
      <w:r>
        <w:t xml:space="preserve">. </w:t>
      </w:r>
      <w:r w:rsidR="0094277B">
        <w:t xml:space="preserve">These maps </w:t>
      </w:r>
      <w:r>
        <w:t xml:space="preserve">track </w:t>
      </w:r>
      <w:r w:rsidR="0094277B">
        <w:t>obesity prevalence</w:t>
      </w:r>
      <w:r>
        <w:t xml:space="preserve">, </w:t>
      </w:r>
      <w:r w:rsidR="0094277B">
        <w:t>associated health problems and the cost to individuals, families and the health care system.</w:t>
      </w:r>
      <w:r w:rsidR="009814F6">
        <w:t xml:space="preserve"> </w:t>
      </w:r>
      <w:r w:rsidR="0094277B">
        <w:t>Many</w:t>
      </w:r>
      <w:r>
        <w:t xml:space="preserve"> </w:t>
      </w:r>
      <w:r>
        <w:lastRenderedPageBreak/>
        <w:t xml:space="preserve">states rely solely on </w:t>
      </w:r>
      <w:r w:rsidR="0094277B">
        <w:t xml:space="preserve">this </w:t>
      </w:r>
      <w:r>
        <w:t xml:space="preserve">data to describe the burden of obesity and inform decision-making. Without the </w:t>
      </w:r>
      <w:r w:rsidR="0094277B">
        <w:t>obesity prevalence data</w:t>
      </w:r>
      <w:r>
        <w:t xml:space="preserve">, states, healthcare providers, and others would lose a trusted </w:t>
      </w:r>
      <w:r w:rsidR="000637C0">
        <w:t>tool to</w:t>
      </w:r>
      <w:r>
        <w:t xml:space="preserve"> see where </w:t>
      </w:r>
      <w:r w:rsidR="0094277B">
        <w:t xml:space="preserve">and how </w:t>
      </w:r>
      <w:r>
        <w:t>the obesity problem is growing—and how to respond.</w:t>
      </w:r>
    </w:p>
    <w:p w14:paraId="6EEF30CE" w14:textId="77777777" w:rsidR="0012178C" w:rsidRDefault="009C2F87">
      <w:pPr>
        <w:numPr>
          <w:ilvl w:val="0"/>
          <w:numId w:val="1"/>
        </w:numPr>
        <w:pBdr>
          <w:left w:val="none" w:sz="0" w:space="3" w:color="auto"/>
        </w:pBdr>
        <w:ind w:left="360" w:hanging="366"/>
        <w:rPr>
          <w:rFonts w:ascii="Times New Roman" w:eastAsia="Times New Roman" w:hAnsi="Times New Roman" w:cs="Times New Roman"/>
        </w:rPr>
      </w:pPr>
      <w:r>
        <w:rPr>
          <w:b/>
          <w:bCs/>
        </w:rPr>
        <w:t>Access to nutritious food for infants and children</w:t>
      </w:r>
      <w:r>
        <w:t xml:space="preserve">. DNPAO funding provides access to: </w:t>
      </w:r>
    </w:p>
    <w:p w14:paraId="4611D9F2" w14:textId="41928534" w:rsidR="008F780C" w:rsidRPr="008F780C" w:rsidRDefault="008F780C" w:rsidP="008F780C">
      <w:pPr>
        <w:pStyle w:val="ListParagraph"/>
        <w:numPr>
          <w:ilvl w:val="0"/>
          <w:numId w:val="2"/>
        </w:numPr>
      </w:pPr>
      <w:r w:rsidRPr="008F780C">
        <w:t>produce prescription programs that give patients free or discounted fruits and veg</w:t>
      </w:r>
      <w:r w:rsidR="00BC3320">
        <w:t>etables</w:t>
      </w:r>
      <w:r w:rsidRPr="008F780C">
        <w:t xml:space="preserve"> to manage their health; </w:t>
      </w:r>
    </w:p>
    <w:p w14:paraId="7BF37435" w14:textId="2CDF121F" w:rsidR="0012178C" w:rsidRDefault="009C2F87">
      <w:pPr>
        <w:numPr>
          <w:ilvl w:val="0"/>
          <w:numId w:val="2"/>
        </w:numPr>
        <w:pBdr>
          <w:left w:val="none" w:sz="0" w:space="7" w:color="auto"/>
        </w:pBdr>
        <w:ind w:left="1080" w:hanging="436"/>
        <w:rPr>
          <w:rFonts w:ascii="Times New Roman" w:eastAsia="Times New Roman" w:hAnsi="Times New Roman" w:cs="Times New Roman"/>
        </w:rPr>
      </w:pPr>
      <w:r>
        <w:t>programs that provide childcare centers with fresh food grown by local farmers;</w:t>
      </w:r>
      <w:r w:rsidR="000637C0">
        <w:t xml:space="preserve"> and</w:t>
      </w:r>
    </w:p>
    <w:p w14:paraId="45BE1D2C" w14:textId="77777777" w:rsidR="0012178C" w:rsidRDefault="009C2F87">
      <w:pPr>
        <w:numPr>
          <w:ilvl w:val="0"/>
          <w:numId w:val="2"/>
        </w:numPr>
        <w:pBdr>
          <w:left w:val="none" w:sz="0" w:space="7" w:color="auto"/>
        </w:pBdr>
        <w:ind w:left="1080" w:hanging="436"/>
        <w:rPr>
          <w:rFonts w:ascii="Times New Roman" w:eastAsia="Times New Roman" w:hAnsi="Times New Roman" w:cs="Times New Roman"/>
        </w:rPr>
      </w:pPr>
      <w:r>
        <w:t>breastfeeding support in hospitals for mothers and infants, a practice that prevents serious infections, asthma, and obesity.</w:t>
      </w:r>
    </w:p>
    <w:p w14:paraId="29720E02" w14:textId="77777777" w:rsidR="0012178C" w:rsidRDefault="009C2F87">
      <w:pPr>
        <w:numPr>
          <w:ilvl w:val="0"/>
          <w:numId w:val="3"/>
        </w:numPr>
        <w:pBdr>
          <w:left w:val="none" w:sz="0" w:space="3" w:color="auto"/>
        </w:pBdr>
        <w:ind w:left="360" w:hanging="366"/>
        <w:rPr>
          <w:rFonts w:ascii="Times New Roman" w:eastAsia="Times New Roman" w:hAnsi="Times New Roman" w:cs="Times New Roman"/>
        </w:rPr>
      </w:pPr>
      <w:r>
        <w:rPr>
          <w:b/>
          <w:bCs/>
        </w:rPr>
        <w:t>Proven prevention and lifestyle programs</w:t>
      </w:r>
      <w:r>
        <w:t>. DNPAO funding provides support for:</w:t>
      </w:r>
    </w:p>
    <w:p w14:paraId="17902138" w14:textId="4466323E" w:rsidR="0012178C" w:rsidRDefault="009C2F87">
      <w:pPr>
        <w:numPr>
          <w:ilvl w:val="0"/>
          <w:numId w:val="4"/>
        </w:numPr>
        <w:pBdr>
          <w:left w:val="none" w:sz="0" w:space="7" w:color="auto"/>
        </w:pBdr>
        <w:ind w:left="1080" w:hanging="436"/>
        <w:rPr>
          <w:rFonts w:ascii="Times New Roman" w:eastAsia="Times New Roman" w:hAnsi="Times New Roman" w:cs="Times New Roman"/>
        </w:rPr>
      </w:pPr>
      <w:r>
        <w:rPr>
          <w:u w:val="single"/>
        </w:rPr>
        <w:t>Family Healthy Weight Programs</w:t>
      </w:r>
      <w:r>
        <w:t xml:space="preserve">, a proven chronic disease prevention and lifestyle program for millions of kids with excess weight. This includes a national list of effective family lifestyle prevention programs that are readily available for healthcare </w:t>
      </w:r>
      <w:r w:rsidR="000637C0">
        <w:t>providers to</w:t>
      </w:r>
      <w:r>
        <w:t xml:space="preserve"> refer patients to and payers to cover.</w:t>
      </w:r>
      <w:r w:rsidR="0094277B">
        <w:t xml:space="preserve"> DNPAO funds state and local programs across the U.S. to implement the family health weight programs. These funds would be lost and programs ended. </w:t>
      </w:r>
    </w:p>
    <w:p w14:paraId="0F57278E" w14:textId="7F9EE2D6" w:rsidR="0012178C" w:rsidRPr="00886935" w:rsidRDefault="009C2F87">
      <w:pPr>
        <w:numPr>
          <w:ilvl w:val="0"/>
          <w:numId w:val="4"/>
        </w:numPr>
        <w:pBdr>
          <w:left w:val="none" w:sz="0" w:space="7" w:color="auto"/>
        </w:pBdr>
        <w:spacing w:after="160"/>
        <w:ind w:left="1080" w:hanging="436"/>
        <w:rPr>
          <w:rFonts w:ascii="Times New Roman" w:eastAsia="Times New Roman" w:hAnsi="Times New Roman" w:cs="Times New Roman"/>
        </w:rPr>
      </w:pPr>
      <w:r>
        <w:rPr>
          <w:u w:val="single"/>
        </w:rPr>
        <w:t>Federally Qualified Health Centers (FQHCs)</w:t>
      </w:r>
      <w:r>
        <w:t xml:space="preserve"> to run, sustain, and improve obesity prevention programs that make a real difference in people’s lives. Without this support, healthcare providers in FQHCs would lose critical infrastructure to provide evidence-based obesity prevention programs. </w:t>
      </w:r>
      <w:r w:rsidR="00D72E5E">
        <w:t xml:space="preserve">FQHCs </w:t>
      </w:r>
      <w:r w:rsidR="00D72E5E" w:rsidRPr="00D72E5E">
        <w:t xml:space="preserve">play a vital role in providing healthcare to </w:t>
      </w:r>
      <w:r w:rsidR="00EC2EDB">
        <w:t xml:space="preserve">children and </w:t>
      </w:r>
      <w:r w:rsidR="00D72E5E" w:rsidRPr="00D72E5E">
        <w:t>older adults</w:t>
      </w:r>
      <w:r w:rsidR="00D72E5E">
        <w:t xml:space="preserve"> and support evidence-based health promotion programs. They are seen as “safety net providers”, responsible for getting care to the nation’s most vulnerable populations.</w:t>
      </w:r>
    </w:p>
    <w:p w14:paraId="2B301A73" w14:textId="19BD6177" w:rsidR="00886935" w:rsidRPr="00886935" w:rsidRDefault="00886935" w:rsidP="00886935">
      <w:pPr>
        <w:numPr>
          <w:ilvl w:val="0"/>
          <w:numId w:val="4"/>
        </w:numPr>
        <w:pBdr>
          <w:left w:val="none" w:sz="0" w:space="7" w:color="auto"/>
        </w:pBdr>
        <w:spacing w:after="160"/>
        <w:ind w:left="1080" w:hanging="436"/>
        <w:rPr>
          <w:rFonts w:eastAsia="Times New Roman" w:cs="Times New Roman"/>
        </w:rPr>
      </w:pPr>
      <w:r w:rsidRPr="00886935">
        <w:rPr>
          <w:rFonts w:eastAsia="Times New Roman" w:cs="Times New Roman"/>
          <w:u w:val="single"/>
        </w:rPr>
        <w:t>State Physical Activity and Nutrition (SPAN), High Obesity Program (HOP) and Racial and Ethnic Approaches to Community Health (REACH</w:t>
      </w:r>
      <w:r>
        <w:rPr>
          <w:rFonts w:eastAsia="Times New Roman" w:cs="Times New Roman"/>
        </w:rPr>
        <w:t xml:space="preserve">), all programs to reduce the risk of chronic disease. </w:t>
      </w:r>
      <w:r w:rsidRPr="00886935">
        <w:rPr>
          <w:rFonts w:eastAsia="Times New Roman" w:cs="Times New Roman"/>
        </w:rPr>
        <w:t xml:space="preserve">In 2023, CDC funded 17 states, 50 communities and tribal organizations, and 16 land grant universities </w:t>
      </w:r>
      <w:r>
        <w:rPr>
          <w:rFonts w:eastAsia="Times New Roman" w:cs="Times New Roman"/>
        </w:rPr>
        <w:t xml:space="preserve">through these three programs, which </w:t>
      </w:r>
      <w:r w:rsidRPr="00886935">
        <w:rPr>
          <w:rFonts w:eastAsia="Times New Roman" w:cs="Times New Roman"/>
        </w:rPr>
        <w:t xml:space="preserve">focus on proven strategies to improve nutrition and physical activity, reduce health disparities, and advance the nation’s chronic disease prevention efforts. </w:t>
      </w:r>
    </w:p>
    <w:p w14:paraId="1D952DA2" w14:textId="6D9951C8" w:rsidR="0012178C" w:rsidRDefault="000637C0" w:rsidP="000637C0">
      <w:pPr>
        <w:spacing w:before="240" w:after="160"/>
      </w:pPr>
      <w:r w:rsidRPr="000637C0">
        <w:t xml:space="preserve">Obesity rates will continue to rise.  The Administration’s goal of reducing chronic disease by improving and increasing physical activity and nutrition will be thwarted without the work of the DNPAO. We strongly encourage you to ensure that the HHS budget for 2026 </w:t>
      </w:r>
      <w:r w:rsidRPr="000637C0">
        <w:lastRenderedPageBreak/>
        <w:t>includes the continuation of DNPAO programs and data.</w:t>
      </w:r>
      <w:r>
        <w:t xml:space="preserve"> </w:t>
      </w:r>
      <w:r w:rsidR="009C2F87">
        <w:t>These programs are evidence-based and vital to the health of the nation. Given the administration’s focus on addressing chronic diseases, we need these programs now more than ever. The DNPAO must remain intact as part of the Department of Health and Human Services.</w:t>
      </w:r>
    </w:p>
    <w:p w14:paraId="7F04586B" w14:textId="77777777" w:rsidR="0012178C" w:rsidRDefault="009C2F87">
      <w:pPr>
        <w:spacing w:before="240" w:after="160"/>
      </w:pPr>
      <w:r>
        <w:t>Sincerely,</w:t>
      </w:r>
    </w:p>
    <w:p w14:paraId="64C10664" w14:textId="77777777" w:rsidR="0012178C" w:rsidRDefault="0012178C">
      <w:pPr>
        <w:spacing w:before="240" w:after="160"/>
      </w:pPr>
    </w:p>
    <w:p w14:paraId="5C1F1E8A" w14:textId="77777777" w:rsidR="0012178C" w:rsidRDefault="0012178C">
      <w:pPr>
        <w:spacing w:before="240" w:after="160"/>
      </w:pPr>
    </w:p>
    <w:sectPr w:rsidR="0012178C">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A206EB2">
      <w:start w:val="1"/>
      <w:numFmt w:val="bullet"/>
      <w:lvlText w:val=""/>
      <w:lvlJc w:val="left"/>
      <w:pPr>
        <w:ind w:left="720" w:hanging="360"/>
      </w:pPr>
      <w:rPr>
        <w:rFonts w:ascii="Wingdings" w:hAnsi="Wingdings"/>
        <w:b w:val="0"/>
        <w:bCs w:val="0"/>
      </w:rPr>
    </w:lvl>
    <w:lvl w:ilvl="1" w:tplc="FAE82D98">
      <w:start w:val="1"/>
      <w:numFmt w:val="bullet"/>
      <w:lvlText w:val="o"/>
      <w:lvlJc w:val="left"/>
      <w:pPr>
        <w:tabs>
          <w:tab w:val="num" w:pos="1440"/>
        </w:tabs>
        <w:ind w:left="1440" w:hanging="360"/>
      </w:pPr>
      <w:rPr>
        <w:rFonts w:ascii="Courier New" w:hAnsi="Courier New"/>
      </w:rPr>
    </w:lvl>
    <w:lvl w:ilvl="2" w:tplc="A8E607C6">
      <w:start w:val="1"/>
      <w:numFmt w:val="bullet"/>
      <w:lvlText w:val=""/>
      <w:lvlJc w:val="left"/>
      <w:pPr>
        <w:tabs>
          <w:tab w:val="num" w:pos="2160"/>
        </w:tabs>
        <w:ind w:left="2160" w:hanging="360"/>
      </w:pPr>
      <w:rPr>
        <w:rFonts w:ascii="Wingdings" w:hAnsi="Wingdings"/>
      </w:rPr>
    </w:lvl>
    <w:lvl w:ilvl="3" w:tplc="B95CAE08">
      <w:start w:val="1"/>
      <w:numFmt w:val="bullet"/>
      <w:lvlText w:val=""/>
      <w:lvlJc w:val="left"/>
      <w:pPr>
        <w:tabs>
          <w:tab w:val="num" w:pos="2880"/>
        </w:tabs>
        <w:ind w:left="2880" w:hanging="360"/>
      </w:pPr>
      <w:rPr>
        <w:rFonts w:ascii="Symbol" w:hAnsi="Symbol"/>
      </w:rPr>
    </w:lvl>
    <w:lvl w:ilvl="4" w:tplc="1DFCBA5C">
      <w:start w:val="1"/>
      <w:numFmt w:val="bullet"/>
      <w:lvlText w:val="o"/>
      <w:lvlJc w:val="left"/>
      <w:pPr>
        <w:tabs>
          <w:tab w:val="num" w:pos="3600"/>
        </w:tabs>
        <w:ind w:left="3600" w:hanging="360"/>
      </w:pPr>
      <w:rPr>
        <w:rFonts w:ascii="Courier New" w:hAnsi="Courier New"/>
      </w:rPr>
    </w:lvl>
    <w:lvl w:ilvl="5" w:tplc="F20092C8">
      <w:start w:val="1"/>
      <w:numFmt w:val="bullet"/>
      <w:lvlText w:val=""/>
      <w:lvlJc w:val="left"/>
      <w:pPr>
        <w:tabs>
          <w:tab w:val="num" w:pos="4320"/>
        </w:tabs>
        <w:ind w:left="4320" w:hanging="360"/>
      </w:pPr>
      <w:rPr>
        <w:rFonts w:ascii="Wingdings" w:hAnsi="Wingdings"/>
      </w:rPr>
    </w:lvl>
    <w:lvl w:ilvl="6" w:tplc="82EE6238">
      <w:start w:val="1"/>
      <w:numFmt w:val="bullet"/>
      <w:lvlText w:val=""/>
      <w:lvlJc w:val="left"/>
      <w:pPr>
        <w:tabs>
          <w:tab w:val="num" w:pos="5040"/>
        </w:tabs>
        <w:ind w:left="5040" w:hanging="360"/>
      </w:pPr>
      <w:rPr>
        <w:rFonts w:ascii="Symbol" w:hAnsi="Symbol"/>
      </w:rPr>
    </w:lvl>
    <w:lvl w:ilvl="7" w:tplc="533C91D6">
      <w:start w:val="1"/>
      <w:numFmt w:val="bullet"/>
      <w:lvlText w:val="o"/>
      <w:lvlJc w:val="left"/>
      <w:pPr>
        <w:tabs>
          <w:tab w:val="num" w:pos="5760"/>
        </w:tabs>
        <w:ind w:left="5760" w:hanging="360"/>
      </w:pPr>
      <w:rPr>
        <w:rFonts w:ascii="Courier New" w:hAnsi="Courier New"/>
      </w:rPr>
    </w:lvl>
    <w:lvl w:ilvl="8" w:tplc="3FFAE43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11479E4">
      <w:start w:val="1"/>
      <w:numFmt w:val="bullet"/>
      <w:lvlText w:val=""/>
      <w:lvlJc w:val="left"/>
      <w:pPr>
        <w:ind w:left="1004" w:hanging="360"/>
      </w:pPr>
      <w:rPr>
        <w:rFonts w:ascii="Symbol" w:hAnsi="Symbol"/>
        <w:b w:val="0"/>
        <w:bCs w:val="0"/>
      </w:rPr>
    </w:lvl>
    <w:lvl w:ilvl="1" w:tplc="8E8050E8">
      <w:start w:val="1"/>
      <w:numFmt w:val="bullet"/>
      <w:lvlText w:val="o"/>
      <w:lvlJc w:val="left"/>
      <w:pPr>
        <w:tabs>
          <w:tab w:val="num" w:pos="1724"/>
        </w:tabs>
        <w:ind w:left="1724" w:hanging="360"/>
      </w:pPr>
      <w:rPr>
        <w:rFonts w:ascii="Courier New" w:hAnsi="Courier New"/>
      </w:rPr>
    </w:lvl>
    <w:lvl w:ilvl="2" w:tplc="6974E5D0">
      <w:start w:val="1"/>
      <w:numFmt w:val="bullet"/>
      <w:lvlText w:val=""/>
      <w:lvlJc w:val="left"/>
      <w:pPr>
        <w:tabs>
          <w:tab w:val="num" w:pos="2444"/>
        </w:tabs>
        <w:ind w:left="2444" w:hanging="360"/>
      </w:pPr>
      <w:rPr>
        <w:rFonts w:ascii="Wingdings" w:hAnsi="Wingdings"/>
      </w:rPr>
    </w:lvl>
    <w:lvl w:ilvl="3" w:tplc="F76690B2">
      <w:start w:val="1"/>
      <w:numFmt w:val="bullet"/>
      <w:lvlText w:val=""/>
      <w:lvlJc w:val="left"/>
      <w:pPr>
        <w:tabs>
          <w:tab w:val="num" w:pos="3164"/>
        </w:tabs>
        <w:ind w:left="3164" w:hanging="360"/>
      </w:pPr>
      <w:rPr>
        <w:rFonts w:ascii="Symbol" w:hAnsi="Symbol"/>
      </w:rPr>
    </w:lvl>
    <w:lvl w:ilvl="4" w:tplc="67245966">
      <w:start w:val="1"/>
      <w:numFmt w:val="bullet"/>
      <w:lvlText w:val="o"/>
      <w:lvlJc w:val="left"/>
      <w:pPr>
        <w:tabs>
          <w:tab w:val="num" w:pos="3884"/>
        </w:tabs>
        <w:ind w:left="3884" w:hanging="360"/>
      </w:pPr>
      <w:rPr>
        <w:rFonts w:ascii="Courier New" w:hAnsi="Courier New"/>
      </w:rPr>
    </w:lvl>
    <w:lvl w:ilvl="5" w:tplc="076ADFA4">
      <w:start w:val="1"/>
      <w:numFmt w:val="bullet"/>
      <w:lvlText w:val=""/>
      <w:lvlJc w:val="left"/>
      <w:pPr>
        <w:tabs>
          <w:tab w:val="num" w:pos="4604"/>
        </w:tabs>
        <w:ind w:left="4604" w:hanging="360"/>
      </w:pPr>
      <w:rPr>
        <w:rFonts w:ascii="Wingdings" w:hAnsi="Wingdings"/>
      </w:rPr>
    </w:lvl>
    <w:lvl w:ilvl="6" w:tplc="537AC4AE">
      <w:start w:val="1"/>
      <w:numFmt w:val="bullet"/>
      <w:lvlText w:val=""/>
      <w:lvlJc w:val="left"/>
      <w:pPr>
        <w:tabs>
          <w:tab w:val="num" w:pos="5324"/>
        </w:tabs>
        <w:ind w:left="5324" w:hanging="360"/>
      </w:pPr>
      <w:rPr>
        <w:rFonts w:ascii="Symbol" w:hAnsi="Symbol"/>
      </w:rPr>
    </w:lvl>
    <w:lvl w:ilvl="7" w:tplc="D0AE2858">
      <w:start w:val="1"/>
      <w:numFmt w:val="bullet"/>
      <w:lvlText w:val="o"/>
      <w:lvlJc w:val="left"/>
      <w:pPr>
        <w:tabs>
          <w:tab w:val="num" w:pos="6044"/>
        </w:tabs>
        <w:ind w:left="6044" w:hanging="360"/>
      </w:pPr>
      <w:rPr>
        <w:rFonts w:ascii="Courier New" w:hAnsi="Courier New"/>
      </w:rPr>
    </w:lvl>
    <w:lvl w:ilvl="8" w:tplc="09FEB6CC">
      <w:start w:val="1"/>
      <w:numFmt w:val="bullet"/>
      <w:lvlText w:val=""/>
      <w:lvlJc w:val="left"/>
      <w:pPr>
        <w:tabs>
          <w:tab w:val="num" w:pos="6764"/>
        </w:tabs>
        <w:ind w:left="6764" w:hanging="360"/>
      </w:pPr>
      <w:rPr>
        <w:rFonts w:ascii="Wingdings" w:hAnsi="Wingdings"/>
      </w:rPr>
    </w:lvl>
  </w:abstractNum>
  <w:abstractNum w:abstractNumId="2" w15:restartNumberingAfterBreak="0">
    <w:nsid w:val="00000003"/>
    <w:multiLevelType w:val="hybridMultilevel"/>
    <w:tmpl w:val="00000003"/>
    <w:lvl w:ilvl="0" w:tplc="509846A8">
      <w:start w:val="1"/>
      <w:numFmt w:val="bullet"/>
      <w:lvlText w:val=""/>
      <w:lvlJc w:val="left"/>
      <w:pPr>
        <w:ind w:left="720" w:hanging="360"/>
      </w:pPr>
      <w:rPr>
        <w:rFonts w:ascii="Wingdings" w:hAnsi="Wingdings"/>
        <w:b w:val="0"/>
        <w:bCs w:val="0"/>
      </w:rPr>
    </w:lvl>
    <w:lvl w:ilvl="1" w:tplc="07E63C96">
      <w:start w:val="1"/>
      <w:numFmt w:val="bullet"/>
      <w:lvlText w:val="o"/>
      <w:lvlJc w:val="left"/>
      <w:pPr>
        <w:tabs>
          <w:tab w:val="num" w:pos="1440"/>
        </w:tabs>
        <w:ind w:left="1440" w:hanging="360"/>
      </w:pPr>
      <w:rPr>
        <w:rFonts w:ascii="Courier New" w:hAnsi="Courier New"/>
      </w:rPr>
    </w:lvl>
    <w:lvl w:ilvl="2" w:tplc="B02AACF8">
      <w:start w:val="1"/>
      <w:numFmt w:val="bullet"/>
      <w:lvlText w:val=""/>
      <w:lvlJc w:val="left"/>
      <w:pPr>
        <w:tabs>
          <w:tab w:val="num" w:pos="2160"/>
        </w:tabs>
        <w:ind w:left="2160" w:hanging="360"/>
      </w:pPr>
      <w:rPr>
        <w:rFonts w:ascii="Wingdings" w:hAnsi="Wingdings"/>
      </w:rPr>
    </w:lvl>
    <w:lvl w:ilvl="3" w:tplc="30B8684A">
      <w:start w:val="1"/>
      <w:numFmt w:val="bullet"/>
      <w:lvlText w:val=""/>
      <w:lvlJc w:val="left"/>
      <w:pPr>
        <w:tabs>
          <w:tab w:val="num" w:pos="2880"/>
        </w:tabs>
        <w:ind w:left="2880" w:hanging="360"/>
      </w:pPr>
      <w:rPr>
        <w:rFonts w:ascii="Symbol" w:hAnsi="Symbol"/>
      </w:rPr>
    </w:lvl>
    <w:lvl w:ilvl="4" w:tplc="5874BB76">
      <w:start w:val="1"/>
      <w:numFmt w:val="bullet"/>
      <w:lvlText w:val="o"/>
      <w:lvlJc w:val="left"/>
      <w:pPr>
        <w:tabs>
          <w:tab w:val="num" w:pos="3600"/>
        </w:tabs>
        <w:ind w:left="3600" w:hanging="360"/>
      </w:pPr>
      <w:rPr>
        <w:rFonts w:ascii="Courier New" w:hAnsi="Courier New"/>
      </w:rPr>
    </w:lvl>
    <w:lvl w:ilvl="5" w:tplc="4C6AD6EA">
      <w:start w:val="1"/>
      <w:numFmt w:val="bullet"/>
      <w:lvlText w:val=""/>
      <w:lvlJc w:val="left"/>
      <w:pPr>
        <w:tabs>
          <w:tab w:val="num" w:pos="4320"/>
        </w:tabs>
        <w:ind w:left="4320" w:hanging="360"/>
      </w:pPr>
      <w:rPr>
        <w:rFonts w:ascii="Wingdings" w:hAnsi="Wingdings"/>
      </w:rPr>
    </w:lvl>
    <w:lvl w:ilvl="6" w:tplc="7BBC3F56">
      <w:start w:val="1"/>
      <w:numFmt w:val="bullet"/>
      <w:lvlText w:val=""/>
      <w:lvlJc w:val="left"/>
      <w:pPr>
        <w:tabs>
          <w:tab w:val="num" w:pos="5040"/>
        </w:tabs>
        <w:ind w:left="5040" w:hanging="360"/>
      </w:pPr>
      <w:rPr>
        <w:rFonts w:ascii="Symbol" w:hAnsi="Symbol"/>
      </w:rPr>
    </w:lvl>
    <w:lvl w:ilvl="7" w:tplc="57CC9924">
      <w:start w:val="1"/>
      <w:numFmt w:val="bullet"/>
      <w:lvlText w:val="o"/>
      <w:lvlJc w:val="left"/>
      <w:pPr>
        <w:tabs>
          <w:tab w:val="num" w:pos="5760"/>
        </w:tabs>
        <w:ind w:left="5760" w:hanging="360"/>
      </w:pPr>
      <w:rPr>
        <w:rFonts w:ascii="Courier New" w:hAnsi="Courier New"/>
      </w:rPr>
    </w:lvl>
    <w:lvl w:ilvl="8" w:tplc="A50C4E9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6D4535C">
      <w:start w:val="1"/>
      <w:numFmt w:val="bullet"/>
      <w:lvlText w:val=""/>
      <w:lvlJc w:val="left"/>
      <w:pPr>
        <w:ind w:left="720" w:hanging="360"/>
      </w:pPr>
      <w:rPr>
        <w:rFonts w:ascii="Symbol" w:hAnsi="Symbol"/>
        <w:b w:val="0"/>
        <w:bCs w:val="0"/>
      </w:rPr>
    </w:lvl>
    <w:lvl w:ilvl="1" w:tplc="85743D28">
      <w:start w:val="1"/>
      <w:numFmt w:val="bullet"/>
      <w:lvlText w:val="o"/>
      <w:lvlJc w:val="left"/>
      <w:pPr>
        <w:tabs>
          <w:tab w:val="num" w:pos="1440"/>
        </w:tabs>
        <w:ind w:left="1440" w:hanging="360"/>
      </w:pPr>
      <w:rPr>
        <w:rFonts w:ascii="Courier New" w:hAnsi="Courier New"/>
      </w:rPr>
    </w:lvl>
    <w:lvl w:ilvl="2" w:tplc="865E5C80">
      <w:start w:val="1"/>
      <w:numFmt w:val="bullet"/>
      <w:lvlText w:val=""/>
      <w:lvlJc w:val="left"/>
      <w:pPr>
        <w:tabs>
          <w:tab w:val="num" w:pos="2160"/>
        </w:tabs>
        <w:ind w:left="2160" w:hanging="360"/>
      </w:pPr>
      <w:rPr>
        <w:rFonts w:ascii="Wingdings" w:hAnsi="Wingdings"/>
      </w:rPr>
    </w:lvl>
    <w:lvl w:ilvl="3" w:tplc="2BBE837A">
      <w:start w:val="1"/>
      <w:numFmt w:val="bullet"/>
      <w:lvlText w:val=""/>
      <w:lvlJc w:val="left"/>
      <w:pPr>
        <w:tabs>
          <w:tab w:val="num" w:pos="2880"/>
        </w:tabs>
        <w:ind w:left="2880" w:hanging="360"/>
      </w:pPr>
      <w:rPr>
        <w:rFonts w:ascii="Symbol" w:hAnsi="Symbol"/>
      </w:rPr>
    </w:lvl>
    <w:lvl w:ilvl="4" w:tplc="54D001A6">
      <w:start w:val="1"/>
      <w:numFmt w:val="bullet"/>
      <w:lvlText w:val="o"/>
      <w:lvlJc w:val="left"/>
      <w:pPr>
        <w:tabs>
          <w:tab w:val="num" w:pos="3600"/>
        </w:tabs>
        <w:ind w:left="3600" w:hanging="360"/>
      </w:pPr>
      <w:rPr>
        <w:rFonts w:ascii="Courier New" w:hAnsi="Courier New"/>
      </w:rPr>
    </w:lvl>
    <w:lvl w:ilvl="5" w:tplc="B71662C0">
      <w:start w:val="1"/>
      <w:numFmt w:val="bullet"/>
      <w:lvlText w:val=""/>
      <w:lvlJc w:val="left"/>
      <w:pPr>
        <w:tabs>
          <w:tab w:val="num" w:pos="4320"/>
        </w:tabs>
        <w:ind w:left="4320" w:hanging="360"/>
      </w:pPr>
      <w:rPr>
        <w:rFonts w:ascii="Wingdings" w:hAnsi="Wingdings"/>
      </w:rPr>
    </w:lvl>
    <w:lvl w:ilvl="6" w:tplc="B4D003D0">
      <w:start w:val="1"/>
      <w:numFmt w:val="bullet"/>
      <w:lvlText w:val=""/>
      <w:lvlJc w:val="left"/>
      <w:pPr>
        <w:tabs>
          <w:tab w:val="num" w:pos="5040"/>
        </w:tabs>
        <w:ind w:left="5040" w:hanging="360"/>
      </w:pPr>
      <w:rPr>
        <w:rFonts w:ascii="Symbol" w:hAnsi="Symbol"/>
      </w:rPr>
    </w:lvl>
    <w:lvl w:ilvl="7" w:tplc="7FFA0BCE">
      <w:start w:val="1"/>
      <w:numFmt w:val="bullet"/>
      <w:lvlText w:val="o"/>
      <w:lvlJc w:val="left"/>
      <w:pPr>
        <w:tabs>
          <w:tab w:val="num" w:pos="5760"/>
        </w:tabs>
        <w:ind w:left="5760" w:hanging="360"/>
      </w:pPr>
      <w:rPr>
        <w:rFonts w:ascii="Courier New" w:hAnsi="Courier New"/>
      </w:rPr>
    </w:lvl>
    <w:lvl w:ilvl="8" w:tplc="39140FD0">
      <w:start w:val="1"/>
      <w:numFmt w:val="bullet"/>
      <w:lvlText w:val=""/>
      <w:lvlJc w:val="left"/>
      <w:pPr>
        <w:tabs>
          <w:tab w:val="num" w:pos="6480"/>
        </w:tabs>
        <w:ind w:left="6480" w:hanging="360"/>
      </w:pPr>
      <w:rPr>
        <w:rFonts w:ascii="Wingdings" w:hAnsi="Wingdings"/>
      </w:rPr>
    </w:lvl>
  </w:abstractNum>
  <w:abstractNum w:abstractNumId="4" w15:restartNumberingAfterBreak="0">
    <w:nsid w:val="4E0E22D0"/>
    <w:multiLevelType w:val="multilevel"/>
    <w:tmpl w:val="9A043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2868349">
    <w:abstractNumId w:val="0"/>
  </w:num>
  <w:num w:numId="2" w16cid:durableId="1000767266">
    <w:abstractNumId w:val="1"/>
  </w:num>
  <w:num w:numId="3" w16cid:durableId="1124546433">
    <w:abstractNumId w:val="2"/>
  </w:num>
  <w:num w:numId="4" w16cid:durableId="106043638">
    <w:abstractNumId w:val="3"/>
  </w:num>
  <w:num w:numId="5" w16cid:durableId="606280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78C"/>
    <w:rsid w:val="00020211"/>
    <w:rsid w:val="000637C0"/>
    <w:rsid w:val="0012178C"/>
    <w:rsid w:val="00315C2A"/>
    <w:rsid w:val="0044707F"/>
    <w:rsid w:val="0052408D"/>
    <w:rsid w:val="00524E86"/>
    <w:rsid w:val="00652FC1"/>
    <w:rsid w:val="00886935"/>
    <w:rsid w:val="008B22A4"/>
    <w:rsid w:val="008F780C"/>
    <w:rsid w:val="0094277B"/>
    <w:rsid w:val="0094307E"/>
    <w:rsid w:val="009814F6"/>
    <w:rsid w:val="009C2F87"/>
    <w:rsid w:val="00A157AA"/>
    <w:rsid w:val="00BA3197"/>
    <w:rsid w:val="00BC3320"/>
    <w:rsid w:val="00D40495"/>
    <w:rsid w:val="00D72E5E"/>
    <w:rsid w:val="00D8198E"/>
    <w:rsid w:val="00DD1A74"/>
    <w:rsid w:val="00E9760B"/>
    <w:rsid w:val="00EA1466"/>
    <w:rsid w:val="00EC2EDB"/>
    <w:rsid w:val="00ED7AD5"/>
    <w:rsid w:val="00F16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2FD0"/>
  <w15:docId w15:val="{7F015DC2-7BE0-4BB4-9D00-527A3AA5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8" w:lineRule="auto"/>
    </w:pPr>
    <w:rPr>
      <w:rFonts w:ascii="Aptos" w:eastAsia="Aptos" w:hAnsi="Aptos" w:cs="Aptos"/>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D72E5E"/>
    <w:rPr>
      <w:rFonts w:ascii="Aptos" w:eastAsia="Aptos" w:hAnsi="Aptos" w:cs="Aptos"/>
      <w:sz w:val="24"/>
      <w:szCs w:val="24"/>
    </w:rPr>
  </w:style>
  <w:style w:type="character" w:styleId="CommentReference">
    <w:name w:val="annotation reference"/>
    <w:basedOn w:val="DefaultParagraphFont"/>
    <w:uiPriority w:val="99"/>
    <w:semiHidden/>
    <w:unhideWhenUsed/>
    <w:rsid w:val="0094277B"/>
    <w:rPr>
      <w:sz w:val="16"/>
      <w:szCs w:val="16"/>
    </w:rPr>
  </w:style>
  <w:style w:type="paragraph" w:styleId="CommentText">
    <w:name w:val="annotation text"/>
    <w:basedOn w:val="Normal"/>
    <w:link w:val="CommentTextChar"/>
    <w:uiPriority w:val="99"/>
    <w:unhideWhenUsed/>
    <w:rsid w:val="0094277B"/>
    <w:pPr>
      <w:spacing w:line="240" w:lineRule="auto"/>
    </w:pPr>
    <w:rPr>
      <w:sz w:val="20"/>
      <w:szCs w:val="20"/>
    </w:rPr>
  </w:style>
  <w:style w:type="character" w:customStyle="1" w:styleId="CommentTextChar">
    <w:name w:val="Comment Text Char"/>
    <w:basedOn w:val="DefaultParagraphFont"/>
    <w:link w:val="CommentText"/>
    <w:uiPriority w:val="99"/>
    <w:rsid w:val="0094277B"/>
    <w:rPr>
      <w:rFonts w:ascii="Aptos" w:eastAsia="Aptos" w:hAnsi="Aptos" w:cs="Aptos"/>
    </w:rPr>
  </w:style>
  <w:style w:type="paragraph" w:styleId="CommentSubject">
    <w:name w:val="annotation subject"/>
    <w:basedOn w:val="CommentText"/>
    <w:next w:val="CommentText"/>
    <w:link w:val="CommentSubjectChar"/>
    <w:uiPriority w:val="99"/>
    <w:semiHidden/>
    <w:unhideWhenUsed/>
    <w:rsid w:val="0094277B"/>
    <w:rPr>
      <w:b/>
      <w:bCs/>
    </w:rPr>
  </w:style>
  <w:style w:type="character" w:customStyle="1" w:styleId="CommentSubjectChar">
    <w:name w:val="Comment Subject Char"/>
    <w:basedOn w:val="CommentTextChar"/>
    <w:link w:val="CommentSubject"/>
    <w:uiPriority w:val="99"/>
    <w:semiHidden/>
    <w:rsid w:val="0094277B"/>
    <w:rPr>
      <w:rFonts w:ascii="Aptos" w:eastAsia="Aptos" w:hAnsi="Aptos" w:cs="Aptos"/>
      <w:b/>
      <w:bCs/>
    </w:rPr>
  </w:style>
  <w:style w:type="character" w:styleId="Hyperlink">
    <w:name w:val="Hyperlink"/>
    <w:basedOn w:val="DefaultParagraphFont"/>
    <w:uiPriority w:val="99"/>
    <w:unhideWhenUsed/>
    <w:rsid w:val="00886935"/>
    <w:rPr>
      <w:color w:val="0000FF" w:themeColor="hyperlink"/>
      <w:u w:val="single"/>
    </w:rPr>
  </w:style>
  <w:style w:type="character" w:styleId="UnresolvedMention">
    <w:name w:val="Unresolved Mention"/>
    <w:basedOn w:val="DefaultParagraphFont"/>
    <w:uiPriority w:val="99"/>
    <w:semiHidden/>
    <w:unhideWhenUsed/>
    <w:rsid w:val="00886935"/>
    <w:rPr>
      <w:color w:val="605E5C"/>
      <w:shd w:val="clear" w:color="auto" w:fill="E1DFDD"/>
    </w:rPr>
  </w:style>
  <w:style w:type="character" w:styleId="FollowedHyperlink">
    <w:name w:val="FollowedHyperlink"/>
    <w:basedOn w:val="DefaultParagraphFont"/>
    <w:uiPriority w:val="99"/>
    <w:semiHidden/>
    <w:unhideWhenUsed/>
    <w:rsid w:val="00886935"/>
    <w:rPr>
      <w:color w:val="800080" w:themeColor="followedHyperlink"/>
      <w:u w:val="single"/>
    </w:rPr>
  </w:style>
  <w:style w:type="paragraph" w:styleId="ListParagraph">
    <w:name w:val="List Paragraph"/>
    <w:basedOn w:val="Normal"/>
    <w:uiPriority w:val="34"/>
    <w:qFormat/>
    <w:rsid w:val="008F7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509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4750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Ferguson</dc:creator>
  <cp:lastModifiedBy>Cristy Gallagher</cp:lastModifiedBy>
  <cp:revision>4</cp:revision>
  <dcterms:created xsi:type="dcterms:W3CDTF">2025-06-03T14:05:00Z</dcterms:created>
  <dcterms:modified xsi:type="dcterms:W3CDTF">2025-06-03T15:11:00Z</dcterms:modified>
</cp:coreProperties>
</file>