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A5A4" w14:textId="3DBE70D8" w:rsidR="004D1E62" w:rsidRDefault="00EB6FCC" w:rsidP="00EB6FCC">
      <w:pPr>
        <w:jc w:val="center"/>
        <w:rPr>
          <w:b/>
          <w:bCs/>
        </w:rPr>
      </w:pPr>
      <w:bookmarkStart w:id="0" w:name="_GoBack"/>
      <w:r w:rsidRPr="00EB6FCC">
        <w:rPr>
          <w:b/>
          <w:bCs/>
        </w:rPr>
        <w:t>Ameriprise Financial</w:t>
      </w:r>
    </w:p>
    <w:p w14:paraId="74A0FA60" w14:textId="70A0919C" w:rsidR="004D1E62" w:rsidRPr="00307914" w:rsidRDefault="004D1E62" w:rsidP="004D1E62">
      <w:pPr>
        <w:rPr>
          <w:b/>
          <w:bCs/>
        </w:rPr>
      </w:pPr>
      <w:r w:rsidRPr="00307914">
        <w:rPr>
          <w:b/>
          <w:bCs/>
        </w:rPr>
        <w:t xml:space="preserve">Banking Attorney </w:t>
      </w:r>
    </w:p>
    <w:p w14:paraId="65E14E50" w14:textId="592456D9" w:rsidR="003A55E7" w:rsidRDefault="003A55E7" w:rsidP="003A55E7">
      <w:bookmarkStart w:id="1" w:name="_Hlk46139193"/>
      <w:bookmarkEnd w:id="0"/>
      <w:r>
        <w:t>You will be joining a dynamic Global Asset Management legal and compliance team that provides a broad range of advice to Columbia Threadneedle’s Global Asset Management business.  As a member of the Global Asset Management legal team, you will interact frequently with lawyers and business partners based in EMEA, Asia and North America. In addition, you will also join a larger legal and compliance team that is part of the General Counsel’s Organization of Ameriprise Financial, a publicly traded, Fortune 500 financial services company.</w:t>
      </w:r>
    </w:p>
    <w:p w14:paraId="6A5E394D" w14:textId="7B5001FE" w:rsidR="004D1E62" w:rsidRDefault="003A55E7" w:rsidP="003A55E7">
      <w:r>
        <w:t>In this role, you wil</w:t>
      </w:r>
      <w:r w:rsidR="00127660">
        <w:t>l</w:t>
      </w:r>
      <w:r>
        <w:t>:</w:t>
      </w:r>
    </w:p>
    <w:p w14:paraId="3BC92806" w14:textId="3C0CB3CF" w:rsidR="004D1E62" w:rsidRDefault="00127660" w:rsidP="00127660">
      <w:pPr>
        <w:pStyle w:val="ListParagraph"/>
        <w:numPr>
          <w:ilvl w:val="0"/>
          <w:numId w:val="1"/>
        </w:numPr>
      </w:pPr>
      <w:r>
        <w:t>Provide d</w:t>
      </w:r>
      <w:r w:rsidR="004D1E62">
        <w:t>ay</w:t>
      </w:r>
      <w:r>
        <w:t>-</w:t>
      </w:r>
      <w:r w:rsidR="004D1E62">
        <w:t>to</w:t>
      </w:r>
      <w:r>
        <w:t>-</w:t>
      </w:r>
      <w:r w:rsidR="004D1E62">
        <w:t>day support of bank regulatory issues as applicable to the products and activities of a financial holding company and its subsidiaries under the Bank Holding Company Act (including the Volcker Rule) and the Home Owners’ Loan Act.  This includes providing guidance to the business and compliance on regulatory requirements</w:t>
      </w:r>
      <w:r>
        <w:t xml:space="preserve">. </w:t>
      </w:r>
    </w:p>
    <w:p w14:paraId="2F113AFC" w14:textId="78037085" w:rsidR="004D1E62" w:rsidRDefault="004D1E62" w:rsidP="004D1E62">
      <w:pPr>
        <w:pStyle w:val="ListParagraph"/>
        <w:numPr>
          <w:ilvl w:val="0"/>
          <w:numId w:val="1"/>
        </w:numPr>
      </w:pPr>
      <w:r>
        <w:t xml:space="preserve">Support </w:t>
      </w:r>
      <w:r w:rsidR="00127660">
        <w:t xml:space="preserve">for Ameriprise’s global asset management business known as Columbia Threadneedle Investments, including </w:t>
      </w:r>
      <w:r w:rsidR="00811D64">
        <w:t xml:space="preserve">providing </w:t>
      </w:r>
      <w:r w:rsidR="00307914">
        <w:t xml:space="preserve">advice </w:t>
      </w:r>
      <w:r w:rsidR="00127660">
        <w:t xml:space="preserve">consistent with US banking requirements </w:t>
      </w:r>
      <w:r w:rsidR="00307914">
        <w:t xml:space="preserve">on product structuring, </w:t>
      </w:r>
      <w:r w:rsidR="00811D64">
        <w:t xml:space="preserve">new </w:t>
      </w:r>
      <w:r w:rsidR="00307914">
        <w:t xml:space="preserve">activities, </w:t>
      </w:r>
      <w:r w:rsidR="00811D64">
        <w:t xml:space="preserve">real estate investments, covered funds, </w:t>
      </w:r>
      <w:r>
        <w:t>fund disclosure</w:t>
      </w:r>
      <w:r w:rsidR="00811D64">
        <w:t>s</w:t>
      </w:r>
      <w:r>
        <w:t xml:space="preserve"> and regulatory reporting issues.</w:t>
      </w:r>
    </w:p>
    <w:p w14:paraId="37009A19" w14:textId="4BCE0CD4" w:rsidR="00127660" w:rsidRDefault="00127660" w:rsidP="004D1E62">
      <w:pPr>
        <w:pStyle w:val="ListParagraph"/>
        <w:numPr>
          <w:ilvl w:val="0"/>
          <w:numId w:val="1"/>
        </w:numPr>
      </w:pPr>
      <w:r>
        <w:t>Learn about the global operations and business lines of Columbia Threadneedle Investments and provide support and advice to serve its clients.</w:t>
      </w:r>
    </w:p>
    <w:p w14:paraId="0C067DE2" w14:textId="1737FCC4" w:rsidR="004D1E62" w:rsidRDefault="004D1E62" w:rsidP="004D1E62">
      <w:r>
        <w:t xml:space="preserve">Subject Matter Expertise: </w:t>
      </w:r>
    </w:p>
    <w:p w14:paraId="4C97E552" w14:textId="59E578A1" w:rsidR="004D1E62" w:rsidRDefault="004D1E62" w:rsidP="004D1E62">
      <w:pPr>
        <w:pStyle w:val="ListParagraph"/>
        <w:numPr>
          <w:ilvl w:val="0"/>
          <w:numId w:val="1"/>
        </w:numPr>
      </w:pPr>
      <w:r>
        <w:t xml:space="preserve">Strong knowledge of (1) the control framework and authorities applicable to a financial holding company and savings and loan holding company under the Bank Holding Company Act and the Home Owners’ Loan Act and (2) all aspects of the Volcker Rule and related regulatory guidance  </w:t>
      </w:r>
    </w:p>
    <w:p w14:paraId="43108FFE" w14:textId="2349D921" w:rsidR="004D1E62" w:rsidRDefault="004D1E62" w:rsidP="004D1E62">
      <w:pPr>
        <w:pStyle w:val="ListParagraph"/>
        <w:numPr>
          <w:ilvl w:val="0"/>
          <w:numId w:val="1"/>
        </w:numPr>
      </w:pPr>
      <w:r>
        <w:t>Knowledge of asset management</w:t>
      </w:r>
      <w:r w:rsidR="008803BA">
        <w:t>,</w:t>
      </w:r>
      <w:r>
        <w:t xml:space="preserve"> including investment products such as U.S. registered investment companies, hedge funds or real estate funds, is a plus but not required </w:t>
      </w:r>
    </w:p>
    <w:p w14:paraId="38DA09B2" w14:textId="77777777" w:rsidR="004D1E62" w:rsidRDefault="004D1E62" w:rsidP="004D1E62">
      <w:r>
        <w:t xml:space="preserve">Skills: </w:t>
      </w:r>
    </w:p>
    <w:p w14:paraId="1336BAFD" w14:textId="4E13BB6B" w:rsidR="004D1E62" w:rsidRDefault="008803BA" w:rsidP="004D1E62">
      <w:pPr>
        <w:pStyle w:val="ListParagraph"/>
        <w:numPr>
          <w:ilvl w:val="0"/>
          <w:numId w:val="1"/>
        </w:numPr>
      </w:pPr>
      <w:r>
        <w:t>t</w:t>
      </w:r>
      <w:r w:rsidR="004D1E62">
        <w:t>houghtful and creative thinker</w:t>
      </w:r>
    </w:p>
    <w:p w14:paraId="08742FE2" w14:textId="631B9B48" w:rsidR="004D1E62" w:rsidRDefault="008803BA" w:rsidP="004D1E62">
      <w:pPr>
        <w:pStyle w:val="ListParagraph"/>
        <w:numPr>
          <w:ilvl w:val="0"/>
          <w:numId w:val="1"/>
        </w:numPr>
      </w:pPr>
      <w:r>
        <w:t>c</w:t>
      </w:r>
      <w:r w:rsidR="004D1E62">
        <w:t>lear and efficient communicator</w:t>
      </w:r>
    </w:p>
    <w:p w14:paraId="3CF0C216" w14:textId="77777777" w:rsidR="004D1E62" w:rsidRDefault="004D1E62" w:rsidP="004D1E62">
      <w:pPr>
        <w:pStyle w:val="ListParagraph"/>
        <w:numPr>
          <w:ilvl w:val="0"/>
          <w:numId w:val="1"/>
        </w:numPr>
      </w:pPr>
      <w:r>
        <w:t>solid ability to execute</w:t>
      </w:r>
    </w:p>
    <w:p w14:paraId="64A84936" w14:textId="3C3F0D13" w:rsidR="004D1E62" w:rsidRDefault="004D1E62" w:rsidP="004D1E62">
      <w:pPr>
        <w:pStyle w:val="ListParagraph"/>
        <w:numPr>
          <w:ilvl w:val="0"/>
          <w:numId w:val="1"/>
        </w:numPr>
      </w:pPr>
      <w:r>
        <w:t>strong organizational abilities and multi-tasking skills</w:t>
      </w:r>
    </w:p>
    <w:p w14:paraId="56E76902" w14:textId="1B7514DC" w:rsidR="004D1E62" w:rsidRDefault="00CC6B7C" w:rsidP="004D1E62">
      <w:r>
        <w:t>E</w:t>
      </w:r>
      <w:r w:rsidR="004D1E62">
        <w:t xml:space="preserve">xperience: </w:t>
      </w:r>
      <w:r w:rsidR="004721F2">
        <w:t xml:space="preserve">General range of </w:t>
      </w:r>
      <w:r w:rsidR="004D1E62">
        <w:t>5 to 8 years banking experience at a law firm or in-house</w:t>
      </w:r>
      <w:bookmarkEnd w:id="1"/>
    </w:p>
    <w:sectPr w:rsidR="004D1E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9CBFE" w14:textId="77777777" w:rsidR="00CE0018" w:rsidRDefault="00CE0018" w:rsidP="00B764AD">
      <w:pPr>
        <w:spacing w:after="0" w:line="240" w:lineRule="auto"/>
      </w:pPr>
      <w:r>
        <w:separator/>
      </w:r>
    </w:p>
  </w:endnote>
  <w:endnote w:type="continuationSeparator" w:id="0">
    <w:p w14:paraId="42B5593D" w14:textId="77777777" w:rsidR="00CE0018" w:rsidRDefault="00CE0018" w:rsidP="00B7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A8441" w14:textId="77777777" w:rsidR="00CE0018" w:rsidRDefault="00CE0018" w:rsidP="00B764AD">
      <w:pPr>
        <w:spacing w:after="0" w:line="240" w:lineRule="auto"/>
      </w:pPr>
      <w:r>
        <w:separator/>
      </w:r>
    </w:p>
  </w:footnote>
  <w:footnote w:type="continuationSeparator" w:id="0">
    <w:p w14:paraId="3DCA8CAA" w14:textId="77777777" w:rsidR="00CE0018" w:rsidRDefault="00CE0018" w:rsidP="00B76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92FF5" w14:textId="64812616" w:rsidR="00B764AD" w:rsidRDefault="00B764AD" w:rsidP="00B764AD">
    <w:pPr>
      <w:pStyle w:val="Header"/>
      <w:jc w:val="right"/>
    </w:pPr>
    <w:r>
      <w:rPr>
        <w:noProof/>
      </w:rPr>
      <w:drawing>
        <wp:inline distT="0" distB="0" distL="0" distR="0" wp14:anchorId="499F0BF5" wp14:editId="759A9A68">
          <wp:extent cx="1771650" cy="342900"/>
          <wp:effectExtent l="0" t="0" r="0" b="0"/>
          <wp:docPr id="4" name="Picture 4" descr="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Picture 4" descr="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054F71"/>
    <w:multiLevelType w:val="hybridMultilevel"/>
    <w:tmpl w:val="1B76DB3C"/>
    <w:lvl w:ilvl="0" w:tplc="F04425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62"/>
    <w:rsid w:val="00127660"/>
    <w:rsid w:val="001A2339"/>
    <w:rsid w:val="00307914"/>
    <w:rsid w:val="003A55E7"/>
    <w:rsid w:val="004721F2"/>
    <w:rsid w:val="004B4C55"/>
    <w:rsid w:val="004D1E62"/>
    <w:rsid w:val="005110CA"/>
    <w:rsid w:val="00811D64"/>
    <w:rsid w:val="008803BA"/>
    <w:rsid w:val="00893C67"/>
    <w:rsid w:val="00A87365"/>
    <w:rsid w:val="00B764AD"/>
    <w:rsid w:val="00C04BC7"/>
    <w:rsid w:val="00C42980"/>
    <w:rsid w:val="00CC6B7C"/>
    <w:rsid w:val="00CE0018"/>
    <w:rsid w:val="00E74041"/>
    <w:rsid w:val="00EB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DD36"/>
  <w15:chartTrackingRefBased/>
  <w15:docId w15:val="{DE470988-6DC0-44DB-96A6-5E1C9564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E62"/>
    <w:pPr>
      <w:ind w:left="720"/>
      <w:contextualSpacing/>
    </w:pPr>
  </w:style>
  <w:style w:type="paragraph" w:styleId="BalloonText">
    <w:name w:val="Balloon Text"/>
    <w:basedOn w:val="Normal"/>
    <w:link w:val="BalloonTextChar"/>
    <w:uiPriority w:val="99"/>
    <w:semiHidden/>
    <w:unhideWhenUsed/>
    <w:rsid w:val="00A87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365"/>
    <w:rPr>
      <w:rFonts w:ascii="Segoe UI" w:hAnsi="Segoe UI" w:cs="Segoe UI"/>
      <w:sz w:val="18"/>
      <w:szCs w:val="18"/>
    </w:rPr>
  </w:style>
  <w:style w:type="paragraph" w:styleId="Header">
    <w:name w:val="header"/>
    <w:basedOn w:val="Normal"/>
    <w:link w:val="HeaderChar"/>
    <w:uiPriority w:val="99"/>
    <w:unhideWhenUsed/>
    <w:rsid w:val="00B7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4AD"/>
  </w:style>
  <w:style w:type="paragraph" w:styleId="Footer">
    <w:name w:val="footer"/>
    <w:basedOn w:val="Normal"/>
    <w:link w:val="FooterChar"/>
    <w:uiPriority w:val="99"/>
    <w:unhideWhenUsed/>
    <w:rsid w:val="00B7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004">
      <w:bodyDiv w:val="1"/>
      <w:marLeft w:val="0"/>
      <w:marRight w:val="0"/>
      <w:marTop w:val="0"/>
      <w:marBottom w:val="0"/>
      <w:divBdr>
        <w:top w:val="none" w:sz="0" w:space="0" w:color="auto"/>
        <w:left w:val="none" w:sz="0" w:space="0" w:color="auto"/>
        <w:bottom w:val="none" w:sz="0" w:space="0" w:color="auto"/>
        <w:right w:val="none" w:sz="0" w:space="0" w:color="auto"/>
      </w:divBdr>
    </w:div>
    <w:div w:id="15117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meri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Goucher, Paul B</dc:creator>
  <cp:keywords/>
  <dc:description/>
  <cp:lastModifiedBy>Devanshi Shah</cp:lastModifiedBy>
  <cp:revision>2</cp:revision>
  <dcterms:created xsi:type="dcterms:W3CDTF">2020-09-08T16:33:00Z</dcterms:created>
  <dcterms:modified xsi:type="dcterms:W3CDTF">2020-09-08T16:33:00Z</dcterms:modified>
</cp:coreProperties>
</file>