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08" w:rsidRDefault="00D724F2" w:rsidP="00EC1E37">
      <w:pPr>
        <w:jc w:val="center"/>
        <w:rPr>
          <w:b/>
          <w:sz w:val="40"/>
          <w:szCs w:val="40"/>
        </w:rPr>
      </w:pPr>
      <w:bookmarkStart w:id="0" w:name="_GoBack"/>
      <w:bookmarkEnd w:id="0"/>
      <w:r w:rsidRPr="00D724F2">
        <w:rPr>
          <w:b/>
          <w:sz w:val="40"/>
          <w:szCs w:val="40"/>
        </w:rPr>
        <w:t>2020 Mini-Grants for VPK &amp; SR Providers &amp; Educators Frequently Asked Questions</w:t>
      </w:r>
    </w:p>
    <w:p w:rsidR="00D724F2" w:rsidRPr="00D724F2" w:rsidRDefault="00D724F2" w:rsidP="00D724F2">
      <w:pPr>
        <w:jc w:val="center"/>
        <w:rPr>
          <w:b/>
          <w:sz w:val="40"/>
          <w:szCs w:val="40"/>
        </w:rPr>
      </w:pPr>
    </w:p>
    <w:p w:rsidR="004E0340" w:rsidRPr="00B47177" w:rsidRDefault="00C90A23" w:rsidP="00C43139">
      <w:pPr>
        <w:jc w:val="both"/>
        <w:rPr>
          <w:b/>
          <w:sz w:val="24"/>
          <w:szCs w:val="24"/>
        </w:rPr>
      </w:pPr>
      <w:r w:rsidRPr="00B47177">
        <w:rPr>
          <w:b/>
          <w:sz w:val="24"/>
          <w:szCs w:val="24"/>
        </w:rPr>
        <w:t>Q1</w:t>
      </w:r>
      <w:r w:rsidR="004E0340" w:rsidRPr="00B47177">
        <w:rPr>
          <w:b/>
          <w:sz w:val="24"/>
          <w:szCs w:val="24"/>
        </w:rPr>
        <w:t>)</w:t>
      </w:r>
      <w:r w:rsidR="004E0340" w:rsidRPr="00B47177">
        <w:rPr>
          <w:b/>
          <w:sz w:val="24"/>
          <w:szCs w:val="24"/>
        </w:rPr>
        <w:tab/>
        <w:t>Where is the mini-grant application?</w:t>
      </w:r>
    </w:p>
    <w:p w:rsidR="00C90A23" w:rsidRDefault="004E0340" w:rsidP="00C43139">
      <w:pPr>
        <w:ind w:left="720"/>
        <w:jc w:val="both"/>
        <w:rPr>
          <w:sz w:val="24"/>
          <w:szCs w:val="24"/>
        </w:rPr>
      </w:pPr>
      <w:r>
        <w:rPr>
          <w:sz w:val="24"/>
          <w:szCs w:val="24"/>
        </w:rPr>
        <w:t>The mini-grant application</w:t>
      </w:r>
      <w:r w:rsidR="00D724F2">
        <w:rPr>
          <w:sz w:val="24"/>
          <w:szCs w:val="24"/>
        </w:rPr>
        <w:t xml:space="preserve"> can found on our website at </w:t>
      </w:r>
      <w:hyperlink r:id="rId7" w:history="1">
        <w:r w:rsidR="00D724F2" w:rsidRPr="00D724F2">
          <w:rPr>
            <w:rStyle w:val="Hyperlink"/>
            <w:sz w:val="24"/>
            <w:szCs w:val="24"/>
          </w:rPr>
          <w:t>www.elcbroward.org/minigrants</w:t>
        </w:r>
      </w:hyperlink>
      <w:r>
        <w:rPr>
          <w:sz w:val="24"/>
          <w:szCs w:val="24"/>
        </w:rPr>
        <w:t>.  It is a State of Florida form, and is titled, “</w:t>
      </w:r>
      <w:r w:rsidR="00000421">
        <w:rPr>
          <w:sz w:val="24"/>
          <w:szCs w:val="24"/>
        </w:rPr>
        <w:t xml:space="preserve">Program Guidance 240.20 Tracking Disaster Costs </w:t>
      </w:r>
      <w:r>
        <w:rPr>
          <w:sz w:val="24"/>
          <w:szCs w:val="24"/>
        </w:rPr>
        <w:t xml:space="preserve">Attachment </w:t>
      </w:r>
      <w:r w:rsidR="002813A1">
        <w:rPr>
          <w:sz w:val="24"/>
          <w:szCs w:val="24"/>
        </w:rPr>
        <w:t>1</w:t>
      </w:r>
      <w:r>
        <w:rPr>
          <w:sz w:val="24"/>
          <w:szCs w:val="24"/>
        </w:rPr>
        <w:t>.”</w:t>
      </w:r>
      <w:r w:rsidR="00CB6C6E">
        <w:rPr>
          <w:sz w:val="24"/>
          <w:szCs w:val="24"/>
        </w:rPr>
        <w:tab/>
      </w:r>
    </w:p>
    <w:p w:rsidR="00FC3A62" w:rsidRDefault="00FC3A62" w:rsidP="00C43139">
      <w:pPr>
        <w:jc w:val="both"/>
        <w:rPr>
          <w:b/>
          <w:sz w:val="24"/>
          <w:szCs w:val="24"/>
        </w:rPr>
      </w:pPr>
      <w:r w:rsidRPr="00FC3A62">
        <w:rPr>
          <w:b/>
          <w:sz w:val="24"/>
          <w:szCs w:val="24"/>
        </w:rPr>
        <w:t>Q2)</w:t>
      </w:r>
      <w:r w:rsidRPr="00FC3A62">
        <w:rPr>
          <w:b/>
          <w:sz w:val="24"/>
          <w:szCs w:val="24"/>
        </w:rPr>
        <w:tab/>
        <w:t>What are the eligibility requirements to receive mini-grants?</w:t>
      </w:r>
    </w:p>
    <w:p w:rsidR="004923F9" w:rsidRDefault="00FC3A62" w:rsidP="00C43139">
      <w:pPr>
        <w:ind w:left="720"/>
        <w:jc w:val="both"/>
        <w:rPr>
          <w:rFonts w:cstheme="minorHAnsi"/>
          <w:bCs/>
          <w:sz w:val="24"/>
          <w:szCs w:val="24"/>
        </w:rPr>
      </w:pPr>
      <w:r>
        <w:rPr>
          <w:sz w:val="24"/>
          <w:szCs w:val="24"/>
        </w:rPr>
        <w:t xml:space="preserve">To receive mini-grants for either infrastructure or </w:t>
      </w:r>
      <w:r>
        <w:rPr>
          <w:rFonts w:cstheme="minorHAnsi"/>
          <w:bCs/>
          <w:sz w:val="24"/>
          <w:szCs w:val="24"/>
        </w:rPr>
        <w:t xml:space="preserve">health/safety and/or consumable support/welfare supplies, </w:t>
      </w:r>
      <w:r w:rsidR="00FF1199">
        <w:rPr>
          <w:rFonts w:cstheme="minorHAnsi"/>
          <w:bCs/>
          <w:sz w:val="24"/>
          <w:szCs w:val="24"/>
        </w:rPr>
        <w:t xml:space="preserve">or for the instructors working at these facilities to receive training stipends, </w:t>
      </w:r>
      <w:r w:rsidR="004923F9">
        <w:rPr>
          <w:rFonts w:cstheme="minorHAnsi"/>
          <w:bCs/>
          <w:sz w:val="24"/>
          <w:szCs w:val="24"/>
        </w:rPr>
        <w:t xml:space="preserve">a facility must either be open or planning to open within 10 days of your application submission date.  Also, </w:t>
      </w:r>
      <w:r w:rsidR="007B41D2">
        <w:rPr>
          <w:rFonts w:cstheme="minorHAnsi"/>
          <w:bCs/>
          <w:sz w:val="24"/>
          <w:szCs w:val="24"/>
        </w:rPr>
        <w:t xml:space="preserve">a </w:t>
      </w:r>
      <w:r>
        <w:rPr>
          <w:rFonts w:cstheme="minorHAnsi"/>
          <w:bCs/>
          <w:sz w:val="24"/>
          <w:szCs w:val="24"/>
        </w:rPr>
        <w:t xml:space="preserve">child care provider cannot be under a corrective action plan or on probation.  </w:t>
      </w:r>
      <w:r w:rsidR="004923F9">
        <w:rPr>
          <w:rFonts w:cstheme="minorHAnsi"/>
          <w:bCs/>
          <w:sz w:val="24"/>
          <w:szCs w:val="24"/>
        </w:rPr>
        <w:t xml:space="preserve">In certain instances, ELC in its sole discretion may shorten corrective action plan and probationary periods.  </w:t>
      </w:r>
    </w:p>
    <w:p w:rsidR="004923F9" w:rsidRDefault="004923F9" w:rsidP="00D724F2">
      <w:pPr>
        <w:ind w:left="720" w:hanging="720"/>
        <w:jc w:val="both"/>
        <w:rPr>
          <w:rFonts w:cstheme="minorHAnsi"/>
          <w:b/>
          <w:bCs/>
          <w:sz w:val="24"/>
          <w:szCs w:val="24"/>
        </w:rPr>
      </w:pPr>
      <w:r>
        <w:rPr>
          <w:rFonts w:cstheme="minorHAnsi"/>
          <w:bCs/>
          <w:sz w:val="24"/>
          <w:szCs w:val="24"/>
        </w:rPr>
        <w:t>Q3)</w:t>
      </w:r>
      <w:r>
        <w:rPr>
          <w:rFonts w:cstheme="minorHAnsi"/>
          <w:bCs/>
          <w:sz w:val="24"/>
          <w:szCs w:val="24"/>
        </w:rPr>
        <w:tab/>
      </w:r>
      <w:r>
        <w:rPr>
          <w:rFonts w:cstheme="minorHAnsi"/>
          <w:b/>
          <w:bCs/>
          <w:sz w:val="24"/>
          <w:szCs w:val="24"/>
        </w:rPr>
        <w:t>Is my center still eligible if I am under a VPK Improvement Plan or a Quality Improvement Plan for having a low CLASS score?</w:t>
      </w:r>
    </w:p>
    <w:p w:rsidR="00FC3A62" w:rsidRPr="00FC3A62" w:rsidRDefault="004923F9" w:rsidP="004923F9">
      <w:pPr>
        <w:ind w:left="720"/>
        <w:jc w:val="both"/>
        <w:rPr>
          <w:sz w:val="24"/>
          <w:szCs w:val="24"/>
        </w:rPr>
      </w:pPr>
      <w:r>
        <w:rPr>
          <w:rFonts w:cstheme="minorHAnsi"/>
          <w:bCs/>
          <w:sz w:val="24"/>
          <w:szCs w:val="24"/>
        </w:rPr>
        <w:t xml:space="preserve">Yes, your center IS still eligible.  This rule </w:t>
      </w:r>
      <w:r w:rsidR="00FC3A62">
        <w:rPr>
          <w:rFonts w:cstheme="minorHAnsi"/>
          <w:bCs/>
          <w:sz w:val="24"/>
          <w:szCs w:val="24"/>
        </w:rPr>
        <w:t>does NOT include programmatic corrective actions, like a VPK improvement plan</w:t>
      </w:r>
      <w:r w:rsidR="00CF07F6">
        <w:rPr>
          <w:rFonts w:cstheme="minorHAnsi"/>
          <w:bCs/>
          <w:sz w:val="24"/>
          <w:szCs w:val="24"/>
        </w:rPr>
        <w:t xml:space="preserve"> or </w:t>
      </w:r>
      <w:r w:rsidR="000E267A">
        <w:rPr>
          <w:rFonts w:cstheme="minorHAnsi"/>
          <w:bCs/>
          <w:sz w:val="24"/>
          <w:szCs w:val="24"/>
        </w:rPr>
        <w:t>Quality Improvement Plans (QIP’s) for programs with low CLASS scores</w:t>
      </w:r>
      <w:r w:rsidR="00FC3A62">
        <w:rPr>
          <w:rFonts w:cstheme="minorHAnsi"/>
          <w:bCs/>
          <w:sz w:val="24"/>
          <w:szCs w:val="24"/>
        </w:rPr>
        <w:t xml:space="preserve">.  </w:t>
      </w:r>
    </w:p>
    <w:p w:rsidR="004E0340" w:rsidRPr="00B47177" w:rsidRDefault="004E0340" w:rsidP="00C43139">
      <w:pPr>
        <w:jc w:val="both"/>
        <w:rPr>
          <w:b/>
          <w:sz w:val="24"/>
          <w:szCs w:val="24"/>
        </w:rPr>
      </w:pPr>
      <w:r w:rsidRPr="00B47177">
        <w:rPr>
          <w:b/>
          <w:sz w:val="24"/>
          <w:szCs w:val="24"/>
        </w:rPr>
        <w:t>Q</w:t>
      </w:r>
      <w:r w:rsidR="008838EF">
        <w:rPr>
          <w:b/>
          <w:sz w:val="24"/>
          <w:szCs w:val="24"/>
        </w:rPr>
        <w:t>4</w:t>
      </w:r>
      <w:r w:rsidRPr="00B47177">
        <w:rPr>
          <w:b/>
          <w:sz w:val="24"/>
          <w:szCs w:val="24"/>
        </w:rPr>
        <w:t>)</w:t>
      </w:r>
      <w:r w:rsidRPr="00B47177">
        <w:rPr>
          <w:b/>
          <w:sz w:val="24"/>
          <w:szCs w:val="24"/>
        </w:rPr>
        <w:tab/>
        <w:t xml:space="preserve">Does my facility need to be open for me to apply for a mini-grant?  </w:t>
      </w:r>
    </w:p>
    <w:p w:rsidR="00FC3A62" w:rsidRDefault="004E0340" w:rsidP="00C43139">
      <w:pPr>
        <w:ind w:left="720"/>
        <w:jc w:val="both"/>
        <w:rPr>
          <w:sz w:val="24"/>
          <w:szCs w:val="24"/>
        </w:rPr>
      </w:pPr>
      <w:r>
        <w:rPr>
          <w:sz w:val="24"/>
          <w:szCs w:val="24"/>
        </w:rPr>
        <w:t xml:space="preserve">If you are applying for an infrastructure or </w:t>
      </w:r>
      <w:r w:rsidR="00B47177">
        <w:rPr>
          <w:sz w:val="24"/>
          <w:szCs w:val="24"/>
        </w:rPr>
        <w:t xml:space="preserve">a </w:t>
      </w:r>
      <w:r w:rsidR="00B47177">
        <w:rPr>
          <w:rFonts w:cstheme="minorHAnsi"/>
          <w:bCs/>
          <w:sz w:val="24"/>
          <w:szCs w:val="24"/>
        </w:rPr>
        <w:t>health/safety and/or consumable support/welfare supply</w:t>
      </w:r>
      <w:r w:rsidR="00B47177">
        <w:rPr>
          <w:sz w:val="24"/>
          <w:szCs w:val="24"/>
        </w:rPr>
        <w:t xml:space="preserve"> </w:t>
      </w:r>
      <w:r>
        <w:rPr>
          <w:sz w:val="24"/>
          <w:szCs w:val="24"/>
        </w:rPr>
        <w:t xml:space="preserve">mini-grant, you MUST either be open, or planning to open within 10 days of your application </w:t>
      </w:r>
      <w:r w:rsidR="00CF07F6">
        <w:rPr>
          <w:sz w:val="24"/>
          <w:szCs w:val="24"/>
        </w:rPr>
        <w:t xml:space="preserve">submission </w:t>
      </w:r>
      <w:r>
        <w:rPr>
          <w:sz w:val="24"/>
          <w:szCs w:val="24"/>
        </w:rPr>
        <w:t>date.</w:t>
      </w:r>
    </w:p>
    <w:p w:rsidR="00B47177" w:rsidRDefault="00B47177" w:rsidP="00C43139">
      <w:pPr>
        <w:jc w:val="both"/>
        <w:rPr>
          <w:sz w:val="24"/>
          <w:szCs w:val="24"/>
        </w:rPr>
      </w:pPr>
      <w:r w:rsidRPr="00B47177">
        <w:rPr>
          <w:b/>
          <w:sz w:val="24"/>
          <w:szCs w:val="24"/>
        </w:rPr>
        <w:t>Q</w:t>
      </w:r>
      <w:r w:rsidR="008838EF">
        <w:rPr>
          <w:b/>
          <w:sz w:val="24"/>
          <w:szCs w:val="24"/>
        </w:rPr>
        <w:t>5</w:t>
      </w:r>
      <w:r w:rsidRPr="00B47177">
        <w:rPr>
          <w:b/>
          <w:sz w:val="24"/>
          <w:szCs w:val="24"/>
        </w:rPr>
        <w:t>)</w:t>
      </w:r>
      <w:r w:rsidRPr="00B47177">
        <w:rPr>
          <w:b/>
          <w:sz w:val="24"/>
          <w:szCs w:val="24"/>
        </w:rPr>
        <w:tab/>
        <w:t xml:space="preserve">Where/how do I submit my mini-grant?  </w:t>
      </w:r>
    </w:p>
    <w:p w:rsidR="00000421" w:rsidRDefault="00CF07F6" w:rsidP="00000421">
      <w:pPr>
        <w:ind w:left="720"/>
        <w:jc w:val="both"/>
        <w:rPr>
          <w:rStyle w:val="Hyperlink"/>
          <w:sz w:val="24"/>
          <w:szCs w:val="24"/>
          <w:u w:val="none"/>
        </w:rPr>
      </w:pPr>
      <w:r>
        <w:rPr>
          <w:sz w:val="24"/>
          <w:szCs w:val="24"/>
        </w:rPr>
        <w:t>Complete Attachment 1 and email it</w:t>
      </w:r>
      <w:r w:rsidR="00000421">
        <w:rPr>
          <w:sz w:val="24"/>
          <w:szCs w:val="24"/>
        </w:rPr>
        <w:t xml:space="preserve"> </w:t>
      </w:r>
      <w:r w:rsidR="00B47177">
        <w:rPr>
          <w:sz w:val="24"/>
          <w:szCs w:val="24"/>
        </w:rPr>
        <w:t xml:space="preserve">to </w:t>
      </w:r>
      <w:hyperlink r:id="rId8" w:history="1">
        <w:r w:rsidR="00B47177" w:rsidRPr="00174AC8">
          <w:rPr>
            <w:rStyle w:val="Hyperlink"/>
            <w:sz w:val="24"/>
            <w:szCs w:val="24"/>
          </w:rPr>
          <w:t>minigrants@elcbroward.org</w:t>
        </w:r>
      </w:hyperlink>
      <w:r w:rsidR="00B47177">
        <w:rPr>
          <w:sz w:val="24"/>
          <w:szCs w:val="24"/>
        </w:rPr>
        <w:t xml:space="preserve">.  Within one business day, you will receive a response that your mini-grant has been received and is being reviewed.  If you do not receive a response by close of business the next business day </w:t>
      </w:r>
      <w:r w:rsidR="00B47177">
        <w:rPr>
          <w:sz w:val="24"/>
          <w:szCs w:val="24"/>
        </w:rPr>
        <w:lastRenderedPageBreak/>
        <w:t xml:space="preserve">after applying, please contact Howard Bakalar, Chief Program Officer, at </w:t>
      </w:r>
      <w:hyperlink r:id="rId9" w:history="1">
        <w:r w:rsidR="00B47177" w:rsidRPr="008C7D9B">
          <w:rPr>
            <w:rStyle w:val="Hyperlink"/>
            <w:sz w:val="24"/>
            <w:szCs w:val="24"/>
          </w:rPr>
          <w:t>hbakalar@elcbroward.org</w:t>
        </w:r>
      </w:hyperlink>
      <w:r w:rsidR="00000421">
        <w:rPr>
          <w:rStyle w:val="Hyperlink"/>
          <w:sz w:val="24"/>
          <w:szCs w:val="24"/>
        </w:rPr>
        <w:t>.</w:t>
      </w:r>
      <w:r w:rsidR="00000421">
        <w:rPr>
          <w:rStyle w:val="Hyperlink"/>
          <w:sz w:val="24"/>
          <w:szCs w:val="24"/>
          <w:u w:val="none"/>
        </w:rPr>
        <w:t xml:space="preserve">  </w:t>
      </w:r>
    </w:p>
    <w:p w:rsidR="00000421" w:rsidRDefault="00000421" w:rsidP="00000421">
      <w:pPr>
        <w:ind w:left="720"/>
        <w:jc w:val="both"/>
        <w:rPr>
          <w:rStyle w:val="Hyperlink"/>
          <w:sz w:val="24"/>
          <w:szCs w:val="24"/>
          <w:u w:val="none"/>
        </w:rPr>
      </w:pPr>
      <w:r w:rsidRPr="00000421">
        <w:rPr>
          <w:rStyle w:val="Hyperlink"/>
          <w:color w:val="auto"/>
          <w:sz w:val="24"/>
          <w:szCs w:val="24"/>
          <w:u w:val="none"/>
        </w:rPr>
        <w:t xml:space="preserve">For Instructor Training Stipends, the child care provider must still complete the Attachment 1 and send it to </w:t>
      </w:r>
      <w:hyperlink r:id="rId10" w:history="1">
        <w:r w:rsidRPr="00000421">
          <w:rPr>
            <w:rStyle w:val="Hyperlink"/>
            <w:color w:val="auto"/>
            <w:sz w:val="24"/>
            <w:szCs w:val="24"/>
          </w:rPr>
          <w:t>minigrants@elcbroward.org</w:t>
        </w:r>
      </w:hyperlink>
      <w:r w:rsidRPr="00000421">
        <w:rPr>
          <w:rStyle w:val="Hyperlink"/>
          <w:color w:val="auto"/>
          <w:sz w:val="24"/>
          <w:szCs w:val="24"/>
          <w:u w:val="none"/>
        </w:rPr>
        <w:t xml:space="preserve">.  In addition, Attachment 2 and all training certificates and individual instructor banking information must be submitted to </w:t>
      </w:r>
      <w:hyperlink r:id="rId11" w:history="1">
        <w:r w:rsidRPr="00000421">
          <w:rPr>
            <w:rStyle w:val="Hyperlink"/>
            <w:sz w:val="24"/>
            <w:szCs w:val="24"/>
          </w:rPr>
          <w:t>elcb@elcbroward.org</w:t>
        </w:r>
      </w:hyperlink>
    </w:p>
    <w:p w:rsidR="00000421" w:rsidRPr="00000421" w:rsidRDefault="00000421" w:rsidP="00000421">
      <w:pPr>
        <w:ind w:left="720"/>
        <w:jc w:val="both"/>
        <w:rPr>
          <w:color w:val="0563C1" w:themeColor="hyperlink"/>
          <w:sz w:val="24"/>
          <w:szCs w:val="24"/>
        </w:rPr>
      </w:pPr>
    </w:p>
    <w:p w:rsidR="006F2F08" w:rsidRPr="008C7D9B" w:rsidRDefault="006F2F08" w:rsidP="00C43139">
      <w:pPr>
        <w:jc w:val="both"/>
        <w:rPr>
          <w:b/>
          <w:sz w:val="24"/>
          <w:szCs w:val="24"/>
        </w:rPr>
      </w:pPr>
      <w:r w:rsidRPr="008C7D9B">
        <w:rPr>
          <w:b/>
          <w:sz w:val="24"/>
          <w:szCs w:val="24"/>
        </w:rPr>
        <w:t>Q</w:t>
      </w:r>
      <w:r w:rsidR="008838EF">
        <w:rPr>
          <w:b/>
          <w:sz w:val="24"/>
          <w:szCs w:val="24"/>
        </w:rPr>
        <w:t>6</w:t>
      </w:r>
      <w:r w:rsidRPr="008C7D9B">
        <w:rPr>
          <w:b/>
          <w:sz w:val="24"/>
          <w:szCs w:val="24"/>
        </w:rPr>
        <w:t>)</w:t>
      </w:r>
      <w:r w:rsidRPr="008C7D9B">
        <w:rPr>
          <w:b/>
          <w:sz w:val="24"/>
          <w:szCs w:val="24"/>
        </w:rPr>
        <w:tab/>
        <w:t xml:space="preserve">Is it correct that a provider only has to submit one application? </w:t>
      </w:r>
    </w:p>
    <w:p w:rsidR="006F2F08" w:rsidRPr="008C7D9B" w:rsidRDefault="006F2F08" w:rsidP="00C43139">
      <w:pPr>
        <w:ind w:left="720"/>
        <w:jc w:val="both"/>
        <w:rPr>
          <w:sz w:val="24"/>
          <w:szCs w:val="24"/>
        </w:rPr>
      </w:pPr>
      <w:r w:rsidRPr="008C7D9B">
        <w:rPr>
          <w:sz w:val="24"/>
          <w:szCs w:val="24"/>
        </w:rPr>
        <w:t>Yes, only one Attachment 1 is needed per provider</w:t>
      </w:r>
      <w:r w:rsidR="000E67AC" w:rsidRPr="008C7D9B">
        <w:rPr>
          <w:sz w:val="24"/>
          <w:szCs w:val="24"/>
        </w:rPr>
        <w:t xml:space="preserve">.  </w:t>
      </w:r>
      <w:r w:rsidR="004E0340" w:rsidRPr="008C7D9B">
        <w:rPr>
          <w:sz w:val="24"/>
          <w:szCs w:val="24"/>
        </w:rPr>
        <w:t xml:space="preserve">Please just put a check mark for any/all mini-grants for which you are applying.  </w:t>
      </w:r>
    </w:p>
    <w:p w:rsidR="004E0340" w:rsidRPr="008C7D9B" w:rsidRDefault="004E0340" w:rsidP="00C43139">
      <w:pPr>
        <w:jc w:val="both"/>
        <w:rPr>
          <w:b/>
          <w:sz w:val="24"/>
          <w:szCs w:val="24"/>
        </w:rPr>
      </w:pPr>
      <w:r w:rsidRPr="008C7D9B">
        <w:rPr>
          <w:b/>
          <w:sz w:val="24"/>
          <w:szCs w:val="24"/>
        </w:rPr>
        <w:t>Q</w:t>
      </w:r>
      <w:r w:rsidR="008838EF">
        <w:rPr>
          <w:b/>
          <w:sz w:val="24"/>
          <w:szCs w:val="24"/>
        </w:rPr>
        <w:t>7</w:t>
      </w:r>
      <w:r w:rsidRPr="008C7D9B">
        <w:rPr>
          <w:b/>
          <w:sz w:val="24"/>
          <w:szCs w:val="24"/>
        </w:rPr>
        <w:t>)</w:t>
      </w:r>
      <w:r w:rsidRPr="008C7D9B">
        <w:rPr>
          <w:b/>
          <w:sz w:val="24"/>
          <w:szCs w:val="24"/>
        </w:rPr>
        <w:tab/>
        <w:t>Is the Attachment 1 all I need to submit?</w:t>
      </w:r>
    </w:p>
    <w:p w:rsidR="004E0340" w:rsidRPr="008C7D9B" w:rsidRDefault="004E0340" w:rsidP="00C43139">
      <w:pPr>
        <w:ind w:left="720"/>
        <w:jc w:val="both"/>
        <w:rPr>
          <w:sz w:val="24"/>
          <w:szCs w:val="24"/>
        </w:rPr>
      </w:pPr>
      <w:r w:rsidRPr="008C7D9B">
        <w:rPr>
          <w:sz w:val="24"/>
          <w:szCs w:val="24"/>
        </w:rPr>
        <w:t xml:space="preserve">For the infrastructure mini-grant and the </w:t>
      </w:r>
      <w:r w:rsidR="00B47177" w:rsidRPr="008C7D9B">
        <w:rPr>
          <w:rFonts w:cstheme="minorHAnsi"/>
          <w:bCs/>
          <w:sz w:val="24"/>
          <w:szCs w:val="24"/>
        </w:rPr>
        <w:t>health/safety and/or consumable support/welfare supply</w:t>
      </w:r>
      <w:r w:rsidR="00B47177" w:rsidRPr="008C7D9B">
        <w:rPr>
          <w:sz w:val="24"/>
          <w:szCs w:val="24"/>
        </w:rPr>
        <w:t xml:space="preserve"> </w:t>
      </w:r>
      <w:r w:rsidRPr="008C7D9B">
        <w:rPr>
          <w:sz w:val="24"/>
          <w:szCs w:val="24"/>
        </w:rPr>
        <w:t xml:space="preserve">mini-grant, YES.  </w:t>
      </w:r>
    </w:p>
    <w:p w:rsidR="004E0340" w:rsidRPr="008C7D9B" w:rsidRDefault="004E0340" w:rsidP="00C43139">
      <w:pPr>
        <w:ind w:left="720"/>
        <w:jc w:val="both"/>
        <w:rPr>
          <w:sz w:val="24"/>
          <w:szCs w:val="24"/>
        </w:rPr>
      </w:pPr>
      <w:r w:rsidRPr="008C7D9B">
        <w:rPr>
          <w:b/>
          <w:sz w:val="24"/>
          <w:szCs w:val="24"/>
        </w:rPr>
        <w:t>For training stipends</w:t>
      </w:r>
      <w:r w:rsidRPr="008C7D9B">
        <w:rPr>
          <w:sz w:val="24"/>
          <w:szCs w:val="24"/>
        </w:rPr>
        <w:t xml:space="preserve">, </w:t>
      </w:r>
      <w:r w:rsidR="000E267A">
        <w:rPr>
          <w:sz w:val="24"/>
          <w:szCs w:val="24"/>
        </w:rPr>
        <w:t xml:space="preserve">Attachment 2 must also be completed by both the </w:t>
      </w:r>
      <w:r w:rsidR="00385196">
        <w:rPr>
          <w:sz w:val="24"/>
          <w:szCs w:val="24"/>
        </w:rPr>
        <w:t xml:space="preserve">individual </w:t>
      </w:r>
      <w:r w:rsidR="000E267A">
        <w:rPr>
          <w:sz w:val="24"/>
          <w:szCs w:val="24"/>
        </w:rPr>
        <w:t xml:space="preserve">instructor and their child care provider, along with training certificates.  </w:t>
      </w:r>
      <w:r w:rsidRPr="008C7D9B">
        <w:rPr>
          <w:sz w:val="24"/>
          <w:szCs w:val="24"/>
        </w:rPr>
        <w:t xml:space="preserve"> are also on the ELC website.  There is a separate FAQ that is specific to applying for the Statewide sponsored training</w:t>
      </w:r>
      <w:r w:rsidR="00D724F2">
        <w:rPr>
          <w:sz w:val="24"/>
          <w:szCs w:val="24"/>
        </w:rPr>
        <w:t xml:space="preserve"> stipends, located on the FAQ section on our </w:t>
      </w:r>
      <w:hyperlink r:id="rId12" w:history="1">
        <w:r w:rsidR="00D724F2" w:rsidRPr="00D724F2">
          <w:rPr>
            <w:rStyle w:val="Hyperlink"/>
            <w:sz w:val="24"/>
            <w:szCs w:val="24"/>
          </w:rPr>
          <w:t>website</w:t>
        </w:r>
      </w:hyperlink>
      <w:r w:rsidR="00D724F2">
        <w:rPr>
          <w:sz w:val="24"/>
          <w:szCs w:val="24"/>
        </w:rPr>
        <w:t>.</w:t>
      </w:r>
    </w:p>
    <w:p w:rsidR="006F2F08" w:rsidRPr="008C7D9B" w:rsidRDefault="006F2F08" w:rsidP="00C43139">
      <w:pPr>
        <w:ind w:left="720" w:hanging="720"/>
        <w:jc w:val="both"/>
        <w:rPr>
          <w:b/>
          <w:sz w:val="24"/>
          <w:szCs w:val="24"/>
        </w:rPr>
      </w:pPr>
      <w:r w:rsidRPr="008C7D9B">
        <w:rPr>
          <w:b/>
          <w:sz w:val="24"/>
          <w:szCs w:val="24"/>
        </w:rPr>
        <w:t>Q</w:t>
      </w:r>
      <w:r w:rsidR="008838EF">
        <w:rPr>
          <w:b/>
          <w:sz w:val="24"/>
          <w:szCs w:val="24"/>
        </w:rPr>
        <w:t>8</w:t>
      </w:r>
      <w:r w:rsidRPr="008C7D9B">
        <w:rPr>
          <w:b/>
          <w:sz w:val="24"/>
          <w:szCs w:val="24"/>
        </w:rPr>
        <w:t>)</w:t>
      </w:r>
      <w:r w:rsidRPr="008C7D9B">
        <w:rPr>
          <w:b/>
          <w:sz w:val="24"/>
          <w:szCs w:val="24"/>
        </w:rPr>
        <w:tab/>
        <w:t>Are the mini-grants limited to birth to five only providers?</w:t>
      </w:r>
    </w:p>
    <w:p w:rsidR="00FC3A62" w:rsidRPr="008C7D9B" w:rsidRDefault="006F2F08" w:rsidP="00C43139">
      <w:pPr>
        <w:ind w:left="720" w:hanging="720"/>
        <w:jc w:val="both"/>
        <w:rPr>
          <w:sz w:val="24"/>
          <w:szCs w:val="24"/>
        </w:rPr>
      </w:pPr>
      <w:r w:rsidRPr="008C7D9B">
        <w:rPr>
          <w:sz w:val="24"/>
          <w:szCs w:val="24"/>
        </w:rPr>
        <w:tab/>
        <w:t>No, any contracted SR or VPK provider may receive mini-grants, as long as they meet the eligibility requirements.</w:t>
      </w:r>
      <w:r w:rsidR="00FC3A62" w:rsidRPr="008C7D9B">
        <w:rPr>
          <w:sz w:val="24"/>
          <w:szCs w:val="24"/>
        </w:rPr>
        <w:t xml:space="preserve">  </w:t>
      </w:r>
    </w:p>
    <w:p w:rsidR="00C90A23" w:rsidRPr="008C7D9B" w:rsidRDefault="00C90A23" w:rsidP="00C43139">
      <w:pPr>
        <w:ind w:left="720" w:hanging="720"/>
        <w:jc w:val="both"/>
        <w:rPr>
          <w:b/>
          <w:sz w:val="24"/>
          <w:szCs w:val="24"/>
        </w:rPr>
      </w:pPr>
      <w:r w:rsidRPr="008C7D9B">
        <w:rPr>
          <w:b/>
          <w:sz w:val="24"/>
          <w:szCs w:val="24"/>
        </w:rPr>
        <w:t>Q</w:t>
      </w:r>
      <w:r w:rsidR="008838EF">
        <w:rPr>
          <w:b/>
          <w:sz w:val="24"/>
          <w:szCs w:val="24"/>
        </w:rPr>
        <w:t>9</w:t>
      </w:r>
      <w:r w:rsidRPr="008C7D9B">
        <w:rPr>
          <w:b/>
          <w:sz w:val="24"/>
          <w:szCs w:val="24"/>
        </w:rPr>
        <w:t>)</w:t>
      </w:r>
      <w:r w:rsidRPr="008C7D9B">
        <w:rPr>
          <w:b/>
          <w:sz w:val="24"/>
          <w:szCs w:val="24"/>
        </w:rPr>
        <w:tab/>
        <w:t>Are Public/Charter schools entitled to mini-grants?</w:t>
      </w:r>
    </w:p>
    <w:p w:rsidR="00C90A23" w:rsidRPr="008C7D9B" w:rsidRDefault="00C90A23" w:rsidP="00C43139">
      <w:pPr>
        <w:ind w:left="720" w:hanging="720"/>
        <w:jc w:val="both"/>
        <w:rPr>
          <w:sz w:val="24"/>
          <w:szCs w:val="24"/>
        </w:rPr>
      </w:pPr>
      <w:r w:rsidRPr="008C7D9B">
        <w:rPr>
          <w:sz w:val="24"/>
          <w:szCs w:val="24"/>
        </w:rPr>
        <w:tab/>
        <w:t>Since the mini-grants require providers to be open or planning to open within 10 days</w:t>
      </w:r>
      <w:r w:rsidR="008C7D9B">
        <w:rPr>
          <w:sz w:val="24"/>
          <w:szCs w:val="24"/>
        </w:rPr>
        <w:t xml:space="preserve"> of applying</w:t>
      </w:r>
      <w:r w:rsidRPr="008C7D9B">
        <w:rPr>
          <w:sz w:val="24"/>
          <w:szCs w:val="24"/>
        </w:rPr>
        <w:t>, public/charter schools do not qualify for FY19</w:t>
      </w:r>
      <w:r w:rsidR="00CF07F6">
        <w:rPr>
          <w:sz w:val="24"/>
          <w:szCs w:val="24"/>
        </w:rPr>
        <w:t>/</w:t>
      </w:r>
      <w:r w:rsidRPr="008C7D9B">
        <w:rPr>
          <w:sz w:val="24"/>
          <w:szCs w:val="24"/>
        </w:rPr>
        <w:t xml:space="preserve">20. </w:t>
      </w:r>
    </w:p>
    <w:p w:rsidR="00C90A23" w:rsidRPr="004E0340" w:rsidRDefault="004E0340" w:rsidP="00C43139">
      <w:pPr>
        <w:jc w:val="both"/>
        <w:rPr>
          <w:rFonts w:cstheme="minorHAnsi"/>
          <w:b/>
          <w:bCs/>
          <w:sz w:val="24"/>
          <w:szCs w:val="24"/>
        </w:rPr>
      </w:pPr>
      <w:r>
        <w:rPr>
          <w:rFonts w:cstheme="minorHAnsi"/>
          <w:b/>
          <w:bCs/>
          <w:sz w:val="24"/>
          <w:szCs w:val="24"/>
        </w:rPr>
        <w:t>Q</w:t>
      </w:r>
      <w:r w:rsidR="008838EF">
        <w:rPr>
          <w:rFonts w:cstheme="minorHAnsi"/>
          <w:b/>
          <w:bCs/>
          <w:sz w:val="24"/>
          <w:szCs w:val="24"/>
        </w:rPr>
        <w:t>10</w:t>
      </w:r>
      <w:r>
        <w:rPr>
          <w:rFonts w:cstheme="minorHAnsi"/>
          <w:b/>
          <w:bCs/>
          <w:sz w:val="24"/>
          <w:szCs w:val="24"/>
        </w:rPr>
        <w:t>)</w:t>
      </w:r>
      <w:r>
        <w:rPr>
          <w:rFonts w:cstheme="minorHAnsi"/>
          <w:b/>
          <w:bCs/>
          <w:sz w:val="24"/>
          <w:szCs w:val="24"/>
        </w:rPr>
        <w:tab/>
      </w:r>
      <w:r w:rsidR="00C90A23" w:rsidRPr="004E0340">
        <w:rPr>
          <w:rFonts w:cstheme="minorHAnsi"/>
          <w:b/>
          <w:bCs/>
          <w:sz w:val="24"/>
          <w:szCs w:val="24"/>
        </w:rPr>
        <w:t>How much in mini-grant monies can a qualifying provider receive?</w:t>
      </w:r>
    </w:p>
    <w:p w:rsidR="00C90A23" w:rsidRDefault="00C90A23" w:rsidP="00C43139">
      <w:pPr>
        <w:spacing w:after="0" w:line="240" w:lineRule="auto"/>
        <w:ind w:left="360" w:firstLine="360"/>
        <w:jc w:val="both"/>
        <w:rPr>
          <w:rFonts w:cstheme="minorHAnsi"/>
          <w:bCs/>
          <w:sz w:val="24"/>
          <w:szCs w:val="24"/>
        </w:rPr>
      </w:pPr>
      <w:r>
        <w:rPr>
          <w:rFonts w:cstheme="minorHAnsi"/>
          <w:bCs/>
          <w:sz w:val="24"/>
          <w:szCs w:val="24"/>
        </w:rPr>
        <w:t xml:space="preserve">The following amounts of mini-grants can be earned per provider, per location. </w:t>
      </w:r>
    </w:p>
    <w:p w:rsidR="00C90A23" w:rsidRPr="0065721B" w:rsidRDefault="00C90A23" w:rsidP="00C43139">
      <w:pPr>
        <w:pStyle w:val="ListParagraph"/>
        <w:numPr>
          <w:ilvl w:val="0"/>
          <w:numId w:val="2"/>
        </w:numPr>
        <w:jc w:val="both"/>
        <w:rPr>
          <w:bCs/>
          <w:sz w:val="24"/>
          <w:szCs w:val="24"/>
        </w:rPr>
      </w:pPr>
      <w:r w:rsidRPr="0065721B">
        <w:rPr>
          <w:bCs/>
          <w:sz w:val="24"/>
          <w:szCs w:val="24"/>
        </w:rPr>
        <w:t xml:space="preserve">No cap set on funding for training stipends, since the maximum is $750 per teacher or </w:t>
      </w:r>
      <w:r>
        <w:rPr>
          <w:bCs/>
          <w:sz w:val="24"/>
          <w:szCs w:val="24"/>
        </w:rPr>
        <w:t xml:space="preserve">qualifying </w:t>
      </w:r>
      <w:r w:rsidRPr="0065721B">
        <w:rPr>
          <w:bCs/>
          <w:sz w:val="24"/>
          <w:szCs w:val="24"/>
        </w:rPr>
        <w:t>staff member.</w:t>
      </w:r>
    </w:p>
    <w:p w:rsidR="00C90A23" w:rsidRDefault="00000421" w:rsidP="00C43139">
      <w:pPr>
        <w:pStyle w:val="ListParagraph"/>
        <w:numPr>
          <w:ilvl w:val="0"/>
          <w:numId w:val="2"/>
        </w:numPr>
        <w:jc w:val="both"/>
        <w:rPr>
          <w:bCs/>
          <w:sz w:val="24"/>
          <w:szCs w:val="24"/>
        </w:rPr>
      </w:pPr>
      <w:r>
        <w:rPr>
          <w:bCs/>
          <w:sz w:val="24"/>
          <w:szCs w:val="24"/>
        </w:rPr>
        <w:lastRenderedPageBreak/>
        <w:t xml:space="preserve">Up to </w:t>
      </w:r>
      <w:r w:rsidR="00C90A23" w:rsidRPr="0065721B">
        <w:rPr>
          <w:bCs/>
          <w:sz w:val="24"/>
          <w:szCs w:val="24"/>
        </w:rPr>
        <w:t xml:space="preserve">$2,000 </w:t>
      </w:r>
      <w:r w:rsidR="00C90A23">
        <w:rPr>
          <w:bCs/>
          <w:sz w:val="24"/>
          <w:szCs w:val="24"/>
        </w:rPr>
        <w:t xml:space="preserve">combined maximum for </w:t>
      </w:r>
      <w:r w:rsidR="00CF07F6">
        <w:rPr>
          <w:bCs/>
          <w:sz w:val="24"/>
          <w:szCs w:val="24"/>
        </w:rPr>
        <w:t xml:space="preserve">the </w:t>
      </w:r>
      <w:r w:rsidR="00C90A23">
        <w:rPr>
          <w:bCs/>
          <w:sz w:val="24"/>
          <w:szCs w:val="24"/>
        </w:rPr>
        <w:t xml:space="preserve">other </w:t>
      </w:r>
      <w:r w:rsidR="00CF07F6">
        <w:rPr>
          <w:bCs/>
          <w:sz w:val="24"/>
          <w:szCs w:val="24"/>
        </w:rPr>
        <w:t xml:space="preserve">two </w:t>
      </w:r>
      <w:r w:rsidR="00C90A23" w:rsidRPr="0065721B">
        <w:rPr>
          <w:bCs/>
          <w:sz w:val="24"/>
          <w:szCs w:val="24"/>
        </w:rPr>
        <w:t xml:space="preserve">mini-grants </w:t>
      </w:r>
      <w:r w:rsidR="00C90A23">
        <w:rPr>
          <w:bCs/>
          <w:sz w:val="24"/>
          <w:szCs w:val="24"/>
        </w:rPr>
        <w:t xml:space="preserve">from a single ELC (up to $1,000 for infrastructure costs; </w:t>
      </w:r>
      <w:r>
        <w:rPr>
          <w:bCs/>
          <w:sz w:val="24"/>
          <w:szCs w:val="24"/>
        </w:rPr>
        <w:t xml:space="preserve">up to </w:t>
      </w:r>
      <w:r w:rsidR="00C90A23">
        <w:rPr>
          <w:bCs/>
          <w:sz w:val="24"/>
          <w:szCs w:val="24"/>
        </w:rPr>
        <w:t>$1,000 for health/safety or consumable support/welfare supply costs).</w:t>
      </w:r>
    </w:p>
    <w:p w:rsidR="00C90A23" w:rsidRPr="004E0340" w:rsidRDefault="004E0340" w:rsidP="00C43139">
      <w:pPr>
        <w:ind w:left="720" w:hanging="720"/>
        <w:jc w:val="both"/>
        <w:rPr>
          <w:rFonts w:cstheme="minorHAnsi"/>
          <w:b/>
          <w:sz w:val="24"/>
          <w:szCs w:val="24"/>
        </w:rPr>
      </w:pPr>
      <w:r>
        <w:rPr>
          <w:rFonts w:cstheme="minorHAnsi"/>
          <w:b/>
          <w:sz w:val="24"/>
          <w:szCs w:val="24"/>
        </w:rPr>
        <w:t>Q</w:t>
      </w:r>
      <w:r w:rsidR="00FC3A62">
        <w:rPr>
          <w:rFonts w:cstheme="minorHAnsi"/>
          <w:b/>
          <w:sz w:val="24"/>
          <w:szCs w:val="24"/>
        </w:rPr>
        <w:t>1</w:t>
      </w:r>
      <w:r w:rsidR="008838EF">
        <w:rPr>
          <w:rFonts w:cstheme="minorHAnsi"/>
          <w:b/>
          <w:sz w:val="24"/>
          <w:szCs w:val="24"/>
        </w:rPr>
        <w:t>1</w:t>
      </w:r>
      <w:r>
        <w:rPr>
          <w:rFonts w:cstheme="minorHAnsi"/>
          <w:b/>
          <w:sz w:val="24"/>
          <w:szCs w:val="24"/>
        </w:rPr>
        <w:t>)</w:t>
      </w:r>
      <w:r>
        <w:rPr>
          <w:rFonts w:cstheme="minorHAnsi"/>
          <w:b/>
          <w:sz w:val="24"/>
          <w:szCs w:val="24"/>
        </w:rPr>
        <w:tab/>
        <w:t xml:space="preserve">If my facility is located in one county, but I have SR/VPK contracts with more than one county, can I apply for mini-grants to more than </w:t>
      </w:r>
      <w:r w:rsidR="00E04E58">
        <w:rPr>
          <w:rFonts w:cstheme="minorHAnsi"/>
          <w:b/>
          <w:sz w:val="24"/>
          <w:szCs w:val="24"/>
        </w:rPr>
        <w:t xml:space="preserve">one coalition? </w:t>
      </w:r>
      <w:r w:rsidR="00C90A23" w:rsidRPr="004E0340">
        <w:rPr>
          <w:rFonts w:cstheme="minorHAnsi"/>
          <w:b/>
          <w:sz w:val="24"/>
          <w:szCs w:val="24"/>
        </w:rPr>
        <w:t xml:space="preserve">Are providers restricted to only applying to their “home” coalition? </w:t>
      </w:r>
    </w:p>
    <w:p w:rsidR="00C90A23" w:rsidRDefault="00C90A23" w:rsidP="00C43139">
      <w:pPr>
        <w:widowControl w:val="0"/>
        <w:autoSpaceDE w:val="0"/>
        <w:autoSpaceDN w:val="0"/>
        <w:adjustRightInd w:val="0"/>
        <w:spacing w:after="0" w:line="240" w:lineRule="auto"/>
        <w:ind w:left="360"/>
        <w:jc w:val="both"/>
        <w:rPr>
          <w:rFonts w:cstheme="minorHAnsi"/>
          <w:bCs/>
          <w:sz w:val="24"/>
          <w:szCs w:val="24"/>
        </w:rPr>
      </w:pPr>
      <w:r>
        <w:rPr>
          <w:rFonts w:cstheme="minorHAnsi"/>
          <w:bCs/>
          <w:sz w:val="24"/>
          <w:szCs w:val="24"/>
        </w:rPr>
        <w:t xml:space="preserve">A: Instructions for how to treat potential duplicate payments will vary based on the type of mini-grant offered. </w:t>
      </w:r>
    </w:p>
    <w:p w:rsidR="00C90A23" w:rsidRDefault="00C90A23" w:rsidP="00C43139">
      <w:pPr>
        <w:widowControl w:val="0"/>
        <w:autoSpaceDE w:val="0"/>
        <w:autoSpaceDN w:val="0"/>
        <w:adjustRightInd w:val="0"/>
        <w:spacing w:after="0" w:line="240" w:lineRule="auto"/>
        <w:ind w:left="360"/>
        <w:jc w:val="both"/>
        <w:rPr>
          <w:rFonts w:cstheme="minorHAnsi"/>
          <w:bCs/>
          <w:sz w:val="24"/>
          <w:szCs w:val="24"/>
        </w:rPr>
      </w:pPr>
    </w:p>
    <w:p w:rsidR="00C90A23" w:rsidRDefault="00C90A23" w:rsidP="00C43139">
      <w:pPr>
        <w:widowControl w:val="0"/>
        <w:autoSpaceDE w:val="0"/>
        <w:autoSpaceDN w:val="0"/>
        <w:adjustRightInd w:val="0"/>
        <w:spacing w:after="0" w:line="240" w:lineRule="auto"/>
        <w:ind w:left="360"/>
        <w:jc w:val="both"/>
        <w:rPr>
          <w:rFonts w:cstheme="minorHAnsi"/>
          <w:b/>
          <w:bCs/>
          <w:sz w:val="24"/>
          <w:szCs w:val="24"/>
          <w:u w:val="single"/>
        </w:rPr>
      </w:pPr>
      <w:r>
        <w:rPr>
          <w:rFonts w:cstheme="minorHAnsi"/>
          <w:bCs/>
          <w:sz w:val="24"/>
          <w:szCs w:val="24"/>
          <w:u w:val="single"/>
        </w:rPr>
        <w:t xml:space="preserve">For professional development/training stipends – </w:t>
      </w:r>
      <w:r>
        <w:rPr>
          <w:rFonts w:cstheme="minorHAnsi"/>
          <w:b/>
          <w:bCs/>
          <w:sz w:val="24"/>
          <w:szCs w:val="24"/>
          <w:u w:val="single"/>
        </w:rPr>
        <w:t>“home” coalition instructions apply</w:t>
      </w:r>
    </w:p>
    <w:p w:rsidR="00C90A23" w:rsidRDefault="00C90A23" w:rsidP="00C43139">
      <w:pPr>
        <w:widowControl w:val="0"/>
        <w:autoSpaceDE w:val="0"/>
        <w:autoSpaceDN w:val="0"/>
        <w:adjustRightInd w:val="0"/>
        <w:spacing w:after="0" w:line="240" w:lineRule="auto"/>
        <w:ind w:left="360"/>
        <w:jc w:val="both"/>
        <w:rPr>
          <w:rFonts w:cstheme="minorHAnsi"/>
          <w:bCs/>
          <w:sz w:val="24"/>
          <w:szCs w:val="24"/>
        </w:rPr>
      </w:pPr>
      <w:r>
        <w:rPr>
          <w:rFonts w:cstheme="minorHAnsi"/>
          <w:bCs/>
          <w:sz w:val="24"/>
          <w:szCs w:val="24"/>
        </w:rPr>
        <w:t>Child care providers that contract with multiple coalitions will be paid by the coalition where the provider is physically located (“home” coalition). Duplicate payments will not be offered. Any qualifying teacher/staff member can only be paid once for any completed training session/event by their “home” coalition.</w:t>
      </w:r>
    </w:p>
    <w:p w:rsidR="00C90A23" w:rsidRDefault="00C90A23" w:rsidP="00C43139">
      <w:pPr>
        <w:widowControl w:val="0"/>
        <w:autoSpaceDE w:val="0"/>
        <w:autoSpaceDN w:val="0"/>
        <w:adjustRightInd w:val="0"/>
        <w:spacing w:after="0" w:line="240" w:lineRule="auto"/>
        <w:ind w:left="360"/>
        <w:jc w:val="both"/>
        <w:rPr>
          <w:rFonts w:cstheme="minorHAnsi"/>
          <w:bCs/>
          <w:sz w:val="24"/>
          <w:szCs w:val="24"/>
        </w:rPr>
      </w:pPr>
    </w:p>
    <w:p w:rsidR="00C90A23" w:rsidRDefault="00C90A23" w:rsidP="00C43139">
      <w:pPr>
        <w:widowControl w:val="0"/>
        <w:autoSpaceDE w:val="0"/>
        <w:autoSpaceDN w:val="0"/>
        <w:adjustRightInd w:val="0"/>
        <w:spacing w:after="0" w:line="240" w:lineRule="auto"/>
        <w:ind w:left="360"/>
        <w:jc w:val="both"/>
        <w:rPr>
          <w:rFonts w:cstheme="minorHAnsi"/>
          <w:b/>
          <w:bCs/>
          <w:i/>
          <w:sz w:val="24"/>
          <w:szCs w:val="24"/>
          <w:u w:val="single"/>
        </w:rPr>
      </w:pPr>
      <w:r>
        <w:rPr>
          <w:rFonts w:cstheme="minorHAnsi"/>
          <w:bCs/>
          <w:sz w:val="24"/>
          <w:szCs w:val="24"/>
          <w:u w:val="single"/>
        </w:rPr>
        <w:t xml:space="preserve">For other emergency mini-grants - </w:t>
      </w:r>
      <w:r>
        <w:rPr>
          <w:rFonts w:cstheme="minorHAnsi"/>
          <w:b/>
          <w:bCs/>
          <w:i/>
          <w:sz w:val="24"/>
          <w:szCs w:val="24"/>
          <w:u w:val="single"/>
        </w:rPr>
        <w:t>“home” coalition instructions do NOT apply</w:t>
      </w:r>
    </w:p>
    <w:p w:rsidR="00C90A23" w:rsidRDefault="00C90A23" w:rsidP="00C43139">
      <w:pPr>
        <w:widowControl w:val="0"/>
        <w:autoSpaceDE w:val="0"/>
        <w:autoSpaceDN w:val="0"/>
        <w:adjustRightInd w:val="0"/>
        <w:spacing w:after="0" w:line="240" w:lineRule="auto"/>
        <w:ind w:left="360"/>
        <w:jc w:val="both"/>
        <w:rPr>
          <w:rFonts w:cstheme="minorHAnsi"/>
          <w:bCs/>
          <w:sz w:val="24"/>
          <w:szCs w:val="24"/>
        </w:rPr>
      </w:pPr>
      <w:r>
        <w:rPr>
          <w:rFonts w:cstheme="minorHAnsi"/>
          <w:bCs/>
          <w:sz w:val="24"/>
          <w:szCs w:val="24"/>
        </w:rPr>
        <w:t xml:space="preserve">Because of the unique nature of this public health emergency (and the federal/state intent to offer support ASAP), </w:t>
      </w:r>
      <w:r w:rsidR="00B47177">
        <w:rPr>
          <w:rFonts w:cstheme="minorHAnsi"/>
          <w:bCs/>
          <w:sz w:val="24"/>
          <w:szCs w:val="24"/>
        </w:rPr>
        <w:t>whether or not a provider receives mini-grants for certain items</w:t>
      </w:r>
      <w:r>
        <w:rPr>
          <w:rFonts w:cstheme="minorHAnsi"/>
          <w:bCs/>
          <w:sz w:val="24"/>
          <w:szCs w:val="24"/>
        </w:rPr>
        <w:t xml:space="preserve"> is not OEL’s focus. </w:t>
      </w:r>
    </w:p>
    <w:p w:rsidR="00C90A23" w:rsidRPr="00FC70A8" w:rsidRDefault="00C90A23" w:rsidP="00C43139">
      <w:pPr>
        <w:pStyle w:val="ListParagraph"/>
        <w:widowControl w:val="0"/>
        <w:numPr>
          <w:ilvl w:val="0"/>
          <w:numId w:val="4"/>
        </w:numPr>
        <w:autoSpaceDE w:val="0"/>
        <w:autoSpaceDN w:val="0"/>
        <w:adjustRightInd w:val="0"/>
        <w:jc w:val="both"/>
        <w:rPr>
          <w:rFonts w:cstheme="minorHAnsi"/>
          <w:bCs/>
          <w:sz w:val="24"/>
          <w:szCs w:val="24"/>
        </w:rPr>
      </w:pPr>
      <w:r w:rsidRPr="00FC70A8">
        <w:rPr>
          <w:rFonts w:cstheme="minorHAnsi"/>
          <w:bCs/>
          <w:sz w:val="24"/>
          <w:szCs w:val="24"/>
        </w:rPr>
        <w:t>If a provider serves multiple ELCs, they could potentially be eligible to receive (a) infrastructure and/or (b) health/safety and/or consumable support/welfare supply mini-grants from either or both coalitions. However,  </w:t>
      </w:r>
    </w:p>
    <w:p w:rsidR="00C90A23" w:rsidRPr="00FC70A8" w:rsidRDefault="00C90A23" w:rsidP="00C43139">
      <w:pPr>
        <w:pStyle w:val="ListParagraph"/>
        <w:widowControl w:val="0"/>
        <w:numPr>
          <w:ilvl w:val="0"/>
          <w:numId w:val="4"/>
        </w:numPr>
        <w:autoSpaceDE w:val="0"/>
        <w:autoSpaceDN w:val="0"/>
        <w:adjustRightInd w:val="0"/>
        <w:jc w:val="both"/>
        <w:rPr>
          <w:rFonts w:cstheme="minorHAnsi"/>
          <w:bCs/>
          <w:sz w:val="24"/>
          <w:szCs w:val="24"/>
        </w:rPr>
      </w:pPr>
      <w:r w:rsidRPr="00FC70A8">
        <w:rPr>
          <w:rFonts w:cstheme="minorHAnsi"/>
          <w:bCs/>
          <w:sz w:val="24"/>
          <w:szCs w:val="24"/>
        </w:rPr>
        <w:t>Each ELC’s budgetary and board-approved spending plans for the program year still apply, and local limitations may impact the amount (if any) of mini-grant activity in these categories that an ELC chooses to fund.</w:t>
      </w:r>
    </w:p>
    <w:p w:rsidR="00FC3A62" w:rsidRDefault="00FC3A62" w:rsidP="00C43139">
      <w:pPr>
        <w:jc w:val="both"/>
        <w:rPr>
          <w:b/>
          <w:sz w:val="24"/>
          <w:szCs w:val="24"/>
          <w:u w:val="single"/>
        </w:rPr>
      </w:pPr>
    </w:p>
    <w:p w:rsidR="006F2F08" w:rsidRDefault="00FC3A62" w:rsidP="00C43139">
      <w:pPr>
        <w:jc w:val="both"/>
        <w:rPr>
          <w:sz w:val="24"/>
          <w:szCs w:val="24"/>
        </w:rPr>
      </w:pPr>
      <w:r>
        <w:rPr>
          <w:b/>
          <w:sz w:val="24"/>
          <w:szCs w:val="24"/>
        </w:rPr>
        <w:t>Q1</w:t>
      </w:r>
      <w:r w:rsidR="008838EF">
        <w:rPr>
          <w:b/>
          <w:sz w:val="24"/>
          <w:szCs w:val="24"/>
        </w:rPr>
        <w:t>2</w:t>
      </w:r>
      <w:r>
        <w:rPr>
          <w:b/>
          <w:sz w:val="24"/>
          <w:szCs w:val="24"/>
        </w:rPr>
        <w:t>)</w:t>
      </w:r>
      <w:r>
        <w:rPr>
          <w:b/>
          <w:sz w:val="24"/>
          <w:szCs w:val="24"/>
        </w:rPr>
        <w:tab/>
        <w:t>How quickly can I expect to receive my mini-grant funds?</w:t>
      </w:r>
    </w:p>
    <w:p w:rsidR="00FC3A62" w:rsidRDefault="00B85528" w:rsidP="00C43139">
      <w:pPr>
        <w:jc w:val="both"/>
        <w:rPr>
          <w:sz w:val="24"/>
          <w:szCs w:val="24"/>
        </w:rPr>
      </w:pPr>
      <w:r>
        <w:rPr>
          <w:sz w:val="24"/>
          <w:szCs w:val="24"/>
        </w:rPr>
        <w:t>We will be accepting/paying mini-grants on a rolling basis</w:t>
      </w:r>
      <w:r w:rsidR="007B41D2">
        <w:rPr>
          <w:sz w:val="24"/>
          <w:szCs w:val="24"/>
        </w:rPr>
        <w:t xml:space="preserve"> and based on the availability of funding</w:t>
      </w:r>
      <w:r>
        <w:rPr>
          <w:sz w:val="24"/>
          <w:szCs w:val="24"/>
        </w:rPr>
        <w:t xml:space="preserve">.  </w:t>
      </w:r>
      <w:r w:rsidR="00FC3A62">
        <w:rPr>
          <w:sz w:val="24"/>
          <w:szCs w:val="24"/>
        </w:rPr>
        <w:t xml:space="preserve">For infrastructure and </w:t>
      </w:r>
      <w:r w:rsidR="00FC3A62">
        <w:rPr>
          <w:rFonts w:cstheme="minorHAnsi"/>
          <w:bCs/>
          <w:sz w:val="24"/>
          <w:szCs w:val="24"/>
        </w:rPr>
        <w:t>health/safety and/or consumable support/welfare supply</w:t>
      </w:r>
      <w:r w:rsidR="00FC3A62">
        <w:rPr>
          <w:sz w:val="24"/>
          <w:szCs w:val="24"/>
        </w:rPr>
        <w:t xml:space="preserve"> mini-grants, </w:t>
      </w:r>
      <w:r>
        <w:rPr>
          <w:sz w:val="24"/>
          <w:szCs w:val="24"/>
        </w:rPr>
        <w:t>once processed, payments will be made monthly on a rolling basis, taking between two and four weeks.  These payments will be made separately from child care reimbursements.</w:t>
      </w:r>
    </w:p>
    <w:p w:rsidR="006F2F08" w:rsidRPr="00FC3A62" w:rsidRDefault="00FC3A62" w:rsidP="00C43139">
      <w:pPr>
        <w:jc w:val="both"/>
        <w:rPr>
          <w:sz w:val="24"/>
          <w:szCs w:val="24"/>
        </w:rPr>
      </w:pPr>
      <w:r w:rsidRPr="00FC3A62">
        <w:rPr>
          <w:sz w:val="24"/>
          <w:szCs w:val="24"/>
        </w:rPr>
        <w:t xml:space="preserve">For </w:t>
      </w:r>
      <w:r w:rsidR="00B85528">
        <w:rPr>
          <w:sz w:val="24"/>
          <w:szCs w:val="24"/>
        </w:rPr>
        <w:t xml:space="preserve">statewide child care teacher </w:t>
      </w:r>
      <w:r w:rsidRPr="00FC3A62">
        <w:rPr>
          <w:sz w:val="24"/>
          <w:szCs w:val="24"/>
        </w:rPr>
        <w:t xml:space="preserve">training stipends, </w:t>
      </w:r>
      <w:r w:rsidR="00B85528">
        <w:rPr>
          <w:sz w:val="24"/>
          <w:szCs w:val="24"/>
        </w:rPr>
        <w:t>once all documents have been verified as complete, please allow between two and four weeks for payment.</w:t>
      </w:r>
    </w:p>
    <w:p w:rsidR="006F2F08" w:rsidRDefault="006F2F08" w:rsidP="00C43139">
      <w:pPr>
        <w:jc w:val="both"/>
      </w:pPr>
    </w:p>
    <w:p w:rsidR="003D0DFE" w:rsidRPr="003C3D37" w:rsidRDefault="003C3D37" w:rsidP="003C3D37">
      <w:pPr>
        <w:rPr>
          <w:rFonts w:cstheme="minorHAnsi"/>
          <w:b/>
          <w:bCs/>
          <w:sz w:val="24"/>
          <w:szCs w:val="24"/>
        </w:rPr>
      </w:pPr>
      <w:r>
        <w:rPr>
          <w:rFonts w:cstheme="minorHAnsi"/>
          <w:b/>
          <w:bCs/>
          <w:sz w:val="24"/>
          <w:szCs w:val="24"/>
        </w:rPr>
        <w:t>Q1</w:t>
      </w:r>
      <w:r w:rsidR="008838EF">
        <w:rPr>
          <w:rFonts w:cstheme="minorHAnsi"/>
          <w:b/>
          <w:bCs/>
          <w:sz w:val="24"/>
          <w:szCs w:val="24"/>
        </w:rPr>
        <w:t>3</w:t>
      </w:r>
      <w:r>
        <w:rPr>
          <w:rFonts w:cstheme="minorHAnsi"/>
          <w:b/>
          <w:bCs/>
          <w:sz w:val="24"/>
          <w:szCs w:val="24"/>
        </w:rPr>
        <w:t>)</w:t>
      </w:r>
      <w:r>
        <w:rPr>
          <w:rFonts w:cstheme="minorHAnsi"/>
          <w:b/>
          <w:bCs/>
          <w:sz w:val="24"/>
          <w:szCs w:val="24"/>
        </w:rPr>
        <w:tab/>
      </w:r>
      <w:r w:rsidR="003D0DFE" w:rsidRPr="003C3D37">
        <w:rPr>
          <w:rFonts w:cstheme="minorHAnsi"/>
          <w:b/>
          <w:bCs/>
          <w:sz w:val="24"/>
          <w:szCs w:val="24"/>
        </w:rPr>
        <w:t xml:space="preserve">What type of costs can be reimbursed by these mini-grants? </w:t>
      </w:r>
    </w:p>
    <w:p w:rsidR="003D0DFE" w:rsidRDefault="003D0DFE" w:rsidP="003D0DFE">
      <w:pPr>
        <w:spacing w:after="0" w:line="240" w:lineRule="auto"/>
        <w:ind w:left="360"/>
        <w:jc w:val="both"/>
        <w:rPr>
          <w:rFonts w:cstheme="minorHAnsi"/>
          <w:b/>
          <w:bCs/>
          <w:sz w:val="24"/>
          <w:szCs w:val="24"/>
        </w:rPr>
      </w:pPr>
    </w:p>
    <w:tbl>
      <w:tblPr>
        <w:tblStyle w:val="TableGrid"/>
        <w:tblW w:w="0" w:type="auto"/>
        <w:tblInd w:w="360" w:type="dxa"/>
        <w:tblLook w:val="04A0" w:firstRow="1" w:lastRow="0" w:firstColumn="1" w:lastColumn="0" w:noHBand="0" w:noVBand="1"/>
      </w:tblPr>
      <w:tblGrid>
        <w:gridCol w:w="7465"/>
        <w:gridCol w:w="1525"/>
      </w:tblGrid>
      <w:tr w:rsidR="003D0DFE" w:rsidTr="00EE6B6E">
        <w:tc>
          <w:tcPr>
            <w:tcW w:w="7465" w:type="dxa"/>
          </w:tcPr>
          <w:p w:rsidR="003D0DFE" w:rsidRPr="00152E2F" w:rsidRDefault="003D0DFE" w:rsidP="00EE6B6E">
            <w:pPr>
              <w:jc w:val="center"/>
              <w:rPr>
                <w:rFonts w:cstheme="minorHAnsi"/>
                <w:b/>
                <w:bCs/>
              </w:rPr>
            </w:pPr>
          </w:p>
          <w:p w:rsidR="003D0DFE" w:rsidRPr="00152E2F" w:rsidRDefault="003D0DFE" w:rsidP="00EE6B6E">
            <w:pPr>
              <w:jc w:val="center"/>
              <w:rPr>
                <w:rFonts w:cstheme="minorHAnsi"/>
                <w:b/>
                <w:bCs/>
              </w:rPr>
            </w:pPr>
            <w:r w:rsidRPr="00152E2F">
              <w:rPr>
                <w:rFonts w:cstheme="minorHAnsi"/>
                <w:b/>
                <w:bCs/>
                <w:sz w:val="22"/>
                <w:szCs w:val="22"/>
              </w:rPr>
              <w:t>Type of Expense(s)</w:t>
            </w:r>
            <w:r w:rsidRPr="00152E2F">
              <w:rPr>
                <w:rFonts w:cstheme="minorHAnsi"/>
                <w:b/>
                <w:bCs/>
                <w:sz w:val="22"/>
                <w:szCs w:val="22"/>
                <w:vertAlign w:val="superscript"/>
              </w:rPr>
              <w:t>3</w:t>
            </w:r>
          </w:p>
          <w:p w:rsidR="003D0DFE" w:rsidRPr="00152E2F" w:rsidRDefault="003D0DFE" w:rsidP="00EE6B6E">
            <w:pPr>
              <w:jc w:val="center"/>
              <w:rPr>
                <w:rFonts w:cstheme="minorHAnsi"/>
                <w:bCs/>
                <w:i/>
              </w:rPr>
            </w:pPr>
            <w:r w:rsidRPr="004703AB">
              <w:rPr>
                <w:rFonts w:cstheme="minorHAnsi"/>
                <w:bCs/>
                <w:i/>
              </w:rPr>
              <w:t>See PG 240.20 Appendices A, B and C for more details</w:t>
            </w:r>
          </w:p>
        </w:tc>
        <w:tc>
          <w:tcPr>
            <w:tcW w:w="1525" w:type="dxa"/>
          </w:tcPr>
          <w:p w:rsidR="003D0DFE" w:rsidRPr="00152E2F" w:rsidRDefault="003D0DFE" w:rsidP="00EE6B6E">
            <w:pPr>
              <w:jc w:val="center"/>
              <w:rPr>
                <w:rFonts w:cstheme="minorHAnsi"/>
                <w:b/>
                <w:bCs/>
              </w:rPr>
            </w:pPr>
            <w:r w:rsidRPr="00152E2F">
              <w:rPr>
                <w:rFonts w:cstheme="minorHAnsi"/>
                <w:b/>
                <w:bCs/>
                <w:sz w:val="22"/>
                <w:szCs w:val="22"/>
              </w:rPr>
              <w:t>Allowable mini-grant cost(s)?</w:t>
            </w:r>
          </w:p>
        </w:tc>
      </w:tr>
      <w:tr w:rsidR="003D0DFE" w:rsidTr="00EE6B6E">
        <w:tc>
          <w:tcPr>
            <w:tcW w:w="7465" w:type="dxa"/>
          </w:tcPr>
          <w:p w:rsidR="003D0DFE" w:rsidRPr="00152E2F" w:rsidRDefault="003D0DFE" w:rsidP="00EE6B6E">
            <w:pPr>
              <w:jc w:val="both"/>
              <w:rPr>
                <w:rFonts w:cstheme="minorHAnsi"/>
                <w:bCs/>
              </w:rPr>
            </w:pPr>
            <w:r w:rsidRPr="00152E2F">
              <w:rPr>
                <w:rFonts w:cstheme="minorHAnsi"/>
                <w:bCs/>
                <w:sz w:val="22"/>
                <w:szCs w:val="22"/>
              </w:rPr>
              <w:t>Costs incurred prior to the activation of the emergency order</w:t>
            </w:r>
          </w:p>
        </w:tc>
        <w:tc>
          <w:tcPr>
            <w:tcW w:w="1525" w:type="dxa"/>
          </w:tcPr>
          <w:p w:rsidR="003D0DFE" w:rsidRPr="00152E2F" w:rsidRDefault="003D0DFE" w:rsidP="00EE6B6E">
            <w:pPr>
              <w:jc w:val="center"/>
              <w:rPr>
                <w:rFonts w:cstheme="minorHAnsi"/>
                <w:bCs/>
              </w:rPr>
            </w:pPr>
            <w:r w:rsidRPr="00152E2F">
              <w:rPr>
                <w:rFonts w:cstheme="minorHAnsi"/>
                <w:bCs/>
                <w:sz w:val="22"/>
                <w:szCs w:val="22"/>
              </w:rPr>
              <w:t>No</w:t>
            </w:r>
            <w:r w:rsidRPr="00152E2F">
              <w:rPr>
                <w:rFonts w:cstheme="minorHAnsi"/>
                <w:bCs/>
                <w:sz w:val="22"/>
                <w:szCs w:val="22"/>
                <w:vertAlign w:val="superscript"/>
              </w:rPr>
              <w:t>1</w:t>
            </w:r>
          </w:p>
        </w:tc>
      </w:tr>
      <w:tr w:rsidR="003D0DFE" w:rsidTr="00EE6B6E">
        <w:tc>
          <w:tcPr>
            <w:tcW w:w="7465" w:type="dxa"/>
          </w:tcPr>
          <w:p w:rsidR="003D0DFE" w:rsidRPr="00152E2F" w:rsidRDefault="003D0DFE" w:rsidP="00EE6B6E">
            <w:pPr>
              <w:jc w:val="both"/>
              <w:rPr>
                <w:rFonts w:cstheme="minorHAnsi"/>
                <w:bCs/>
              </w:rPr>
            </w:pPr>
            <w:r w:rsidRPr="00152E2F">
              <w:rPr>
                <w:rFonts w:cstheme="minorHAnsi"/>
                <w:bCs/>
                <w:sz w:val="22"/>
                <w:szCs w:val="22"/>
              </w:rPr>
              <w:t>Teacher stipend for class taken before the emergency declaration occurred</w:t>
            </w:r>
          </w:p>
        </w:tc>
        <w:tc>
          <w:tcPr>
            <w:tcW w:w="1525" w:type="dxa"/>
          </w:tcPr>
          <w:p w:rsidR="003D0DFE" w:rsidRPr="00152E2F" w:rsidRDefault="003D0DFE" w:rsidP="00EE6B6E">
            <w:pPr>
              <w:jc w:val="center"/>
              <w:rPr>
                <w:rFonts w:cstheme="minorHAnsi"/>
                <w:bCs/>
              </w:rPr>
            </w:pPr>
            <w:r w:rsidRPr="00152E2F">
              <w:rPr>
                <w:rFonts w:cstheme="minorHAnsi"/>
                <w:bCs/>
                <w:sz w:val="22"/>
                <w:szCs w:val="22"/>
              </w:rPr>
              <w:t>No</w:t>
            </w:r>
            <w:r w:rsidRPr="00152E2F">
              <w:rPr>
                <w:rFonts w:cstheme="minorHAnsi"/>
                <w:bCs/>
                <w:sz w:val="22"/>
                <w:szCs w:val="22"/>
                <w:vertAlign w:val="superscript"/>
              </w:rPr>
              <w:t>2</w:t>
            </w:r>
          </w:p>
        </w:tc>
      </w:tr>
      <w:tr w:rsidR="003D0DFE" w:rsidTr="00EE6B6E">
        <w:tc>
          <w:tcPr>
            <w:tcW w:w="7465" w:type="dxa"/>
          </w:tcPr>
          <w:p w:rsidR="003D0DFE" w:rsidRPr="00152E2F" w:rsidRDefault="003D0DFE" w:rsidP="00EE6B6E">
            <w:pPr>
              <w:jc w:val="both"/>
              <w:rPr>
                <w:rFonts w:cstheme="minorHAnsi"/>
                <w:bCs/>
              </w:rPr>
            </w:pPr>
            <w:r w:rsidRPr="00152E2F">
              <w:rPr>
                <w:rFonts w:cstheme="minorHAnsi"/>
                <w:bCs/>
                <w:sz w:val="22"/>
                <w:szCs w:val="22"/>
              </w:rPr>
              <w:t>Crib blankets</w:t>
            </w:r>
          </w:p>
        </w:tc>
        <w:tc>
          <w:tcPr>
            <w:tcW w:w="1525" w:type="dxa"/>
          </w:tcPr>
          <w:p w:rsidR="003D0DFE" w:rsidRPr="00152E2F" w:rsidRDefault="003D0DFE" w:rsidP="00EE6B6E">
            <w:pPr>
              <w:jc w:val="center"/>
              <w:rPr>
                <w:rFonts w:cstheme="minorHAnsi"/>
                <w:bCs/>
              </w:rPr>
            </w:pPr>
            <w:r w:rsidRPr="00152E2F">
              <w:rPr>
                <w:rFonts w:cstheme="minorHAnsi"/>
                <w:bCs/>
                <w:sz w:val="22"/>
                <w:szCs w:val="22"/>
              </w:rPr>
              <w:t>No</w:t>
            </w:r>
            <w:r w:rsidRPr="00152E2F">
              <w:rPr>
                <w:rFonts w:cstheme="minorHAnsi"/>
                <w:bCs/>
                <w:sz w:val="22"/>
                <w:szCs w:val="22"/>
                <w:vertAlign w:val="superscript"/>
              </w:rPr>
              <w:t>3</w:t>
            </w:r>
          </w:p>
        </w:tc>
      </w:tr>
      <w:tr w:rsidR="003D0DFE" w:rsidTr="00EE6B6E">
        <w:tc>
          <w:tcPr>
            <w:tcW w:w="7465" w:type="dxa"/>
          </w:tcPr>
          <w:p w:rsidR="003D0DFE" w:rsidRPr="00152E2F" w:rsidRDefault="003D0DFE" w:rsidP="00EE6B6E">
            <w:pPr>
              <w:jc w:val="both"/>
              <w:rPr>
                <w:rFonts w:cstheme="minorHAnsi"/>
                <w:bCs/>
              </w:rPr>
            </w:pPr>
            <w:r w:rsidRPr="00152E2F">
              <w:rPr>
                <w:rFonts w:cstheme="minorHAnsi"/>
                <w:bCs/>
                <w:sz w:val="22"/>
                <w:szCs w:val="22"/>
              </w:rPr>
              <w:t>Utility bills (phone, power, water)</w:t>
            </w:r>
          </w:p>
        </w:tc>
        <w:tc>
          <w:tcPr>
            <w:tcW w:w="1525" w:type="dxa"/>
          </w:tcPr>
          <w:p w:rsidR="003D0DFE" w:rsidRPr="00152E2F" w:rsidRDefault="003D0DFE" w:rsidP="00EE6B6E">
            <w:pPr>
              <w:jc w:val="center"/>
              <w:rPr>
                <w:rFonts w:cstheme="minorHAnsi"/>
                <w:bCs/>
              </w:rPr>
            </w:pPr>
            <w:r w:rsidRPr="00152E2F">
              <w:rPr>
                <w:rFonts w:cstheme="minorHAnsi"/>
                <w:bCs/>
                <w:sz w:val="22"/>
                <w:szCs w:val="22"/>
              </w:rPr>
              <w:t>Yes</w:t>
            </w:r>
            <w:r w:rsidRPr="00152E2F">
              <w:rPr>
                <w:rFonts w:cstheme="minorHAnsi"/>
                <w:bCs/>
                <w:sz w:val="22"/>
                <w:szCs w:val="22"/>
                <w:vertAlign w:val="superscript"/>
              </w:rPr>
              <w:t>1</w:t>
            </w:r>
          </w:p>
        </w:tc>
      </w:tr>
      <w:tr w:rsidR="003D0DFE" w:rsidTr="00EE6B6E">
        <w:tc>
          <w:tcPr>
            <w:tcW w:w="7465" w:type="dxa"/>
          </w:tcPr>
          <w:p w:rsidR="003D0DFE" w:rsidRPr="00152E2F" w:rsidRDefault="003D0DFE" w:rsidP="00EE6B6E">
            <w:pPr>
              <w:jc w:val="both"/>
              <w:rPr>
                <w:rFonts w:cstheme="minorHAnsi"/>
                <w:bCs/>
              </w:rPr>
            </w:pPr>
            <w:r w:rsidRPr="00152E2F">
              <w:rPr>
                <w:rFonts w:cstheme="minorHAnsi"/>
                <w:bCs/>
                <w:sz w:val="22"/>
                <w:szCs w:val="22"/>
              </w:rPr>
              <w:t>Provider’s monthly mortgage</w:t>
            </w:r>
          </w:p>
        </w:tc>
        <w:tc>
          <w:tcPr>
            <w:tcW w:w="1525" w:type="dxa"/>
          </w:tcPr>
          <w:p w:rsidR="003D0DFE" w:rsidRPr="00152E2F" w:rsidRDefault="003D0DFE" w:rsidP="00EE6B6E">
            <w:pPr>
              <w:jc w:val="center"/>
              <w:rPr>
                <w:rFonts w:cstheme="minorHAnsi"/>
                <w:bCs/>
              </w:rPr>
            </w:pPr>
            <w:r w:rsidRPr="00152E2F">
              <w:rPr>
                <w:rFonts w:cstheme="minorHAnsi"/>
                <w:bCs/>
                <w:sz w:val="22"/>
                <w:szCs w:val="22"/>
              </w:rPr>
              <w:t>Yes</w:t>
            </w:r>
            <w:r w:rsidRPr="00152E2F">
              <w:rPr>
                <w:rFonts w:cstheme="minorHAnsi"/>
                <w:bCs/>
                <w:sz w:val="22"/>
                <w:szCs w:val="22"/>
                <w:vertAlign w:val="superscript"/>
              </w:rPr>
              <w:t>1</w:t>
            </w:r>
          </w:p>
        </w:tc>
      </w:tr>
      <w:tr w:rsidR="003D0DFE" w:rsidTr="00EE6B6E">
        <w:tc>
          <w:tcPr>
            <w:tcW w:w="7465" w:type="dxa"/>
          </w:tcPr>
          <w:p w:rsidR="003D0DFE" w:rsidRPr="00152E2F" w:rsidRDefault="003D0DFE" w:rsidP="00EE6B6E">
            <w:pPr>
              <w:jc w:val="both"/>
              <w:rPr>
                <w:rFonts w:cstheme="minorHAnsi"/>
                <w:bCs/>
              </w:rPr>
            </w:pPr>
            <w:r w:rsidRPr="00152E2F">
              <w:rPr>
                <w:rFonts w:cstheme="minorHAnsi"/>
                <w:bCs/>
                <w:sz w:val="22"/>
                <w:szCs w:val="22"/>
              </w:rPr>
              <w:t>Rent</w:t>
            </w:r>
          </w:p>
        </w:tc>
        <w:tc>
          <w:tcPr>
            <w:tcW w:w="1525" w:type="dxa"/>
          </w:tcPr>
          <w:p w:rsidR="003D0DFE" w:rsidRPr="00152E2F" w:rsidRDefault="003D0DFE" w:rsidP="00EE6B6E">
            <w:pPr>
              <w:jc w:val="center"/>
              <w:rPr>
                <w:rFonts w:cstheme="minorHAnsi"/>
                <w:bCs/>
              </w:rPr>
            </w:pPr>
            <w:r w:rsidRPr="00152E2F">
              <w:rPr>
                <w:rFonts w:cstheme="minorHAnsi"/>
                <w:bCs/>
                <w:sz w:val="22"/>
                <w:szCs w:val="22"/>
              </w:rPr>
              <w:t>Yes</w:t>
            </w:r>
            <w:r w:rsidRPr="00152E2F">
              <w:rPr>
                <w:rFonts w:cstheme="minorHAnsi"/>
                <w:bCs/>
                <w:sz w:val="22"/>
                <w:szCs w:val="22"/>
                <w:vertAlign w:val="superscript"/>
              </w:rPr>
              <w:t>1</w:t>
            </w:r>
          </w:p>
        </w:tc>
      </w:tr>
      <w:tr w:rsidR="003D0DFE" w:rsidTr="00EE6B6E">
        <w:tc>
          <w:tcPr>
            <w:tcW w:w="7465" w:type="dxa"/>
          </w:tcPr>
          <w:p w:rsidR="003D0DFE" w:rsidRPr="00152E2F" w:rsidRDefault="003D0DFE" w:rsidP="00EE6B6E">
            <w:pPr>
              <w:jc w:val="both"/>
              <w:rPr>
                <w:rFonts w:cstheme="minorHAnsi"/>
                <w:bCs/>
              </w:rPr>
            </w:pPr>
            <w:r w:rsidRPr="00152E2F">
              <w:rPr>
                <w:rFonts w:cstheme="minorHAnsi"/>
                <w:bCs/>
                <w:sz w:val="22"/>
                <w:szCs w:val="22"/>
              </w:rPr>
              <w:t>Insurance</w:t>
            </w:r>
          </w:p>
        </w:tc>
        <w:tc>
          <w:tcPr>
            <w:tcW w:w="1525" w:type="dxa"/>
          </w:tcPr>
          <w:p w:rsidR="003D0DFE" w:rsidRPr="00152E2F" w:rsidRDefault="003D0DFE" w:rsidP="00EE6B6E">
            <w:pPr>
              <w:jc w:val="center"/>
              <w:rPr>
                <w:rFonts w:cstheme="minorHAnsi"/>
                <w:bCs/>
              </w:rPr>
            </w:pPr>
            <w:r w:rsidRPr="00152E2F">
              <w:rPr>
                <w:rFonts w:cstheme="minorHAnsi"/>
                <w:bCs/>
                <w:sz w:val="22"/>
                <w:szCs w:val="22"/>
              </w:rPr>
              <w:t>Yes</w:t>
            </w:r>
            <w:r w:rsidRPr="00152E2F">
              <w:rPr>
                <w:rFonts w:cstheme="minorHAnsi"/>
                <w:bCs/>
                <w:sz w:val="22"/>
                <w:szCs w:val="22"/>
                <w:vertAlign w:val="superscript"/>
              </w:rPr>
              <w:t>1</w:t>
            </w:r>
          </w:p>
        </w:tc>
      </w:tr>
      <w:tr w:rsidR="003D0DFE" w:rsidTr="00EE6B6E">
        <w:tc>
          <w:tcPr>
            <w:tcW w:w="7465" w:type="dxa"/>
          </w:tcPr>
          <w:p w:rsidR="003D0DFE" w:rsidRPr="00152E2F" w:rsidRDefault="003D0DFE" w:rsidP="00EE6B6E">
            <w:pPr>
              <w:jc w:val="both"/>
              <w:rPr>
                <w:rFonts w:cstheme="minorHAnsi"/>
                <w:bCs/>
              </w:rPr>
            </w:pPr>
            <w:r w:rsidRPr="00152E2F">
              <w:rPr>
                <w:rFonts w:cstheme="minorHAnsi"/>
                <w:bCs/>
                <w:sz w:val="22"/>
                <w:szCs w:val="22"/>
              </w:rPr>
              <w:t>Staffing (salaries)</w:t>
            </w:r>
          </w:p>
        </w:tc>
        <w:tc>
          <w:tcPr>
            <w:tcW w:w="1525" w:type="dxa"/>
          </w:tcPr>
          <w:p w:rsidR="003D0DFE" w:rsidRPr="00152E2F" w:rsidRDefault="003D0DFE" w:rsidP="00EE6B6E">
            <w:pPr>
              <w:jc w:val="center"/>
              <w:rPr>
                <w:rFonts w:cstheme="minorHAnsi"/>
                <w:bCs/>
              </w:rPr>
            </w:pPr>
            <w:r w:rsidRPr="00152E2F">
              <w:rPr>
                <w:rFonts w:cstheme="minorHAnsi"/>
                <w:bCs/>
                <w:sz w:val="22"/>
                <w:szCs w:val="22"/>
              </w:rPr>
              <w:t>Yes</w:t>
            </w:r>
            <w:r w:rsidRPr="00152E2F">
              <w:rPr>
                <w:rFonts w:cstheme="minorHAnsi"/>
                <w:bCs/>
                <w:sz w:val="22"/>
                <w:szCs w:val="22"/>
                <w:vertAlign w:val="superscript"/>
              </w:rPr>
              <w:t>1</w:t>
            </w:r>
          </w:p>
        </w:tc>
      </w:tr>
      <w:tr w:rsidR="003D0DFE" w:rsidTr="00EE6B6E">
        <w:tc>
          <w:tcPr>
            <w:tcW w:w="7465" w:type="dxa"/>
          </w:tcPr>
          <w:p w:rsidR="003D0DFE" w:rsidRPr="00152E2F" w:rsidRDefault="003D0DFE" w:rsidP="00EE6B6E">
            <w:pPr>
              <w:jc w:val="both"/>
              <w:rPr>
                <w:rFonts w:cstheme="minorHAnsi"/>
                <w:bCs/>
              </w:rPr>
            </w:pPr>
            <w:r w:rsidRPr="00152E2F">
              <w:rPr>
                <w:rFonts w:cstheme="minorHAnsi"/>
                <w:bCs/>
                <w:sz w:val="22"/>
                <w:szCs w:val="22"/>
              </w:rPr>
              <w:t>Classes repeated since March 1, 2020 by qualifying teachers/staff</w:t>
            </w:r>
          </w:p>
        </w:tc>
        <w:tc>
          <w:tcPr>
            <w:tcW w:w="1525" w:type="dxa"/>
          </w:tcPr>
          <w:p w:rsidR="003D0DFE" w:rsidRPr="00152E2F" w:rsidRDefault="003D0DFE" w:rsidP="00EE6B6E">
            <w:pPr>
              <w:jc w:val="center"/>
              <w:rPr>
                <w:rFonts w:cstheme="minorHAnsi"/>
                <w:bCs/>
              </w:rPr>
            </w:pPr>
            <w:r w:rsidRPr="00152E2F">
              <w:rPr>
                <w:rFonts w:cstheme="minorHAnsi"/>
                <w:bCs/>
                <w:sz w:val="22"/>
                <w:szCs w:val="22"/>
              </w:rPr>
              <w:t>No</w:t>
            </w:r>
          </w:p>
        </w:tc>
      </w:tr>
    </w:tbl>
    <w:p w:rsidR="003D0DFE" w:rsidRPr="00152E2F" w:rsidRDefault="003D0DFE" w:rsidP="003D0DFE">
      <w:pPr>
        <w:pStyle w:val="ListParagraph"/>
        <w:ind w:left="360"/>
        <w:jc w:val="both"/>
        <w:rPr>
          <w:rFonts w:cstheme="minorHAnsi"/>
          <w:i/>
          <w:sz w:val="20"/>
          <w:szCs w:val="24"/>
        </w:rPr>
      </w:pPr>
      <w:r w:rsidRPr="00152E2F">
        <w:rPr>
          <w:rFonts w:cstheme="minorHAnsi"/>
          <w:i/>
          <w:sz w:val="20"/>
          <w:szCs w:val="24"/>
          <w:vertAlign w:val="superscript"/>
        </w:rPr>
        <w:t>1</w:t>
      </w:r>
      <w:r w:rsidRPr="00152E2F">
        <w:rPr>
          <w:rFonts w:cstheme="minorHAnsi"/>
          <w:i/>
          <w:sz w:val="20"/>
          <w:szCs w:val="24"/>
        </w:rPr>
        <w:t xml:space="preserve">OEL records indicate </w:t>
      </w:r>
      <w:r w:rsidRPr="00152E2F">
        <w:rPr>
          <w:rFonts w:cstheme="minorHAnsi"/>
          <w:b/>
          <w:i/>
          <w:sz w:val="20"/>
          <w:szCs w:val="24"/>
        </w:rPr>
        <w:t>March 1, 2020</w:t>
      </w:r>
      <w:r w:rsidRPr="00152E2F">
        <w:rPr>
          <w:rFonts w:cstheme="minorHAnsi"/>
          <w:i/>
          <w:sz w:val="20"/>
          <w:szCs w:val="24"/>
        </w:rPr>
        <w:t>, as the effective start date for EO 20-51. Costs incurred after this date are allowable for the health/safety, support welfare supplies, and infrastructure mini-grants.</w:t>
      </w:r>
    </w:p>
    <w:p w:rsidR="003D0DFE" w:rsidRPr="00152E2F" w:rsidRDefault="003D0DFE" w:rsidP="003D0DFE">
      <w:pPr>
        <w:pStyle w:val="ListParagraph"/>
        <w:ind w:left="360"/>
        <w:jc w:val="both"/>
        <w:rPr>
          <w:rFonts w:cstheme="minorHAnsi"/>
          <w:i/>
          <w:sz w:val="20"/>
          <w:szCs w:val="24"/>
        </w:rPr>
      </w:pPr>
      <w:r w:rsidRPr="00152E2F">
        <w:rPr>
          <w:rFonts w:cstheme="minorHAnsi"/>
          <w:i/>
          <w:sz w:val="20"/>
          <w:szCs w:val="24"/>
          <w:vertAlign w:val="superscript"/>
        </w:rPr>
        <w:t>2</w:t>
      </w:r>
      <w:r w:rsidRPr="00152E2F">
        <w:rPr>
          <w:rFonts w:cstheme="minorHAnsi"/>
          <w:i/>
          <w:sz w:val="20"/>
          <w:szCs w:val="24"/>
        </w:rPr>
        <w:t xml:space="preserve">Training stipends are allowable for classes taken/completed after </w:t>
      </w:r>
      <w:r w:rsidRPr="00BD1DD5">
        <w:rPr>
          <w:rFonts w:cstheme="minorHAnsi"/>
          <w:b/>
          <w:i/>
          <w:sz w:val="20"/>
          <w:szCs w:val="24"/>
        </w:rPr>
        <w:t>March 1, 2020</w:t>
      </w:r>
      <w:r w:rsidRPr="00BD1DD5">
        <w:rPr>
          <w:rFonts w:cstheme="minorHAnsi"/>
          <w:i/>
          <w:sz w:val="20"/>
          <w:szCs w:val="24"/>
        </w:rPr>
        <w:t>.</w:t>
      </w:r>
    </w:p>
    <w:p w:rsidR="003D0DFE" w:rsidRPr="00FE7EB8" w:rsidRDefault="003D0DFE" w:rsidP="003D0DFE">
      <w:pPr>
        <w:spacing w:after="0" w:line="240" w:lineRule="auto"/>
        <w:ind w:left="360"/>
        <w:jc w:val="both"/>
        <w:rPr>
          <w:rFonts w:cstheme="minorHAnsi"/>
          <w:bCs/>
          <w:sz w:val="24"/>
          <w:szCs w:val="24"/>
        </w:rPr>
      </w:pPr>
    </w:p>
    <w:p w:rsidR="003D0DFE" w:rsidRPr="003C3D37" w:rsidRDefault="003C3D37" w:rsidP="003C3D37">
      <w:pPr>
        <w:ind w:left="720" w:hanging="720"/>
        <w:jc w:val="both"/>
        <w:rPr>
          <w:rFonts w:cstheme="minorHAnsi"/>
          <w:b/>
          <w:bCs/>
          <w:sz w:val="24"/>
          <w:szCs w:val="24"/>
        </w:rPr>
      </w:pPr>
      <w:r>
        <w:rPr>
          <w:rFonts w:cstheme="minorHAnsi"/>
          <w:b/>
          <w:bCs/>
          <w:sz w:val="24"/>
          <w:szCs w:val="24"/>
        </w:rPr>
        <w:t>Q1</w:t>
      </w:r>
      <w:r w:rsidR="008838EF">
        <w:rPr>
          <w:rFonts w:cstheme="minorHAnsi"/>
          <w:b/>
          <w:bCs/>
          <w:sz w:val="24"/>
          <w:szCs w:val="24"/>
        </w:rPr>
        <w:t>4</w:t>
      </w:r>
      <w:r>
        <w:rPr>
          <w:rFonts w:cstheme="minorHAnsi"/>
          <w:b/>
          <w:bCs/>
          <w:sz w:val="24"/>
          <w:szCs w:val="24"/>
        </w:rPr>
        <w:t>)</w:t>
      </w:r>
      <w:r>
        <w:rPr>
          <w:rFonts w:cstheme="minorHAnsi"/>
          <w:b/>
          <w:bCs/>
          <w:sz w:val="24"/>
          <w:szCs w:val="24"/>
        </w:rPr>
        <w:tab/>
      </w:r>
      <w:r w:rsidR="003D0DFE" w:rsidRPr="003C3D37">
        <w:rPr>
          <w:rFonts w:cstheme="minorHAnsi"/>
          <w:b/>
          <w:bCs/>
          <w:sz w:val="24"/>
          <w:szCs w:val="24"/>
        </w:rPr>
        <w:t xml:space="preserve">What documentation is required or allowable to support making payments for these mini-grants? </w:t>
      </w:r>
    </w:p>
    <w:p w:rsidR="003D0DFE" w:rsidRDefault="003D0DFE" w:rsidP="003D0DFE">
      <w:pPr>
        <w:spacing w:after="0" w:line="240" w:lineRule="auto"/>
        <w:ind w:left="360"/>
        <w:jc w:val="both"/>
        <w:rPr>
          <w:rFonts w:cstheme="minorHAnsi"/>
          <w:b/>
          <w:bCs/>
          <w:sz w:val="24"/>
          <w:szCs w:val="24"/>
        </w:rPr>
      </w:pPr>
    </w:p>
    <w:tbl>
      <w:tblPr>
        <w:tblStyle w:val="TableGrid"/>
        <w:tblW w:w="0" w:type="auto"/>
        <w:tblInd w:w="360" w:type="dxa"/>
        <w:tblLook w:val="04A0" w:firstRow="1" w:lastRow="0" w:firstColumn="1" w:lastColumn="0" w:noHBand="0" w:noVBand="1"/>
      </w:tblPr>
      <w:tblGrid>
        <w:gridCol w:w="7015"/>
        <w:gridCol w:w="1975"/>
      </w:tblGrid>
      <w:tr w:rsidR="003D0DFE" w:rsidTr="00EE6B6E">
        <w:tc>
          <w:tcPr>
            <w:tcW w:w="7015" w:type="dxa"/>
          </w:tcPr>
          <w:p w:rsidR="003D0DFE" w:rsidRPr="00152E2F" w:rsidRDefault="003D0DFE" w:rsidP="00EE6B6E">
            <w:pPr>
              <w:jc w:val="center"/>
              <w:rPr>
                <w:rFonts w:cstheme="minorHAnsi"/>
                <w:b/>
                <w:bCs/>
              </w:rPr>
            </w:pPr>
          </w:p>
          <w:p w:rsidR="003D0DFE" w:rsidRPr="00152E2F" w:rsidRDefault="003D0DFE" w:rsidP="00EE6B6E">
            <w:pPr>
              <w:jc w:val="center"/>
              <w:rPr>
                <w:rFonts w:cstheme="minorHAnsi"/>
                <w:b/>
                <w:bCs/>
              </w:rPr>
            </w:pPr>
          </w:p>
          <w:p w:rsidR="003D0DFE" w:rsidRPr="00152E2F" w:rsidRDefault="003D0DFE" w:rsidP="00EE6B6E">
            <w:pPr>
              <w:jc w:val="center"/>
              <w:rPr>
                <w:rFonts w:cstheme="minorHAnsi"/>
                <w:b/>
                <w:bCs/>
              </w:rPr>
            </w:pPr>
          </w:p>
          <w:p w:rsidR="003D0DFE" w:rsidRPr="00152E2F" w:rsidRDefault="003D0DFE" w:rsidP="00EE6B6E">
            <w:pPr>
              <w:jc w:val="center"/>
              <w:rPr>
                <w:rFonts w:cstheme="minorHAnsi"/>
                <w:b/>
                <w:bCs/>
              </w:rPr>
            </w:pPr>
            <w:r w:rsidRPr="00152E2F">
              <w:rPr>
                <w:rFonts w:cstheme="minorHAnsi"/>
                <w:b/>
                <w:bCs/>
                <w:sz w:val="22"/>
                <w:szCs w:val="22"/>
              </w:rPr>
              <w:t>Type of Documentation</w:t>
            </w:r>
          </w:p>
        </w:tc>
        <w:tc>
          <w:tcPr>
            <w:tcW w:w="1975" w:type="dxa"/>
          </w:tcPr>
          <w:p w:rsidR="003D0DFE" w:rsidRPr="00152E2F" w:rsidRDefault="003D0DFE" w:rsidP="00EE6B6E">
            <w:pPr>
              <w:jc w:val="center"/>
              <w:rPr>
                <w:rFonts w:cstheme="minorHAnsi"/>
                <w:b/>
                <w:bCs/>
              </w:rPr>
            </w:pPr>
            <w:r w:rsidRPr="00152E2F">
              <w:rPr>
                <w:rFonts w:cstheme="minorHAnsi"/>
                <w:b/>
                <w:bCs/>
                <w:sz w:val="22"/>
                <w:szCs w:val="22"/>
              </w:rPr>
              <w:t>Required or allowable for mini-grant cost(s)?</w:t>
            </w:r>
          </w:p>
        </w:tc>
      </w:tr>
      <w:tr w:rsidR="003D0DFE" w:rsidTr="00EE6B6E">
        <w:tc>
          <w:tcPr>
            <w:tcW w:w="7015" w:type="dxa"/>
          </w:tcPr>
          <w:p w:rsidR="003D0DFE" w:rsidRPr="00152E2F" w:rsidRDefault="003D0DFE" w:rsidP="00EE6B6E">
            <w:pPr>
              <w:jc w:val="both"/>
              <w:rPr>
                <w:rFonts w:cstheme="minorHAnsi"/>
                <w:bCs/>
              </w:rPr>
            </w:pPr>
            <w:r w:rsidRPr="00152E2F">
              <w:rPr>
                <w:rFonts w:cstheme="minorHAnsi"/>
                <w:bCs/>
                <w:sz w:val="22"/>
                <w:szCs w:val="22"/>
              </w:rPr>
              <w:t>Separate/additional ELC-prepared reimbursement form</w:t>
            </w:r>
          </w:p>
        </w:tc>
        <w:tc>
          <w:tcPr>
            <w:tcW w:w="1975" w:type="dxa"/>
          </w:tcPr>
          <w:p w:rsidR="003D0DFE" w:rsidRPr="00152E2F" w:rsidRDefault="003D0DFE" w:rsidP="00EE6B6E">
            <w:pPr>
              <w:jc w:val="center"/>
              <w:rPr>
                <w:rFonts w:cstheme="minorHAnsi"/>
                <w:bCs/>
              </w:rPr>
            </w:pPr>
            <w:r w:rsidRPr="00152E2F">
              <w:rPr>
                <w:rFonts w:cstheme="minorHAnsi"/>
                <w:bCs/>
                <w:sz w:val="22"/>
                <w:szCs w:val="22"/>
              </w:rPr>
              <w:t>Not required</w:t>
            </w:r>
          </w:p>
        </w:tc>
      </w:tr>
      <w:tr w:rsidR="003D0DFE" w:rsidTr="00EE6B6E">
        <w:tc>
          <w:tcPr>
            <w:tcW w:w="7015" w:type="dxa"/>
          </w:tcPr>
          <w:p w:rsidR="003D0DFE" w:rsidRPr="00152E2F" w:rsidRDefault="003D0DFE" w:rsidP="00EE6B6E">
            <w:pPr>
              <w:jc w:val="both"/>
              <w:rPr>
                <w:rFonts w:cstheme="minorHAnsi"/>
                <w:bCs/>
              </w:rPr>
            </w:pPr>
            <w:r w:rsidRPr="00152E2F">
              <w:rPr>
                <w:rFonts w:cstheme="minorHAnsi"/>
                <w:bCs/>
                <w:sz w:val="22"/>
                <w:szCs w:val="22"/>
              </w:rPr>
              <w:t>Single copy of completed Attachment 1 per provider, per location</w:t>
            </w:r>
          </w:p>
        </w:tc>
        <w:tc>
          <w:tcPr>
            <w:tcW w:w="1975" w:type="dxa"/>
          </w:tcPr>
          <w:p w:rsidR="003D0DFE" w:rsidRPr="00152E2F" w:rsidRDefault="003D0DFE" w:rsidP="00EE6B6E">
            <w:pPr>
              <w:jc w:val="center"/>
              <w:rPr>
                <w:rFonts w:cstheme="minorHAnsi"/>
                <w:bCs/>
              </w:rPr>
            </w:pPr>
            <w:r w:rsidRPr="00152E2F">
              <w:rPr>
                <w:rFonts w:cstheme="minorHAnsi"/>
                <w:bCs/>
                <w:sz w:val="22"/>
                <w:szCs w:val="22"/>
              </w:rPr>
              <w:t>Required</w:t>
            </w:r>
          </w:p>
        </w:tc>
      </w:tr>
      <w:tr w:rsidR="003D0DFE" w:rsidTr="00EE6B6E">
        <w:tc>
          <w:tcPr>
            <w:tcW w:w="7015" w:type="dxa"/>
          </w:tcPr>
          <w:p w:rsidR="003D0DFE" w:rsidRPr="00152E2F" w:rsidRDefault="003D0DFE" w:rsidP="00EE6B6E">
            <w:pPr>
              <w:jc w:val="both"/>
              <w:rPr>
                <w:rFonts w:cstheme="minorHAnsi"/>
                <w:bCs/>
              </w:rPr>
            </w:pPr>
            <w:r w:rsidRPr="00152E2F">
              <w:rPr>
                <w:rFonts w:cstheme="minorHAnsi"/>
                <w:bCs/>
                <w:sz w:val="22"/>
                <w:szCs w:val="22"/>
              </w:rPr>
              <w:t>New Attachment 2 per teacher, per training session/event</w:t>
            </w:r>
          </w:p>
        </w:tc>
        <w:tc>
          <w:tcPr>
            <w:tcW w:w="1975" w:type="dxa"/>
          </w:tcPr>
          <w:p w:rsidR="003D0DFE" w:rsidRPr="00152E2F" w:rsidRDefault="003D0DFE" w:rsidP="00EE6B6E">
            <w:pPr>
              <w:jc w:val="center"/>
              <w:rPr>
                <w:rFonts w:cstheme="minorHAnsi"/>
                <w:bCs/>
              </w:rPr>
            </w:pPr>
            <w:r w:rsidRPr="00152E2F">
              <w:rPr>
                <w:rFonts w:cstheme="minorHAnsi"/>
                <w:bCs/>
                <w:sz w:val="22"/>
                <w:szCs w:val="22"/>
              </w:rPr>
              <w:t>Required</w:t>
            </w:r>
          </w:p>
        </w:tc>
      </w:tr>
      <w:tr w:rsidR="003D0DFE" w:rsidTr="00EE6B6E">
        <w:tc>
          <w:tcPr>
            <w:tcW w:w="7015" w:type="dxa"/>
          </w:tcPr>
          <w:p w:rsidR="003D0DFE" w:rsidRPr="00152E2F" w:rsidRDefault="003D0DFE" w:rsidP="00EE6B6E">
            <w:pPr>
              <w:jc w:val="both"/>
              <w:rPr>
                <w:rFonts w:cstheme="minorHAnsi"/>
                <w:bCs/>
              </w:rPr>
            </w:pPr>
            <w:r w:rsidRPr="00152E2F">
              <w:rPr>
                <w:rFonts w:cstheme="minorHAnsi"/>
                <w:bCs/>
                <w:sz w:val="22"/>
                <w:szCs w:val="22"/>
              </w:rPr>
              <w:t xml:space="preserve">Electronic copy of training certificate with each Attachment 2 </w:t>
            </w:r>
          </w:p>
          <w:p w:rsidR="003D0DFE" w:rsidRPr="00152E2F" w:rsidRDefault="003D0DFE" w:rsidP="00EE6B6E">
            <w:pPr>
              <w:jc w:val="both"/>
              <w:rPr>
                <w:rFonts w:cstheme="minorHAnsi"/>
                <w:bCs/>
              </w:rPr>
            </w:pPr>
            <w:r w:rsidRPr="00152E2F">
              <w:rPr>
                <w:rFonts w:cstheme="minorHAnsi"/>
                <w:bCs/>
                <w:sz w:val="22"/>
                <w:szCs w:val="22"/>
              </w:rPr>
              <w:t>(per training session or event, per qualifying teacher/staff member)</w:t>
            </w:r>
          </w:p>
        </w:tc>
        <w:tc>
          <w:tcPr>
            <w:tcW w:w="1975" w:type="dxa"/>
          </w:tcPr>
          <w:p w:rsidR="003D0DFE" w:rsidRPr="00152E2F" w:rsidRDefault="003D0DFE" w:rsidP="00EE6B6E">
            <w:pPr>
              <w:jc w:val="center"/>
              <w:rPr>
                <w:rFonts w:cstheme="minorHAnsi"/>
                <w:bCs/>
              </w:rPr>
            </w:pPr>
            <w:r w:rsidRPr="00152E2F">
              <w:rPr>
                <w:rFonts w:cstheme="minorHAnsi"/>
                <w:bCs/>
                <w:sz w:val="22"/>
                <w:szCs w:val="22"/>
              </w:rPr>
              <w:t>Required</w:t>
            </w:r>
          </w:p>
        </w:tc>
      </w:tr>
      <w:tr w:rsidR="003D0DFE" w:rsidTr="00EE6B6E">
        <w:tc>
          <w:tcPr>
            <w:tcW w:w="7015" w:type="dxa"/>
          </w:tcPr>
          <w:p w:rsidR="003D0DFE" w:rsidRPr="00152E2F" w:rsidRDefault="003D0DFE" w:rsidP="00EE6B6E">
            <w:pPr>
              <w:jc w:val="both"/>
              <w:rPr>
                <w:rFonts w:cstheme="minorHAnsi"/>
                <w:bCs/>
              </w:rPr>
            </w:pPr>
            <w:r w:rsidRPr="00152E2F">
              <w:rPr>
                <w:rFonts w:cstheme="minorHAnsi"/>
                <w:bCs/>
                <w:sz w:val="22"/>
                <w:szCs w:val="22"/>
              </w:rPr>
              <w:t xml:space="preserve">Provider receipts </w:t>
            </w:r>
            <w:r w:rsidRPr="00D415F1">
              <w:rPr>
                <w:rFonts w:cstheme="minorHAnsi"/>
                <w:bCs/>
              </w:rPr>
              <w:t>(for cleaning supplies, rent, etc.)</w:t>
            </w:r>
          </w:p>
        </w:tc>
        <w:tc>
          <w:tcPr>
            <w:tcW w:w="1975" w:type="dxa"/>
          </w:tcPr>
          <w:p w:rsidR="003D0DFE" w:rsidRPr="00152E2F" w:rsidRDefault="003D0DFE" w:rsidP="00EE6B6E">
            <w:pPr>
              <w:jc w:val="center"/>
              <w:rPr>
                <w:rFonts w:cstheme="minorHAnsi"/>
                <w:bCs/>
              </w:rPr>
            </w:pPr>
            <w:r w:rsidRPr="00152E2F">
              <w:rPr>
                <w:rFonts w:cstheme="minorHAnsi"/>
                <w:bCs/>
                <w:sz w:val="22"/>
                <w:szCs w:val="22"/>
              </w:rPr>
              <w:t>Not required</w:t>
            </w:r>
          </w:p>
        </w:tc>
      </w:tr>
      <w:tr w:rsidR="003D0DFE" w:rsidTr="00EE6B6E">
        <w:tc>
          <w:tcPr>
            <w:tcW w:w="7015" w:type="dxa"/>
          </w:tcPr>
          <w:p w:rsidR="003D0DFE" w:rsidRPr="00152E2F" w:rsidRDefault="003D0DFE" w:rsidP="00EE6B6E">
            <w:pPr>
              <w:jc w:val="both"/>
              <w:rPr>
                <w:rFonts w:cstheme="minorHAnsi"/>
                <w:bCs/>
              </w:rPr>
            </w:pPr>
            <w:r w:rsidRPr="00152E2F">
              <w:rPr>
                <w:rFonts w:cstheme="minorHAnsi"/>
                <w:bCs/>
                <w:sz w:val="22"/>
                <w:szCs w:val="22"/>
              </w:rPr>
              <w:t xml:space="preserve">Provider “proof of payment” documentation </w:t>
            </w:r>
            <w:r w:rsidRPr="00D415F1">
              <w:rPr>
                <w:rFonts w:cstheme="minorHAnsi"/>
                <w:bCs/>
              </w:rPr>
              <w:t xml:space="preserve">(paid bills, bank </w:t>
            </w:r>
            <w:proofErr w:type="spellStart"/>
            <w:r w:rsidRPr="00D415F1">
              <w:rPr>
                <w:rFonts w:cstheme="minorHAnsi"/>
                <w:bCs/>
              </w:rPr>
              <w:t>stmts</w:t>
            </w:r>
            <w:proofErr w:type="spellEnd"/>
            <w:r w:rsidRPr="00D415F1">
              <w:rPr>
                <w:rFonts w:cstheme="minorHAnsi"/>
                <w:bCs/>
              </w:rPr>
              <w:t>)</w:t>
            </w:r>
          </w:p>
        </w:tc>
        <w:tc>
          <w:tcPr>
            <w:tcW w:w="1975" w:type="dxa"/>
          </w:tcPr>
          <w:p w:rsidR="003D0DFE" w:rsidRPr="00152E2F" w:rsidRDefault="003D0DFE" w:rsidP="00EE6B6E">
            <w:pPr>
              <w:jc w:val="center"/>
              <w:rPr>
                <w:rFonts w:cstheme="minorHAnsi"/>
                <w:bCs/>
              </w:rPr>
            </w:pPr>
            <w:r w:rsidRPr="00152E2F">
              <w:rPr>
                <w:rFonts w:cstheme="minorHAnsi"/>
                <w:bCs/>
                <w:sz w:val="22"/>
                <w:szCs w:val="22"/>
              </w:rPr>
              <w:t>Not required</w:t>
            </w:r>
          </w:p>
        </w:tc>
      </w:tr>
      <w:tr w:rsidR="003D0DFE" w:rsidTr="00EE6B6E">
        <w:tc>
          <w:tcPr>
            <w:tcW w:w="7015" w:type="dxa"/>
          </w:tcPr>
          <w:p w:rsidR="003D0DFE" w:rsidRPr="00152E2F" w:rsidRDefault="003D0DFE" w:rsidP="00EE6B6E">
            <w:pPr>
              <w:jc w:val="both"/>
              <w:rPr>
                <w:rFonts w:cstheme="minorHAnsi"/>
                <w:bCs/>
              </w:rPr>
            </w:pPr>
            <w:r w:rsidRPr="00152E2F">
              <w:rPr>
                <w:rFonts w:cstheme="minorHAnsi"/>
                <w:bCs/>
                <w:sz w:val="22"/>
                <w:szCs w:val="22"/>
              </w:rPr>
              <w:t>Documentation to pro-rate costs from providers</w:t>
            </w:r>
            <w:r w:rsidRPr="00152E2F">
              <w:rPr>
                <w:rFonts w:cstheme="minorHAnsi"/>
                <w:bCs/>
                <w:sz w:val="22"/>
                <w:szCs w:val="22"/>
                <w:vertAlign w:val="superscript"/>
              </w:rPr>
              <w:t>1</w:t>
            </w:r>
          </w:p>
        </w:tc>
        <w:tc>
          <w:tcPr>
            <w:tcW w:w="1975" w:type="dxa"/>
          </w:tcPr>
          <w:p w:rsidR="003D0DFE" w:rsidRPr="00152E2F" w:rsidRDefault="003D0DFE" w:rsidP="00EE6B6E">
            <w:pPr>
              <w:jc w:val="center"/>
              <w:rPr>
                <w:rFonts w:cstheme="minorHAnsi"/>
                <w:bCs/>
              </w:rPr>
            </w:pPr>
            <w:r w:rsidRPr="00152E2F">
              <w:rPr>
                <w:rFonts w:cstheme="minorHAnsi"/>
                <w:bCs/>
                <w:sz w:val="22"/>
                <w:szCs w:val="22"/>
              </w:rPr>
              <w:t>Not required</w:t>
            </w:r>
          </w:p>
        </w:tc>
      </w:tr>
    </w:tbl>
    <w:p w:rsidR="003D0DFE" w:rsidRDefault="003D0DFE" w:rsidP="00C43139">
      <w:pPr>
        <w:jc w:val="both"/>
      </w:pPr>
    </w:p>
    <w:p w:rsidR="003D0DFE" w:rsidRPr="00BD1DD5" w:rsidRDefault="00BD1DD5" w:rsidP="00BD1DD5">
      <w:pPr>
        <w:jc w:val="both"/>
        <w:rPr>
          <w:rFonts w:cstheme="minorHAnsi"/>
          <w:b/>
          <w:color w:val="000000"/>
          <w:sz w:val="24"/>
          <w:szCs w:val="24"/>
          <w:bdr w:val="none" w:sz="0" w:space="0" w:color="auto" w:frame="1"/>
        </w:rPr>
      </w:pPr>
      <w:r>
        <w:rPr>
          <w:rFonts w:cstheme="minorHAnsi"/>
          <w:b/>
          <w:sz w:val="24"/>
          <w:szCs w:val="24"/>
        </w:rPr>
        <w:t>Q1</w:t>
      </w:r>
      <w:r w:rsidR="008838EF">
        <w:rPr>
          <w:rFonts w:cstheme="minorHAnsi"/>
          <w:b/>
          <w:sz w:val="24"/>
          <w:szCs w:val="24"/>
        </w:rPr>
        <w:t>5</w:t>
      </w:r>
      <w:r>
        <w:rPr>
          <w:rFonts w:cstheme="minorHAnsi"/>
          <w:b/>
          <w:sz w:val="24"/>
          <w:szCs w:val="24"/>
        </w:rPr>
        <w:t>)</w:t>
      </w:r>
      <w:r>
        <w:rPr>
          <w:rFonts w:cstheme="minorHAnsi"/>
          <w:b/>
          <w:sz w:val="24"/>
          <w:szCs w:val="24"/>
        </w:rPr>
        <w:tab/>
      </w:r>
      <w:r w:rsidR="003D0DFE" w:rsidRPr="00BD1DD5">
        <w:rPr>
          <w:rFonts w:cstheme="minorHAnsi"/>
          <w:b/>
          <w:sz w:val="24"/>
          <w:szCs w:val="24"/>
        </w:rPr>
        <w:t>What is the time frame for spending the $1,000 on cleaning supplies?</w:t>
      </w:r>
    </w:p>
    <w:p w:rsidR="003D0DFE" w:rsidRDefault="003D0DFE" w:rsidP="00BD1DD5">
      <w:pPr>
        <w:widowControl w:val="0"/>
        <w:autoSpaceDE w:val="0"/>
        <w:autoSpaceDN w:val="0"/>
        <w:adjustRightInd w:val="0"/>
        <w:spacing w:after="0" w:line="240" w:lineRule="auto"/>
        <w:ind w:left="720"/>
        <w:jc w:val="both"/>
        <w:rPr>
          <w:rFonts w:cstheme="minorHAnsi"/>
          <w:sz w:val="24"/>
          <w:szCs w:val="24"/>
        </w:rPr>
      </w:pPr>
      <w:r w:rsidRPr="005E2EFF">
        <w:rPr>
          <w:rFonts w:cstheme="minorHAnsi"/>
          <w:sz w:val="24"/>
          <w:szCs w:val="24"/>
        </w:rPr>
        <w:lastRenderedPageBreak/>
        <w:t>These min-grants are only available while the disaster or emergency declaration remains in effect. </w:t>
      </w:r>
      <w:r>
        <w:rPr>
          <w:rFonts w:cstheme="minorHAnsi"/>
          <w:sz w:val="24"/>
          <w:szCs w:val="24"/>
        </w:rPr>
        <w:t xml:space="preserve"> Mini-grants monies awarded to any provider should be used for the listed/allowed costs as soon as possible, </w:t>
      </w:r>
      <w:r w:rsidRPr="005E2EFF">
        <w:rPr>
          <w:rFonts w:cstheme="minorHAnsi"/>
          <w:sz w:val="24"/>
          <w:szCs w:val="24"/>
        </w:rPr>
        <w:t xml:space="preserve">but no later than 30 days after the emergency declaration </w:t>
      </w:r>
      <w:r w:rsidR="000E267A">
        <w:rPr>
          <w:rFonts w:cstheme="minorHAnsi"/>
          <w:sz w:val="24"/>
          <w:szCs w:val="24"/>
        </w:rPr>
        <w:t xml:space="preserve">signed by the Governor on March 1, 2020 </w:t>
      </w:r>
      <w:r w:rsidRPr="005E2EFF">
        <w:rPr>
          <w:rFonts w:cstheme="minorHAnsi"/>
          <w:sz w:val="24"/>
          <w:szCs w:val="24"/>
        </w:rPr>
        <w:t>expires. </w:t>
      </w:r>
    </w:p>
    <w:p w:rsidR="003D0DFE" w:rsidRDefault="003D0DFE" w:rsidP="003D0DFE">
      <w:pPr>
        <w:spacing w:after="0" w:line="240" w:lineRule="auto"/>
        <w:jc w:val="both"/>
        <w:rPr>
          <w:rFonts w:cstheme="minorHAnsi"/>
          <w:b/>
          <w:bCs/>
          <w:sz w:val="24"/>
          <w:szCs w:val="24"/>
          <w:u w:val="single"/>
        </w:rPr>
      </w:pPr>
    </w:p>
    <w:p w:rsidR="003D0DFE" w:rsidRPr="00BD1DD5" w:rsidRDefault="00BD1DD5" w:rsidP="00BD1DD5">
      <w:pPr>
        <w:ind w:left="720" w:hanging="720"/>
        <w:jc w:val="both"/>
        <w:rPr>
          <w:rFonts w:cstheme="minorHAnsi"/>
          <w:b/>
          <w:sz w:val="24"/>
          <w:szCs w:val="24"/>
        </w:rPr>
      </w:pPr>
      <w:r>
        <w:rPr>
          <w:rFonts w:cstheme="minorHAnsi"/>
          <w:b/>
          <w:sz w:val="24"/>
          <w:szCs w:val="24"/>
        </w:rPr>
        <w:t>Q1</w:t>
      </w:r>
      <w:r w:rsidR="008838EF">
        <w:rPr>
          <w:rFonts w:cstheme="minorHAnsi"/>
          <w:b/>
          <w:sz w:val="24"/>
          <w:szCs w:val="24"/>
        </w:rPr>
        <w:t>6</w:t>
      </w:r>
      <w:r>
        <w:rPr>
          <w:rFonts w:cstheme="minorHAnsi"/>
          <w:b/>
          <w:sz w:val="24"/>
          <w:szCs w:val="24"/>
        </w:rPr>
        <w:t>)</w:t>
      </w:r>
      <w:r>
        <w:rPr>
          <w:rFonts w:cstheme="minorHAnsi"/>
          <w:b/>
          <w:sz w:val="24"/>
          <w:szCs w:val="24"/>
        </w:rPr>
        <w:tab/>
      </w:r>
      <w:r w:rsidR="003D0DFE" w:rsidRPr="00BD1DD5">
        <w:rPr>
          <w:rFonts w:cstheme="minorHAnsi"/>
          <w:b/>
          <w:sz w:val="24"/>
          <w:szCs w:val="24"/>
        </w:rPr>
        <w:t>Are there plans to create a “Reimbursement Request Form” or to issue other OEL tracking instructions?</w:t>
      </w:r>
    </w:p>
    <w:p w:rsidR="003D0DFE" w:rsidRDefault="003D0DFE" w:rsidP="00BD1DD5">
      <w:pPr>
        <w:pStyle w:val="ListParagraph"/>
        <w:ind w:left="360" w:firstLine="360"/>
        <w:jc w:val="both"/>
        <w:rPr>
          <w:rFonts w:cstheme="minorHAnsi"/>
          <w:sz w:val="24"/>
          <w:szCs w:val="24"/>
        </w:rPr>
      </w:pPr>
      <w:r w:rsidRPr="005E2EFF">
        <w:rPr>
          <w:rFonts w:cstheme="minorHAnsi"/>
          <w:sz w:val="24"/>
          <w:szCs w:val="24"/>
        </w:rPr>
        <w:t>No</w:t>
      </w:r>
      <w:r>
        <w:rPr>
          <w:rFonts w:cstheme="minorHAnsi"/>
          <w:sz w:val="24"/>
          <w:szCs w:val="24"/>
        </w:rPr>
        <w:t>.</w:t>
      </w:r>
    </w:p>
    <w:p w:rsidR="003D0DFE" w:rsidRDefault="003D0DFE" w:rsidP="00C43139">
      <w:pPr>
        <w:jc w:val="both"/>
      </w:pPr>
    </w:p>
    <w:p w:rsidR="003D0DFE" w:rsidRDefault="003D0DFE" w:rsidP="003D0DFE">
      <w:pPr>
        <w:spacing w:after="0" w:line="240" w:lineRule="auto"/>
        <w:jc w:val="both"/>
        <w:rPr>
          <w:rFonts w:cstheme="minorHAnsi"/>
          <w:b/>
          <w:bCs/>
          <w:sz w:val="24"/>
          <w:szCs w:val="24"/>
          <w:u w:val="single"/>
        </w:rPr>
      </w:pPr>
      <w:r w:rsidRPr="00164588">
        <w:rPr>
          <w:rFonts w:cstheme="minorHAnsi"/>
          <w:b/>
          <w:bCs/>
          <w:sz w:val="24"/>
          <w:szCs w:val="24"/>
          <w:u w:val="single"/>
        </w:rPr>
        <w:t>Additional Questions</w:t>
      </w:r>
    </w:p>
    <w:p w:rsidR="00000421" w:rsidRPr="00AC77A1" w:rsidRDefault="00000421" w:rsidP="003D0DFE">
      <w:pPr>
        <w:spacing w:after="0" w:line="240" w:lineRule="auto"/>
        <w:jc w:val="both"/>
        <w:rPr>
          <w:rFonts w:cstheme="minorHAnsi"/>
          <w:b/>
          <w:bCs/>
          <w:sz w:val="24"/>
          <w:szCs w:val="24"/>
        </w:rPr>
      </w:pPr>
    </w:p>
    <w:p w:rsidR="003D0DFE" w:rsidRPr="00BD1DD5" w:rsidRDefault="003D0DFE" w:rsidP="00BD1DD5">
      <w:pPr>
        <w:ind w:firstLine="720"/>
        <w:jc w:val="both"/>
        <w:rPr>
          <w:rFonts w:cstheme="minorHAnsi"/>
          <w:b/>
          <w:bCs/>
          <w:sz w:val="24"/>
          <w:szCs w:val="24"/>
        </w:rPr>
      </w:pPr>
      <w:r w:rsidRPr="00BD1DD5">
        <w:rPr>
          <w:rFonts w:cstheme="minorHAnsi"/>
          <w:b/>
          <w:bCs/>
          <w:sz w:val="24"/>
          <w:szCs w:val="24"/>
        </w:rPr>
        <w:t xml:space="preserve">Who should a child care provider contact </w:t>
      </w:r>
      <w:proofErr w:type="gramStart"/>
      <w:r w:rsidR="00E46D11">
        <w:rPr>
          <w:rFonts w:cstheme="minorHAnsi"/>
          <w:b/>
          <w:bCs/>
          <w:sz w:val="24"/>
          <w:szCs w:val="24"/>
        </w:rPr>
        <w:t>regarding</w:t>
      </w:r>
      <w:proofErr w:type="gramEnd"/>
      <w:r w:rsidR="00E46D11">
        <w:rPr>
          <w:rFonts w:cstheme="minorHAnsi"/>
          <w:b/>
          <w:bCs/>
          <w:sz w:val="24"/>
          <w:szCs w:val="24"/>
        </w:rPr>
        <w:t xml:space="preserve"> </w:t>
      </w:r>
      <w:r w:rsidRPr="00BD1DD5">
        <w:rPr>
          <w:rFonts w:cstheme="minorHAnsi"/>
          <w:b/>
          <w:bCs/>
          <w:sz w:val="24"/>
          <w:szCs w:val="24"/>
        </w:rPr>
        <w:t>additional questions?</w:t>
      </w:r>
    </w:p>
    <w:p w:rsidR="00BD1DD5" w:rsidRDefault="00BD1DD5" w:rsidP="00BD1DD5">
      <w:pPr>
        <w:widowControl w:val="0"/>
        <w:autoSpaceDE w:val="0"/>
        <w:autoSpaceDN w:val="0"/>
        <w:adjustRightInd w:val="0"/>
        <w:ind w:left="720"/>
        <w:jc w:val="both"/>
        <w:rPr>
          <w:rFonts w:cstheme="minorHAnsi"/>
          <w:bCs/>
          <w:sz w:val="24"/>
          <w:szCs w:val="24"/>
        </w:rPr>
      </w:pPr>
      <w:r>
        <w:rPr>
          <w:rFonts w:cstheme="minorHAnsi"/>
          <w:bCs/>
        </w:rPr>
        <w:t xml:space="preserve">For infrastructure and </w:t>
      </w:r>
      <w:r>
        <w:rPr>
          <w:rFonts w:cstheme="minorHAnsi"/>
          <w:bCs/>
          <w:sz w:val="24"/>
          <w:szCs w:val="24"/>
        </w:rPr>
        <w:t xml:space="preserve">health/safety and/or consumable support/welfare supplies mini-grants, contact Howard Bakalar, Chief Program Officer, at </w:t>
      </w:r>
      <w:hyperlink r:id="rId13" w:history="1">
        <w:r w:rsidRPr="00583217">
          <w:rPr>
            <w:rStyle w:val="Hyperlink"/>
            <w:rFonts w:cstheme="minorHAnsi"/>
            <w:bCs/>
            <w:sz w:val="24"/>
            <w:szCs w:val="24"/>
          </w:rPr>
          <w:t>hbakalar@elcbroward.org</w:t>
        </w:r>
      </w:hyperlink>
    </w:p>
    <w:p w:rsidR="00BD1DD5" w:rsidRDefault="00BD1DD5" w:rsidP="00BD1DD5">
      <w:pPr>
        <w:widowControl w:val="0"/>
        <w:autoSpaceDE w:val="0"/>
        <w:autoSpaceDN w:val="0"/>
        <w:adjustRightInd w:val="0"/>
        <w:ind w:left="720"/>
        <w:jc w:val="both"/>
        <w:rPr>
          <w:rFonts w:cstheme="minorHAnsi"/>
          <w:bCs/>
          <w:sz w:val="24"/>
          <w:szCs w:val="24"/>
        </w:rPr>
      </w:pPr>
      <w:r>
        <w:rPr>
          <w:rFonts w:cstheme="minorHAnsi"/>
          <w:bCs/>
          <w:sz w:val="24"/>
          <w:szCs w:val="24"/>
        </w:rPr>
        <w:t xml:space="preserve">For teacher training stipends, contact Allison Metsch, Director of Education and Quality Initiatives, at </w:t>
      </w:r>
      <w:hyperlink r:id="rId14" w:history="1">
        <w:r w:rsidRPr="00583217">
          <w:rPr>
            <w:rStyle w:val="Hyperlink"/>
            <w:rFonts w:cstheme="minorHAnsi"/>
            <w:bCs/>
            <w:sz w:val="24"/>
            <w:szCs w:val="24"/>
          </w:rPr>
          <w:t>ametsch@elcbroward.org</w:t>
        </w:r>
      </w:hyperlink>
    </w:p>
    <w:p w:rsidR="003D0DFE" w:rsidRDefault="00BD1DD5" w:rsidP="00D724F2">
      <w:pPr>
        <w:widowControl w:val="0"/>
        <w:autoSpaceDE w:val="0"/>
        <w:autoSpaceDN w:val="0"/>
        <w:adjustRightInd w:val="0"/>
        <w:ind w:left="360"/>
        <w:jc w:val="both"/>
      </w:pPr>
      <w:r>
        <w:rPr>
          <w:rFonts w:cstheme="minorHAnsi"/>
          <w:bCs/>
          <w:sz w:val="24"/>
          <w:szCs w:val="24"/>
        </w:rPr>
        <w:t xml:space="preserve"> </w:t>
      </w:r>
    </w:p>
    <w:sectPr w:rsidR="003D0DF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E37" w:rsidRDefault="00EC1E37" w:rsidP="00EC1E37">
      <w:pPr>
        <w:spacing w:after="0" w:line="240" w:lineRule="auto"/>
      </w:pPr>
      <w:r>
        <w:separator/>
      </w:r>
    </w:p>
  </w:endnote>
  <w:endnote w:type="continuationSeparator" w:id="0">
    <w:p w:rsidR="00EC1E37" w:rsidRDefault="00EC1E37" w:rsidP="00EC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E37" w:rsidRDefault="00EC1E37" w:rsidP="00EC1E37">
      <w:pPr>
        <w:spacing w:after="0" w:line="240" w:lineRule="auto"/>
      </w:pPr>
      <w:r>
        <w:separator/>
      </w:r>
    </w:p>
  </w:footnote>
  <w:footnote w:type="continuationSeparator" w:id="0">
    <w:p w:rsidR="00EC1E37" w:rsidRDefault="00EC1E37" w:rsidP="00EC1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37" w:rsidRDefault="00EC1E37">
    <w:pPr>
      <w:pStyle w:val="Header"/>
    </w:pPr>
    <w:r>
      <w:rPr>
        <w:noProof/>
      </w:rPr>
      <w:drawing>
        <wp:anchor distT="0" distB="0" distL="114300" distR="114300" simplePos="0" relativeHeight="251658240" behindDoc="1" locked="0" layoutInCell="1" allowOverlap="1">
          <wp:simplePos x="0" y="0"/>
          <wp:positionH relativeFrom="column">
            <wp:posOffset>2009775</wp:posOffset>
          </wp:positionH>
          <wp:positionV relativeFrom="paragraph">
            <wp:posOffset>76200</wp:posOffset>
          </wp:positionV>
          <wp:extent cx="1876425" cy="131445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Correc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1314450"/>
                  </a:xfrm>
                  <a:prstGeom prst="rect">
                    <a:avLst/>
                  </a:prstGeom>
                </pic:spPr>
              </pic:pic>
            </a:graphicData>
          </a:graphic>
          <wp14:sizeRelH relativeFrom="margin">
            <wp14:pctWidth>0</wp14:pctWidth>
          </wp14:sizeRelH>
          <wp14:sizeRelV relativeFrom="margin">
            <wp14:pctHeight>0</wp14:pctHeight>
          </wp14:sizeRelV>
        </wp:anchor>
      </w:drawing>
    </w:r>
  </w:p>
  <w:p w:rsidR="00EC1E37" w:rsidRDefault="00EC1E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541D"/>
    <w:multiLevelType w:val="hybridMultilevel"/>
    <w:tmpl w:val="C1DA544C"/>
    <w:lvl w:ilvl="0" w:tplc="7DB04A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33DE0"/>
    <w:multiLevelType w:val="hybridMultilevel"/>
    <w:tmpl w:val="71CABF96"/>
    <w:lvl w:ilvl="0" w:tplc="7DB04A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301447"/>
    <w:multiLevelType w:val="hybridMultilevel"/>
    <w:tmpl w:val="4F1C6D12"/>
    <w:lvl w:ilvl="0" w:tplc="7DB04A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EE56E3F"/>
    <w:multiLevelType w:val="hybridMultilevel"/>
    <w:tmpl w:val="8F902796"/>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88687650">
      <w:numFmt w:val="bullet"/>
      <w:lvlText w:val="-"/>
      <w:lvlJc w:val="left"/>
      <w:pPr>
        <w:ind w:left="2070" w:hanging="360"/>
      </w:pPr>
      <w:rPr>
        <w:rFonts w:ascii="Calibri" w:eastAsiaTheme="minorHAnsi" w:hAnsi="Calibri" w:cs="Calibri"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0"/>
  </w:num>
  <w:num w:numId="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08"/>
    <w:rsid w:val="00000421"/>
    <w:rsid w:val="000C6F20"/>
    <w:rsid w:val="000E267A"/>
    <w:rsid w:val="000E67AC"/>
    <w:rsid w:val="002813A1"/>
    <w:rsid w:val="00385196"/>
    <w:rsid w:val="003C3D37"/>
    <w:rsid w:val="003D0DFE"/>
    <w:rsid w:val="004923F9"/>
    <w:rsid w:val="004E0340"/>
    <w:rsid w:val="004F489C"/>
    <w:rsid w:val="006A37E8"/>
    <w:rsid w:val="006F2F08"/>
    <w:rsid w:val="007B41D2"/>
    <w:rsid w:val="008838EF"/>
    <w:rsid w:val="008C7D9B"/>
    <w:rsid w:val="00B47177"/>
    <w:rsid w:val="00B85528"/>
    <w:rsid w:val="00B97CC5"/>
    <w:rsid w:val="00BB17BD"/>
    <w:rsid w:val="00BD1DD5"/>
    <w:rsid w:val="00C43139"/>
    <w:rsid w:val="00C90A23"/>
    <w:rsid w:val="00CB6C6E"/>
    <w:rsid w:val="00CF07F6"/>
    <w:rsid w:val="00D724F2"/>
    <w:rsid w:val="00E04E58"/>
    <w:rsid w:val="00E46D11"/>
    <w:rsid w:val="00EC1E37"/>
    <w:rsid w:val="00FC3A62"/>
    <w:rsid w:val="00FC70A8"/>
    <w:rsid w:val="00FF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37635"/>
  <w15:chartTrackingRefBased/>
  <w15:docId w15:val="{FA27EA20-78C2-4893-8D7A-8A14E05A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F2F08"/>
    <w:pPr>
      <w:spacing w:line="240" w:lineRule="auto"/>
    </w:pPr>
    <w:rPr>
      <w:sz w:val="20"/>
      <w:szCs w:val="20"/>
    </w:rPr>
  </w:style>
  <w:style w:type="character" w:customStyle="1" w:styleId="CommentTextChar">
    <w:name w:val="Comment Text Char"/>
    <w:basedOn w:val="DefaultParagraphFont"/>
    <w:link w:val="CommentText"/>
    <w:uiPriority w:val="99"/>
    <w:semiHidden/>
    <w:rsid w:val="006F2F08"/>
    <w:rPr>
      <w:sz w:val="20"/>
      <w:szCs w:val="20"/>
    </w:rPr>
  </w:style>
  <w:style w:type="character" w:styleId="CommentReference">
    <w:name w:val="annotation reference"/>
    <w:basedOn w:val="DefaultParagraphFont"/>
    <w:uiPriority w:val="99"/>
    <w:semiHidden/>
    <w:unhideWhenUsed/>
    <w:rsid w:val="006F2F08"/>
    <w:rPr>
      <w:sz w:val="16"/>
      <w:szCs w:val="16"/>
    </w:rPr>
  </w:style>
  <w:style w:type="paragraph" w:styleId="BalloonText">
    <w:name w:val="Balloon Text"/>
    <w:basedOn w:val="Normal"/>
    <w:link w:val="BalloonTextChar"/>
    <w:uiPriority w:val="99"/>
    <w:semiHidden/>
    <w:unhideWhenUsed/>
    <w:rsid w:val="006F2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F08"/>
    <w:rPr>
      <w:rFonts w:ascii="Segoe UI" w:hAnsi="Segoe UI" w:cs="Segoe UI"/>
      <w:sz w:val="18"/>
      <w:szCs w:val="18"/>
    </w:rPr>
  </w:style>
  <w:style w:type="paragraph" w:styleId="ListParagraph">
    <w:name w:val="List Paragraph"/>
    <w:basedOn w:val="Normal"/>
    <w:link w:val="ListParagraphChar"/>
    <w:uiPriority w:val="34"/>
    <w:qFormat/>
    <w:rsid w:val="00C90A23"/>
    <w:pPr>
      <w:spacing w:after="0" w:line="240" w:lineRule="auto"/>
      <w:ind w:left="720"/>
      <w:contextualSpacing/>
    </w:pPr>
    <w:rPr>
      <w:rFonts w:eastAsia="Times New Roman" w:cs="Times New Roman"/>
    </w:rPr>
  </w:style>
  <w:style w:type="character" w:customStyle="1" w:styleId="ListParagraphChar">
    <w:name w:val="List Paragraph Char"/>
    <w:basedOn w:val="DefaultParagraphFont"/>
    <w:link w:val="ListParagraph"/>
    <w:uiPriority w:val="34"/>
    <w:rsid w:val="00C90A23"/>
    <w:rPr>
      <w:rFonts w:eastAsia="Times New Roman" w:cs="Times New Roman"/>
    </w:rPr>
  </w:style>
  <w:style w:type="character" w:styleId="Hyperlink">
    <w:name w:val="Hyperlink"/>
    <w:basedOn w:val="DefaultParagraphFont"/>
    <w:uiPriority w:val="99"/>
    <w:unhideWhenUsed/>
    <w:rsid w:val="00B47177"/>
    <w:rPr>
      <w:color w:val="0563C1" w:themeColor="hyperlink"/>
      <w:u w:val="single"/>
    </w:rPr>
  </w:style>
  <w:style w:type="table" w:styleId="TableGrid">
    <w:name w:val="Table Grid"/>
    <w:basedOn w:val="TableNormal"/>
    <w:uiPriority w:val="39"/>
    <w:rsid w:val="003D0DF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07F6"/>
    <w:rPr>
      <w:b/>
      <w:bCs/>
    </w:rPr>
  </w:style>
  <w:style w:type="character" w:customStyle="1" w:styleId="CommentSubjectChar">
    <w:name w:val="Comment Subject Char"/>
    <w:basedOn w:val="CommentTextChar"/>
    <w:link w:val="CommentSubject"/>
    <w:uiPriority w:val="99"/>
    <w:semiHidden/>
    <w:rsid w:val="00CF07F6"/>
    <w:rPr>
      <w:b/>
      <w:bCs/>
      <w:sz w:val="20"/>
      <w:szCs w:val="20"/>
    </w:rPr>
  </w:style>
  <w:style w:type="paragraph" w:styleId="Header">
    <w:name w:val="header"/>
    <w:basedOn w:val="Normal"/>
    <w:link w:val="HeaderChar"/>
    <w:uiPriority w:val="99"/>
    <w:unhideWhenUsed/>
    <w:rsid w:val="00EC1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E37"/>
  </w:style>
  <w:style w:type="paragraph" w:styleId="Footer">
    <w:name w:val="footer"/>
    <w:basedOn w:val="Normal"/>
    <w:link w:val="FooterChar"/>
    <w:uiPriority w:val="99"/>
    <w:unhideWhenUsed/>
    <w:rsid w:val="00EC1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98064">
      <w:bodyDiv w:val="1"/>
      <w:marLeft w:val="0"/>
      <w:marRight w:val="0"/>
      <w:marTop w:val="0"/>
      <w:marBottom w:val="0"/>
      <w:divBdr>
        <w:top w:val="none" w:sz="0" w:space="0" w:color="auto"/>
        <w:left w:val="none" w:sz="0" w:space="0" w:color="auto"/>
        <w:bottom w:val="none" w:sz="0" w:space="0" w:color="auto"/>
        <w:right w:val="none" w:sz="0" w:space="0" w:color="auto"/>
      </w:divBdr>
    </w:div>
    <w:div w:id="1091966940">
      <w:bodyDiv w:val="1"/>
      <w:marLeft w:val="0"/>
      <w:marRight w:val="0"/>
      <w:marTop w:val="0"/>
      <w:marBottom w:val="0"/>
      <w:divBdr>
        <w:top w:val="none" w:sz="0" w:space="0" w:color="auto"/>
        <w:left w:val="none" w:sz="0" w:space="0" w:color="auto"/>
        <w:bottom w:val="none" w:sz="0" w:space="0" w:color="auto"/>
        <w:right w:val="none" w:sz="0" w:space="0" w:color="auto"/>
      </w:divBdr>
    </w:div>
    <w:div w:id="1638803018">
      <w:bodyDiv w:val="1"/>
      <w:marLeft w:val="0"/>
      <w:marRight w:val="0"/>
      <w:marTop w:val="0"/>
      <w:marBottom w:val="0"/>
      <w:divBdr>
        <w:top w:val="none" w:sz="0" w:space="0" w:color="auto"/>
        <w:left w:val="none" w:sz="0" w:space="0" w:color="auto"/>
        <w:bottom w:val="none" w:sz="0" w:space="0" w:color="auto"/>
        <w:right w:val="none" w:sz="0" w:space="0" w:color="auto"/>
      </w:divBdr>
    </w:div>
    <w:div w:id="169399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grants@elcbroward.org" TargetMode="External"/><Relationship Id="rId13" Type="http://schemas.openxmlformats.org/officeDocument/2006/relationships/hyperlink" Target="mailto:hbakalar@elcbroward.org" TargetMode="External"/><Relationship Id="rId3" Type="http://schemas.openxmlformats.org/officeDocument/2006/relationships/settings" Target="settings.xml"/><Relationship Id="rId7" Type="http://schemas.openxmlformats.org/officeDocument/2006/relationships/hyperlink" Target="file:///C:\Users\nemmanuel\AppData\Local\Microsoft\Windows\INetCache\Content.Outlook\FW5XI971\www.elcbroward.org\minigrants" TargetMode="External"/><Relationship Id="rId12" Type="http://schemas.openxmlformats.org/officeDocument/2006/relationships/hyperlink" Target="http://www.elcbroward.org/p/128/2020-mini-grants-for-sr-vpk-providers-educat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cb@elcbroward.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inigrants@elcbroward.org" TargetMode="External"/><Relationship Id="rId4" Type="http://schemas.openxmlformats.org/officeDocument/2006/relationships/webSettings" Target="webSettings.xml"/><Relationship Id="rId9" Type="http://schemas.openxmlformats.org/officeDocument/2006/relationships/hyperlink" Target="mailto:hbakalar@elcbroward.org" TargetMode="External"/><Relationship Id="rId14" Type="http://schemas.openxmlformats.org/officeDocument/2006/relationships/hyperlink" Target="mailto:ametsch@elcbrow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Bakalar</dc:creator>
  <cp:keywords/>
  <dc:description/>
  <cp:lastModifiedBy>Nora Emmanuel</cp:lastModifiedBy>
  <cp:revision>3</cp:revision>
  <dcterms:created xsi:type="dcterms:W3CDTF">2020-05-28T21:12:00Z</dcterms:created>
  <dcterms:modified xsi:type="dcterms:W3CDTF">2020-05-29T13:47:00Z</dcterms:modified>
</cp:coreProperties>
</file>